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D9554" w14:textId="2D1E1EB4" w:rsidR="00441966" w:rsidRPr="00441966" w:rsidRDefault="00441966" w:rsidP="00441966">
      <w:pPr>
        <w:jc w:val="center"/>
        <w:rPr>
          <w:rFonts w:cs="Times New Roman"/>
          <w:sz w:val="24"/>
          <w:szCs w:val="24"/>
        </w:rPr>
      </w:pPr>
      <w:r w:rsidRPr="00441966">
        <w:rPr>
          <w:rFonts w:cs="Times New Roman"/>
          <w:sz w:val="24"/>
          <w:szCs w:val="24"/>
        </w:rPr>
        <w:t>UNIVERSITY OF OKLAHOMA</w:t>
      </w:r>
    </w:p>
    <w:p w14:paraId="0F4CDD1B" w14:textId="778CBC13" w:rsidR="00441966" w:rsidRDefault="00441966" w:rsidP="00441966">
      <w:pPr>
        <w:jc w:val="center"/>
        <w:rPr>
          <w:rFonts w:cs="Times New Roman"/>
          <w:sz w:val="24"/>
          <w:szCs w:val="24"/>
        </w:rPr>
      </w:pPr>
      <w:r w:rsidRPr="00441966">
        <w:rPr>
          <w:rFonts w:cs="Times New Roman"/>
          <w:sz w:val="24"/>
          <w:szCs w:val="24"/>
        </w:rPr>
        <w:t>GRADUATE COLLEGE</w:t>
      </w:r>
    </w:p>
    <w:p w14:paraId="114C09BC" w14:textId="6DDD1BA8" w:rsidR="00441966" w:rsidRDefault="00441966" w:rsidP="00441966">
      <w:pPr>
        <w:jc w:val="center"/>
        <w:rPr>
          <w:rFonts w:cs="Times New Roman"/>
          <w:sz w:val="24"/>
          <w:szCs w:val="24"/>
        </w:rPr>
      </w:pPr>
    </w:p>
    <w:p w14:paraId="567AE9CD" w14:textId="44683B5C" w:rsidR="00441966" w:rsidRDefault="00441966" w:rsidP="00441966">
      <w:pPr>
        <w:jc w:val="center"/>
        <w:rPr>
          <w:rFonts w:cs="Times New Roman"/>
          <w:sz w:val="24"/>
          <w:szCs w:val="24"/>
        </w:rPr>
      </w:pPr>
    </w:p>
    <w:p w14:paraId="6DBA02C0" w14:textId="140860C9" w:rsidR="00441966" w:rsidRDefault="00441966" w:rsidP="00441966">
      <w:pPr>
        <w:jc w:val="center"/>
        <w:rPr>
          <w:rFonts w:cs="Times New Roman"/>
          <w:sz w:val="24"/>
          <w:szCs w:val="24"/>
        </w:rPr>
      </w:pPr>
    </w:p>
    <w:p w14:paraId="079CFE32" w14:textId="77777777" w:rsidR="00441966" w:rsidRDefault="00441966" w:rsidP="00441966">
      <w:pPr>
        <w:jc w:val="center"/>
        <w:rPr>
          <w:rFonts w:cs="Times New Roman"/>
          <w:sz w:val="24"/>
          <w:szCs w:val="24"/>
        </w:rPr>
      </w:pPr>
    </w:p>
    <w:p w14:paraId="44350417" w14:textId="737DB82F" w:rsidR="00441966" w:rsidRPr="00441966" w:rsidRDefault="00441966" w:rsidP="00441966">
      <w:pPr>
        <w:pStyle w:val="Title"/>
        <w:jc w:val="center"/>
        <w:rPr>
          <w:rFonts w:ascii="Times New Roman" w:hAnsi="Times New Roman" w:cs="Times New Roman"/>
          <w:sz w:val="24"/>
          <w:szCs w:val="24"/>
        </w:rPr>
      </w:pPr>
      <w:r w:rsidRPr="00441966">
        <w:rPr>
          <w:rFonts w:ascii="Times New Roman" w:hAnsi="Times New Roman" w:cs="Times New Roman"/>
          <w:sz w:val="24"/>
          <w:szCs w:val="24"/>
        </w:rPr>
        <w:t xml:space="preserve">LIVING WELL WITH WORRIES, HUMILITY, AND OTHER PEOPLE: </w:t>
      </w:r>
    </w:p>
    <w:p w14:paraId="3D64F78E" w14:textId="117D08F1" w:rsidR="00441966" w:rsidRPr="00441966" w:rsidRDefault="00441966" w:rsidP="00441966">
      <w:pPr>
        <w:pStyle w:val="Title"/>
        <w:jc w:val="center"/>
        <w:rPr>
          <w:rFonts w:ascii="Times New Roman" w:hAnsi="Times New Roman" w:cs="Times New Roman"/>
          <w:sz w:val="24"/>
          <w:szCs w:val="24"/>
        </w:rPr>
      </w:pPr>
      <w:r w:rsidRPr="00441966">
        <w:rPr>
          <w:rFonts w:ascii="Times New Roman" w:hAnsi="Times New Roman" w:cs="Times New Roman"/>
          <w:sz w:val="24"/>
          <w:szCs w:val="24"/>
        </w:rPr>
        <w:t xml:space="preserve">LEARNING TO REFLECT ON LIFE WITH THE </w:t>
      </w:r>
      <w:r w:rsidRPr="00441966">
        <w:rPr>
          <w:rFonts w:ascii="Times New Roman" w:hAnsi="Times New Roman" w:cs="Times New Roman"/>
          <w:i/>
          <w:iCs/>
          <w:sz w:val="24"/>
          <w:szCs w:val="24"/>
        </w:rPr>
        <w:t>ANALECTS</w:t>
      </w:r>
    </w:p>
    <w:p w14:paraId="21811CC3" w14:textId="02D1F390" w:rsidR="00441966" w:rsidRPr="00441966" w:rsidRDefault="00441966">
      <w:pPr>
        <w:rPr>
          <w:rFonts w:cs="Times New Roman"/>
          <w:sz w:val="24"/>
          <w:szCs w:val="24"/>
        </w:rPr>
      </w:pPr>
    </w:p>
    <w:p w14:paraId="4B7998AE" w14:textId="12E31BFD" w:rsidR="00441966" w:rsidRPr="00441966" w:rsidRDefault="00441966">
      <w:pPr>
        <w:rPr>
          <w:rFonts w:cs="Times New Roman"/>
          <w:sz w:val="24"/>
          <w:szCs w:val="24"/>
        </w:rPr>
      </w:pPr>
    </w:p>
    <w:p w14:paraId="2DB57C0C" w14:textId="2664A89C" w:rsidR="00441966" w:rsidRDefault="00441966">
      <w:pPr>
        <w:rPr>
          <w:rFonts w:cs="Times New Roman"/>
          <w:sz w:val="24"/>
          <w:szCs w:val="24"/>
        </w:rPr>
      </w:pPr>
    </w:p>
    <w:p w14:paraId="7EA530C0" w14:textId="224C2BEA" w:rsidR="00441966" w:rsidRDefault="00441966">
      <w:pPr>
        <w:rPr>
          <w:rFonts w:cs="Times New Roman"/>
          <w:sz w:val="24"/>
          <w:szCs w:val="24"/>
        </w:rPr>
      </w:pPr>
    </w:p>
    <w:p w14:paraId="5F3D74B7" w14:textId="53B37FF9" w:rsidR="00441966" w:rsidRDefault="00441966">
      <w:pPr>
        <w:rPr>
          <w:rFonts w:cs="Times New Roman"/>
          <w:sz w:val="24"/>
          <w:szCs w:val="24"/>
        </w:rPr>
      </w:pPr>
    </w:p>
    <w:p w14:paraId="28415816" w14:textId="77777777" w:rsidR="00441966" w:rsidRDefault="00441966">
      <w:pPr>
        <w:rPr>
          <w:rFonts w:cs="Times New Roman"/>
          <w:sz w:val="24"/>
          <w:szCs w:val="24"/>
        </w:rPr>
      </w:pPr>
    </w:p>
    <w:p w14:paraId="0AD25C13" w14:textId="77777777" w:rsidR="00441966" w:rsidRDefault="00441966" w:rsidP="00441966">
      <w:pPr>
        <w:jc w:val="center"/>
        <w:rPr>
          <w:rFonts w:cs="Times New Roman"/>
          <w:sz w:val="24"/>
          <w:szCs w:val="24"/>
        </w:rPr>
      </w:pPr>
      <w:r w:rsidRPr="00441966">
        <w:rPr>
          <w:rFonts w:cs="Times New Roman"/>
          <w:sz w:val="24"/>
          <w:szCs w:val="24"/>
        </w:rPr>
        <w:t xml:space="preserve">A DISSERTATION </w:t>
      </w:r>
    </w:p>
    <w:p w14:paraId="2E71A07E" w14:textId="77777777" w:rsidR="00441966" w:rsidRDefault="00441966" w:rsidP="00441966">
      <w:pPr>
        <w:jc w:val="center"/>
        <w:rPr>
          <w:rFonts w:cs="Times New Roman"/>
          <w:sz w:val="24"/>
          <w:szCs w:val="24"/>
        </w:rPr>
      </w:pPr>
      <w:r w:rsidRPr="00441966">
        <w:rPr>
          <w:rFonts w:cs="Times New Roman"/>
          <w:sz w:val="24"/>
          <w:szCs w:val="24"/>
        </w:rPr>
        <w:t xml:space="preserve">SUBMITTED TO THE GRADUATE FACULTY </w:t>
      </w:r>
    </w:p>
    <w:p w14:paraId="618DF834" w14:textId="77777777" w:rsidR="00441966" w:rsidRDefault="00441966" w:rsidP="00441966">
      <w:pPr>
        <w:jc w:val="center"/>
        <w:rPr>
          <w:rFonts w:cs="Times New Roman"/>
          <w:sz w:val="24"/>
          <w:szCs w:val="24"/>
        </w:rPr>
      </w:pPr>
      <w:r w:rsidRPr="00441966">
        <w:rPr>
          <w:rFonts w:cs="Times New Roman"/>
          <w:sz w:val="24"/>
          <w:szCs w:val="24"/>
        </w:rPr>
        <w:t xml:space="preserve">in partial fulfillment of the requirements for the </w:t>
      </w:r>
    </w:p>
    <w:p w14:paraId="741FB1A0" w14:textId="7EEE497F" w:rsidR="00441966" w:rsidRDefault="00441966" w:rsidP="00441966">
      <w:pPr>
        <w:jc w:val="center"/>
        <w:rPr>
          <w:rFonts w:cs="Times New Roman"/>
          <w:sz w:val="24"/>
          <w:szCs w:val="24"/>
        </w:rPr>
      </w:pPr>
      <w:r w:rsidRPr="00441966">
        <w:rPr>
          <w:rFonts w:cs="Times New Roman"/>
          <w:sz w:val="24"/>
          <w:szCs w:val="24"/>
        </w:rPr>
        <w:t xml:space="preserve">Degree of </w:t>
      </w:r>
    </w:p>
    <w:p w14:paraId="16868F71" w14:textId="15D47BFB" w:rsidR="00441966" w:rsidRDefault="00441966" w:rsidP="00441966">
      <w:pPr>
        <w:jc w:val="center"/>
        <w:rPr>
          <w:rFonts w:cs="Times New Roman"/>
          <w:sz w:val="24"/>
          <w:szCs w:val="24"/>
        </w:rPr>
      </w:pPr>
      <w:r>
        <w:rPr>
          <w:rFonts w:cs="Times New Roman"/>
          <w:sz w:val="24"/>
          <w:szCs w:val="24"/>
        </w:rPr>
        <w:t>DOCTOR OF PHILOSOPHY</w:t>
      </w:r>
    </w:p>
    <w:p w14:paraId="13A518FD" w14:textId="3FBC5C5B" w:rsidR="00441966" w:rsidRDefault="00441966" w:rsidP="00441966">
      <w:pPr>
        <w:jc w:val="center"/>
        <w:rPr>
          <w:rFonts w:cs="Times New Roman"/>
          <w:sz w:val="24"/>
          <w:szCs w:val="24"/>
        </w:rPr>
      </w:pPr>
    </w:p>
    <w:p w14:paraId="382FDC9C" w14:textId="1F2F2670" w:rsidR="00441966" w:rsidRDefault="00441966" w:rsidP="00441966">
      <w:pPr>
        <w:jc w:val="center"/>
        <w:rPr>
          <w:rFonts w:cs="Times New Roman"/>
          <w:sz w:val="24"/>
          <w:szCs w:val="24"/>
        </w:rPr>
      </w:pPr>
    </w:p>
    <w:p w14:paraId="6EE26163" w14:textId="7DBF16D6" w:rsidR="00441966" w:rsidRDefault="00441966" w:rsidP="00441966">
      <w:pPr>
        <w:jc w:val="center"/>
        <w:rPr>
          <w:rFonts w:cs="Times New Roman"/>
          <w:sz w:val="24"/>
          <w:szCs w:val="24"/>
        </w:rPr>
      </w:pPr>
    </w:p>
    <w:p w14:paraId="26DC03F5" w14:textId="61909D5A" w:rsidR="00441966" w:rsidRDefault="00441966" w:rsidP="00441966">
      <w:pPr>
        <w:jc w:val="center"/>
        <w:rPr>
          <w:rFonts w:cs="Times New Roman"/>
          <w:sz w:val="24"/>
          <w:szCs w:val="24"/>
        </w:rPr>
      </w:pPr>
    </w:p>
    <w:p w14:paraId="03F16D40" w14:textId="5FF8E4C6" w:rsidR="00441966" w:rsidRDefault="00441966" w:rsidP="00441966">
      <w:pPr>
        <w:jc w:val="center"/>
        <w:rPr>
          <w:rFonts w:cs="Times New Roman"/>
          <w:sz w:val="24"/>
          <w:szCs w:val="24"/>
        </w:rPr>
      </w:pPr>
    </w:p>
    <w:p w14:paraId="6A6D666E" w14:textId="0A5F5FDF" w:rsidR="00441966" w:rsidRDefault="00441966" w:rsidP="00441966">
      <w:pPr>
        <w:jc w:val="center"/>
        <w:rPr>
          <w:rFonts w:cs="Times New Roman"/>
          <w:sz w:val="24"/>
          <w:szCs w:val="24"/>
        </w:rPr>
      </w:pPr>
      <w:r>
        <w:rPr>
          <w:rFonts w:cs="Times New Roman"/>
          <w:sz w:val="24"/>
          <w:szCs w:val="24"/>
        </w:rPr>
        <w:t>By</w:t>
      </w:r>
    </w:p>
    <w:p w14:paraId="07EDB32D" w14:textId="2C7AA635" w:rsidR="00441966" w:rsidRDefault="00441966" w:rsidP="00441966">
      <w:pPr>
        <w:jc w:val="center"/>
        <w:rPr>
          <w:rFonts w:cs="Times New Roman"/>
          <w:sz w:val="24"/>
          <w:szCs w:val="24"/>
        </w:rPr>
      </w:pPr>
      <w:r>
        <w:rPr>
          <w:rFonts w:cs="Times New Roman"/>
          <w:sz w:val="24"/>
          <w:szCs w:val="24"/>
        </w:rPr>
        <w:t>WENHUI XIE</w:t>
      </w:r>
    </w:p>
    <w:p w14:paraId="27315D52" w14:textId="77777777" w:rsidR="00441966" w:rsidRDefault="00441966" w:rsidP="00441966">
      <w:pPr>
        <w:jc w:val="center"/>
        <w:rPr>
          <w:rFonts w:cs="Times New Roman"/>
          <w:sz w:val="24"/>
          <w:szCs w:val="24"/>
        </w:rPr>
      </w:pPr>
      <w:r w:rsidRPr="00441966">
        <w:rPr>
          <w:rFonts w:cs="Times New Roman"/>
          <w:sz w:val="24"/>
          <w:szCs w:val="24"/>
        </w:rPr>
        <w:t xml:space="preserve">Norman, Oklahoma </w:t>
      </w:r>
    </w:p>
    <w:p w14:paraId="54A43ADA" w14:textId="77777777" w:rsidR="0014303B" w:rsidRDefault="00441966" w:rsidP="00441966">
      <w:pPr>
        <w:jc w:val="center"/>
        <w:rPr>
          <w:rFonts w:cs="Times New Roman"/>
          <w:sz w:val="24"/>
          <w:szCs w:val="24"/>
        </w:rPr>
        <w:sectPr w:rsidR="0014303B" w:rsidSect="00A5795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titlePg/>
          <w:docGrid w:linePitch="360"/>
        </w:sectPr>
      </w:pPr>
      <w:r>
        <w:rPr>
          <w:rFonts w:cs="Times New Roman"/>
          <w:sz w:val="24"/>
          <w:szCs w:val="24"/>
        </w:rPr>
        <w:t>2022</w:t>
      </w:r>
    </w:p>
    <w:p w14:paraId="73E6CAFA" w14:textId="46182432" w:rsidR="00441966" w:rsidRPr="00441966" w:rsidRDefault="00441966" w:rsidP="00441966">
      <w:pPr>
        <w:jc w:val="center"/>
        <w:rPr>
          <w:rFonts w:cs="Times New Roman"/>
          <w:sz w:val="24"/>
          <w:szCs w:val="24"/>
        </w:rPr>
      </w:pPr>
    </w:p>
    <w:p w14:paraId="7A90CA80" w14:textId="77777777" w:rsidR="00441966" w:rsidRDefault="00441966" w:rsidP="00441966">
      <w:pPr>
        <w:jc w:val="center"/>
        <w:rPr>
          <w:rFonts w:cs="Times New Roman"/>
          <w:sz w:val="24"/>
          <w:szCs w:val="24"/>
        </w:rPr>
      </w:pPr>
    </w:p>
    <w:p w14:paraId="1FB57E59" w14:textId="77777777" w:rsidR="00441966" w:rsidRPr="00441966" w:rsidRDefault="00441966" w:rsidP="00441966">
      <w:pPr>
        <w:pStyle w:val="Title"/>
        <w:jc w:val="center"/>
        <w:rPr>
          <w:rFonts w:ascii="Times New Roman" w:hAnsi="Times New Roman" w:cs="Times New Roman"/>
          <w:sz w:val="24"/>
          <w:szCs w:val="24"/>
        </w:rPr>
      </w:pPr>
      <w:r w:rsidRPr="00441966">
        <w:rPr>
          <w:rFonts w:ascii="Times New Roman" w:hAnsi="Times New Roman" w:cs="Times New Roman"/>
          <w:sz w:val="24"/>
          <w:szCs w:val="24"/>
        </w:rPr>
        <w:t xml:space="preserve">LIVING WELL WITH WORRIES, HUMILITY, AND OTHER PEOPLE: </w:t>
      </w:r>
    </w:p>
    <w:p w14:paraId="10BCDAE6" w14:textId="77777777" w:rsidR="00441966" w:rsidRPr="00441966" w:rsidRDefault="00441966" w:rsidP="00441966">
      <w:pPr>
        <w:pStyle w:val="Title"/>
        <w:jc w:val="center"/>
        <w:rPr>
          <w:rFonts w:ascii="Times New Roman" w:hAnsi="Times New Roman" w:cs="Times New Roman"/>
          <w:sz w:val="24"/>
          <w:szCs w:val="24"/>
        </w:rPr>
      </w:pPr>
      <w:r w:rsidRPr="00441966">
        <w:rPr>
          <w:rFonts w:ascii="Times New Roman" w:hAnsi="Times New Roman" w:cs="Times New Roman"/>
          <w:sz w:val="24"/>
          <w:szCs w:val="24"/>
        </w:rPr>
        <w:t xml:space="preserve">LEARNING TO REFLECT ON LIFE WITH THE </w:t>
      </w:r>
      <w:r w:rsidRPr="00441966">
        <w:rPr>
          <w:rFonts w:ascii="Times New Roman" w:hAnsi="Times New Roman" w:cs="Times New Roman"/>
          <w:i/>
          <w:iCs/>
          <w:sz w:val="24"/>
          <w:szCs w:val="24"/>
        </w:rPr>
        <w:t>ANALECTS</w:t>
      </w:r>
    </w:p>
    <w:p w14:paraId="452A15BD" w14:textId="382676BB" w:rsidR="00441966" w:rsidRDefault="00441966" w:rsidP="00441966">
      <w:pPr>
        <w:jc w:val="center"/>
        <w:rPr>
          <w:rFonts w:cs="Times New Roman"/>
          <w:sz w:val="24"/>
          <w:szCs w:val="24"/>
        </w:rPr>
      </w:pPr>
    </w:p>
    <w:p w14:paraId="36A5C138" w14:textId="0FF260A8" w:rsidR="00441966" w:rsidRDefault="00441966" w:rsidP="00441966">
      <w:pPr>
        <w:jc w:val="center"/>
        <w:rPr>
          <w:rFonts w:cs="Times New Roman"/>
          <w:sz w:val="24"/>
          <w:szCs w:val="24"/>
        </w:rPr>
      </w:pPr>
    </w:p>
    <w:p w14:paraId="6679C895" w14:textId="6910E4A7" w:rsidR="00A30E29" w:rsidRDefault="00441966" w:rsidP="00A30E29">
      <w:pPr>
        <w:jc w:val="center"/>
        <w:rPr>
          <w:rFonts w:cs="Times New Roman"/>
          <w:sz w:val="24"/>
          <w:szCs w:val="24"/>
        </w:rPr>
      </w:pPr>
      <w:r>
        <w:rPr>
          <w:rFonts w:cs="Times New Roman"/>
          <w:sz w:val="24"/>
          <w:szCs w:val="24"/>
        </w:rPr>
        <w:t xml:space="preserve">A DISSERTATION APPROVED FOR THE </w:t>
      </w:r>
    </w:p>
    <w:p w14:paraId="6072C24E" w14:textId="0D508E8F" w:rsidR="00441966" w:rsidRDefault="00441966" w:rsidP="00A30E29">
      <w:pPr>
        <w:jc w:val="center"/>
        <w:rPr>
          <w:rFonts w:cs="Times New Roman"/>
          <w:sz w:val="24"/>
          <w:szCs w:val="24"/>
        </w:rPr>
      </w:pPr>
      <w:r>
        <w:rPr>
          <w:rFonts w:cs="Times New Roman"/>
          <w:sz w:val="24"/>
          <w:szCs w:val="24"/>
        </w:rPr>
        <w:t>DEPARTMENT OF PHILOSOPHY</w:t>
      </w:r>
    </w:p>
    <w:p w14:paraId="258B017C" w14:textId="60C4CB96" w:rsidR="00441966" w:rsidRDefault="00441966" w:rsidP="00441966">
      <w:pPr>
        <w:jc w:val="center"/>
        <w:rPr>
          <w:rFonts w:cs="Times New Roman"/>
          <w:sz w:val="24"/>
          <w:szCs w:val="24"/>
        </w:rPr>
      </w:pPr>
    </w:p>
    <w:p w14:paraId="78C315A7" w14:textId="6F22918A" w:rsidR="00441966" w:rsidRDefault="00441966" w:rsidP="00441966">
      <w:pPr>
        <w:jc w:val="center"/>
        <w:rPr>
          <w:rFonts w:cs="Times New Roman"/>
          <w:sz w:val="24"/>
          <w:szCs w:val="24"/>
        </w:rPr>
      </w:pPr>
    </w:p>
    <w:p w14:paraId="1C364E4D" w14:textId="6A669A7D" w:rsidR="00441966" w:rsidRDefault="00441966" w:rsidP="00441966">
      <w:pPr>
        <w:jc w:val="center"/>
        <w:rPr>
          <w:rFonts w:cs="Times New Roman"/>
          <w:sz w:val="24"/>
          <w:szCs w:val="24"/>
        </w:rPr>
      </w:pPr>
    </w:p>
    <w:p w14:paraId="76BD18FA" w14:textId="1E2012C3" w:rsidR="00441966" w:rsidRDefault="00441966" w:rsidP="00441966">
      <w:pPr>
        <w:jc w:val="center"/>
        <w:rPr>
          <w:rFonts w:cs="Times New Roman"/>
          <w:sz w:val="24"/>
          <w:szCs w:val="24"/>
        </w:rPr>
      </w:pPr>
      <w:r>
        <w:rPr>
          <w:rFonts w:cs="Times New Roman"/>
          <w:sz w:val="24"/>
          <w:szCs w:val="24"/>
        </w:rPr>
        <w:t xml:space="preserve">BY THE COMMITTEE CONSISTING OF </w:t>
      </w:r>
    </w:p>
    <w:p w14:paraId="4F7C865A" w14:textId="773AF76B" w:rsidR="00441966" w:rsidRDefault="00441966" w:rsidP="00441966">
      <w:pPr>
        <w:jc w:val="center"/>
        <w:rPr>
          <w:rFonts w:cs="Times New Roman"/>
          <w:sz w:val="24"/>
          <w:szCs w:val="24"/>
        </w:rPr>
      </w:pPr>
    </w:p>
    <w:p w14:paraId="2C32C413" w14:textId="4A4951DD" w:rsidR="00441966" w:rsidRDefault="00441966" w:rsidP="00441966">
      <w:pPr>
        <w:jc w:val="right"/>
        <w:rPr>
          <w:rFonts w:cs="Times New Roman"/>
          <w:sz w:val="24"/>
          <w:szCs w:val="24"/>
        </w:rPr>
      </w:pPr>
    </w:p>
    <w:p w14:paraId="065CE116" w14:textId="27C6C92F" w:rsidR="00441966" w:rsidRDefault="00441966" w:rsidP="00441966">
      <w:pPr>
        <w:jc w:val="right"/>
        <w:rPr>
          <w:rFonts w:cs="Times New Roman"/>
          <w:sz w:val="24"/>
          <w:szCs w:val="24"/>
        </w:rPr>
      </w:pPr>
      <w:r>
        <w:rPr>
          <w:rFonts w:cs="Times New Roman"/>
          <w:sz w:val="24"/>
          <w:szCs w:val="24"/>
        </w:rPr>
        <w:t>Dr. Amy Olberding, Cha</w:t>
      </w:r>
      <w:r w:rsidR="00A526D5">
        <w:rPr>
          <w:rFonts w:cs="Times New Roman" w:hint="eastAsia"/>
          <w:sz w:val="24"/>
          <w:szCs w:val="24"/>
          <w:lang w:eastAsia="zh-CN"/>
        </w:rPr>
        <w:t>i</w:t>
      </w:r>
      <w:r>
        <w:rPr>
          <w:rFonts w:cs="Times New Roman"/>
          <w:sz w:val="24"/>
          <w:szCs w:val="24"/>
        </w:rPr>
        <w:t>r</w:t>
      </w:r>
    </w:p>
    <w:p w14:paraId="0495A5E0" w14:textId="0DAD8704" w:rsidR="00ED7DCC" w:rsidRDefault="00ED7DCC" w:rsidP="00441966">
      <w:pPr>
        <w:jc w:val="right"/>
        <w:rPr>
          <w:rFonts w:cs="Times New Roman"/>
          <w:sz w:val="24"/>
          <w:szCs w:val="24"/>
        </w:rPr>
      </w:pPr>
    </w:p>
    <w:p w14:paraId="5521506F" w14:textId="77777777" w:rsidR="00BD273C" w:rsidRDefault="00BD273C" w:rsidP="00441966">
      <w:pPr>
        <w:jc w:val="right"/>
        <w:rPr>
          <w:rFonts w:cs="Times New Roman"/>
          <w:sz w:val="24"/>
          <w:szCs w:val="24"/>
        </w:rPr>
      </w:pPr>
    </w:p>
    <w:p w14:paraId="5D85FFA2" w14:textId="7E40F843" w:rsidR="00441966" w:rsidRDefault="00441966" w:rsidP="00441966">
      <w:pPr>
        <w:jc w:val="right"/>
        <w:rPr>
          <w:rFonts w:cs="Times New Roman"/>
          <w:sz w:val="24"/>
          <w:szCs w:val="24"/>
        </w:rPr>
      </w:pPr>
      <w:r>
        <w:rPr>
          <w:rFonts w:cs="Times New Roman"/>
          <w:sz w:val="24"/>
          <w:szCs w:val="24"/>
        </w:rPr>
        <w:t>Dr. Nancy Snow</w:t>
      </w:r>
    </w:p>
    <w:p w14:paraId="1D81259E" w14:textId="47A3A923" w:rsidR="00ED7DCC" w:rsidRDefault="00ED7DCC" w:rsidP="00441966">
      <w:pPr>
        <w:jc w:val="right"/>
        <w:rPr>
          <w:rFonts w:cs="Times New Roman"/>
          <w:sz w:val="24"/>
          <w:szCs w:val="24"/>
        </w:rPr>
      </w:pPr>
    </w:p>
    <w:p w14:paraId="6C9C7131" w14:textId="77777777" w:rsidR="00BD273C" w:rsidRDefault="00BD273C" w:rsidP="00441966">
      <w:pPr>
        <w:jc w:val="right"/>
        <w:rPr>
          <w:rFonts w:cs="Times New Roman"/>
          <w:sz w:val="24"/>
          <w:szCs w:val="24"/>
        </w:rPr>
      </w:pPr>
    </w:p>
    <w:p w14:paraId="653BB6DF" w14:textId="6F2E6CED" w:rsidR="00441966" w:rsidRDefault="00441966" w:rsidP="00441966">
      <w:pPr>
        <w:jc w:val="right"/>
        <w:rPr>
          <w:rFonts w:cs="Times New Roman"/>
          <w:sz w:val="24"/>
          <w:szCs w:val="24"/>
        </w:rPr>
      </w:pPr>
      <w:r>
        <w:rPr>
          <w:rFonts w:cs="Times New Roman"/>
          <w:sz w:val="24"/>
          <w:szCs w:val="24"/>
        </w:rPr>
        <w:t>Dr. Wayne Riggs</w:t>
      </w:r>
    </w:p>
    <w:p w14:paraId="6315BFC6" w14:textId="48AF4E99" w:rsidR="00ED7DCC" w:rsidRDefault="00ED7DCC" w:rsidP="00441966">
      <w:pPr>
        <w:jc w:val="right"/>
        <w:rPr>
          <w:rFonts w:cs="Times New Roman"/>
          <w:sz w:val="24"/>
          <w:szCs w:val="24"/>
        </w:rPr>
      </w:pPr>
    </w:p>
    <w:p w14:paraId="08672FB5" w14:textId="77777777" w:rsidR="00BD273C" w:rsidRDefault="00BD273C" w:rsidP="00441966">
      <w:pPr>
        <w:jc w:val="right"/>
        <w:rPr>
          <w:rFonts w:cs="Times New Roman"/>
          <w:sz w:val="24"/>
          <w:szCs w:val="24"/>
        </w:rPr>
      </w:pPr>
    </w:p>
    <w:p w14:paraId="62FB284F" w14:textId="78ACCFAD" w:rsidR="00441966" w:rsidRDefault="00441966" w:rsidP="00441966">
      <w:pPr>
        <w:jc w:val="right"/>
        <w:rPr>
          <w:rFonts w:cs="Times New Roman"/>
          <w:sz w:val="24"/>
          <w:szCs w:val="24"/>
        </w:rPr>
      </w:pPr>
      <w:r>
        <w:rPr>
          <w:rFonts w:cs="Times New Roman"/>
          <w:sz w:val="24"/>
          <w:szCs w:val="24"/>
        </w:rPr>
        <w:t>Dr. Hugh Benson</w:t>
      </w:r>
    </w:p>
    <w:p w14:paraId="18A81A49" w14:textId="799DEA59" w:rsidR="00441966" w:rsidRDefault="00441966" w:rsidP="00441966">
      <w:pPr>
        <w:jc w:val="right"/>
        <w:rPr>
          <w:rFonts w:cs="Times New Roman"/>
          <w:sz w:val="24"/>
          <w:szCs w:val="24"/>
        </w:rPr>
      </w:pPr>
    </w:p>
    <w:p w14:paraId="3A344FFE" w14:textId="77777777" w:rsidR="00BD273C" w:rsidRDefault="00BD273C" w:rsidP="00441966">
      <w:pPr>
        <w:jc w:val="right"/>
        <w:rPr>
          <w:rFonts w:cs="Times New Roman"/>
          <w:sz w:val="24"/>
          <w:szCs w:val="24"/>
        </w:rPr>
      </w:pPr>
    </w:p>
    <w:p w14:paraId="510A363E" w14:textId="0C809131" w:rsidR="00A30E29" w:rsidRDefault="00441966" w:rsidP="00441966">
      <w:pPr>
        <w:jc w:val="right"/>
        <w:rPr>
          <w:rFonts w:cs="Times New Roman"/>
          <w:sz w:val="24"/>
          <w:szCs w:val="24"/>
        </w:rPr>
      </w:pPr>
      <w:r>
        <w:rPr>
          <w:rFonts w:cs="Times New Roman"/>
          <w:sz w:val="24"/>
          <w:szCs w:val="24"/>
        </w:rPr>
        <w:t>Dr. Geoffrey Goble</w:t>
      </w:r>
    </w:p>
    <w:p w14:paraId="503F208A" w14:textId="77777777" w:rsidR="00ED7DCC" w:rsidRDefault="00ED7DCC" w:rsidP="00ED7DCC">
      <w:pPr>
        <w:jc w:val="right"/>
        <w:rPr>
          <w:rFonts w:cs="Times New Roman"/>
          <w:sz w:val="24"/>
          <w:szCs w:val="24"/>
        </w:rPr>
      </w:pPr>
    </w:p>
    <w:p w14:paraId="6077BD4D" w14:textId="77777777" w:rsidR="0014303B" w:rsidRDefault="0014303B" w:rsidP="00441966">
      <w:pPr>
        <w:jc w:val="right"/>
        <w:rPr>
          <w:rFonts w:cs="Times New Roman"/>
          <w:sz w:val="24"/>
          <w:szCs w:val="24"/>
        </w:rPr>
        <w:sectPr w:rsidR="0014303B" w:rsidSect="00A57956">
          <w:pgSz w:w="12240" w:h="15840"/>
          <w:pgMar w:top="1440" w:right="1440" w:bottom="1440" w:left="1440" w:header="720" w:footer="720" w:gutter="0"/>
          <w:pgNumType w:fmt="lowerRoman" w:start="1"/>
          <w:cols w:space="720"/>
          <w:titlePg/>
          <w:docGrid w:linePitch="360"/>
        </w:sectPr>
      </w:pPr>
    </w:p>
    <w:p w14:paraId="2BF5B72A" w14:textId="0B0A8D48" w:rsidR="00441966" w:rsidRDefault="00441966" w:rsidP="00441966">
      <w:pPr>
        <w:jc w:val="right"/>
        <w:rPr>
          <w:rFonts w:cs="Times New Roman"/>
          <w:sz w:val="24"/>
          <w:szCs w:val="24"/>
        </w:rPr>
      </w:pPr>
    </w:p>
    <w:p w14:paraId="2EDAB1B0" w14:textId="16DF7F10" w:rsidR="00A30E29" w:rsidRPr="00A30E29" w:rsidRDefault="00A30E29" w:rsidP="00A30E29">
      <w:pPr>
        <w:rPr>
          <w:rFonts w:cs="Times New Roman"/>
          <w:sz w:val="24"/>
          <w:szCs w:val="24"/>
        </w:rPr>
      </w:pPr>
    </w:p>
    <w:p w14:paraId="171A3F4A" w14:textId="64FAAF61" w:rsidR="00A30E29" w:rsidRPr="00A30E29" w:rsidRDefault="00A30E29" w:rsidP="00A30E29">
      <w:pPr>
        <w:rPr>
          <w:rFonts w:cs="Times New Roman"/>
          <w:sz w:val="24"/>
          <w:szCs w:val="24"/>
        </w:rPr>
      </w:pPr>
    </w:p>
    <w:p w14:paraId="0027109B" w14:textId="75B4C127" w:rsidR="00A30E29" w:rsidRPr="00A30E29" w:rsidRDefault="00A30E29" w:rsidP="00A30E29">
      <w:pPr>
        <w:rPr>
          <w:rFonts w:cs="Times New Roman"/>
          <w:sz w:val="24"/>
          <w:szCs w:val="24"/>
        </w:rPr>
      </w:pPr>
    </w:p>
    <w:p w14:paraId="3262F3E0" w14:textId="1932A03C" w:rsidR="00A30E29" w:rsidRPr="00A30E29" w:rsidRDefault="00A30E29" w:rsidP="00A30E29">
      <w:pPr>
        <w:rPr>
          <w:rFonts w:cs="Times New Roman"/>
          <w:sz w:val="24"/>
          <w:szCs w:val="24"/>
        </w:rPr>
      </w:pPr>
    </w:p>
    <w:p w14:paraId="4639D8B1" w14:textId="343ACF4D" w:rsidR="00A30E29" w:rsidRPr="00A30E29" w:rsidRDefault="00A30E29" w:rsidP="00A30E29">
      <w:pPr>
        <w:rPr>
          <w:rFonts w:cs="Times New Roman"/>
          <w:sz w:val="24"/>
          <w:szCs w:val="24"/>
        </w:rPr>
      </w:pPr>
    </w:p>
    <w:p w14:paraId="4F2F7E03" w14:textId="6C02060A" w:rsidR="00A30E29" w:rsidRPr="00A30E29" w:rsidRDefault="00A30E29" w:rsidP="00A30E29">
      <w:pPr>
        <w:rPr>
          <w:rFonts w:cs="Times New Roman"/>
          <w:sz w:val="24"/>
          <w:szCs w:val="24"/>
        </w:rPr>
      </w:pPr>
    </w:p>
    <w:p w14:paraId="24AE9C61" w14:textId="59B1FAB2" w:rsidR="00A30E29" w:rsidRPr="00A30E29" w:rsidRDefault="00A30E29" w:rsidP="00A30E29">
      <w:pPr>
        <w:rPr>
          <w:rFonts w:cs="Times New Roman"/>
          <w:sz w:val="24"/>
          <w:szCs w:val="24"/>
        </w:rPr>
      </w:pPr>
    </w:p>
    <w:p w14:paraId="1BEB671E" w14:textId="30DFA551" w:rsidR="00A30E29" w:rsidRPr="00A30E29" w:rsidRDefault="00A30E29" w:rsidP="00A30E29">
      <w:pPr>
        <w:rPr>
          <w:rFonts w:cs="Times New Roman"/>
          <w:sz w:val="24"/>
          <w:szCs w:val="24"/>
        </w:rPr>
      </w:pPr>
    </w:p>
    <w:p w14:paraId="0ED5EFD7" w14:textId="405ED5A9" w:rsidR="00A30E29" w:rsidRPr="00A30E29" w:rsidRDefault="00A30E29" w:rsidP="00A30E29">
      <w:pPr>
        <w:rPr>
          <w:rFonts w:cs="Times New Roman"/>
          <w:sz w:val="24"/>
          <w:szCs w:val="24"/>
        </w:rPr>
      </w:pPr>
    </w:p>
    <w:p w14:paraId="113783F9" w14:textId="19CE9730" w:rsidR="00A30E29" w:rsidRPr="00A30E29" w:rsidRDefault="00A30E29" w:rsidP="00A30E29">
      <w:pPr>
        <w:rPr>
          <w:rFonts w:cs="Times New Roman"/>
          <w:sz w:val="24"/>
          <w:szCs w:val="24"/>
        </w:rPr>
      </w:pPr>
    </w:p>
    <w:p w14:paraId="258ADAF7" w14:textId="5AFEF6FE" w:rsidR="00A30E29" w:rsidRPr="00A30E29" w:rsidRDefault="00A30E29" w:rsidP="00A30E29">
      <w:pPr>
        <w:rPr>
          <w:rFonts w:cs="Times New Roman"/>
          <w:sz w:val="24"/>
          <w:szCs w:val="24"/>
        </w:rPr>
      </w:pPr>
    </w:p>
    <w:p w14:paraId="02565022" w14:textId="444CE45F" w:rsidR="00A30E29" w:rsidRPr="00A30E29" w:rsidRDefault="00A30E29" w:rsidP="00A30E29">
      <w:pPr>
        <w:rPr>
          <w:rFonts w:cs="Times New Roman"/>
          <w:sz w:val="24"/>
          <w:szCs w:val="24"/>
        </w:rPr>
      </w:pPr>
    </w:p>
    <w:p w14:paraId="54E1D6F2" w14:textId="76FFE8DD" w:rsidR="00A30E29" w:rsidRPr="00A30E29" w:rsidRDefault="00A30E29" w:rsidP="00A30E29">
      <w:pPr>
        <w:rPr>
          <w:rFonts w:cs="Times New Roman"/>
          <w:sz w:val="24"/>
          <w:szCs w:val="24"/>
        </w:rPr>
      </w:pPr>
    </w:p>
    <w:p w14:paraId="52955627" w14:textId="4616F75A" w:rsidR="00A30E29" w:rsidRPr="00A30E29" w:rsidRDefault="00A30E29" w:rsidP="00A30E29">
      <w:pPr>
        <w:rPr>
          <w:rFonts w:cs="Times New Roman"/>
          <w:sz w:val="24"/>
          <w:szCs w:val="24"/>
        </w:rPr>
      </w:pPr>
    </w:p>
    <w:p w14:paraId="7A1C01B9" w14:textId="1F7B01BB" w:rsidR="00A30E29" w:rsidRPr="00A30E29" w:rsidRDefault="00A30E29" w:rsidP="00A30E29">
      <w:pPr>
        <w:rPr>
          <w:rFonts w:cs="Times New Roman"/>
          <w:sz w:val="24"/>
          <w:szCs w:val="24"/>
        </w:rPr>
      </w:pPr>
    </w:p>
    <w:p w14:paraId="4CFE2F96" w14:textId="4E74605D" w:rsidR="00A30E29" w:rsidRPr="00A30E29" w:rsidRDefault="00A30E29" w:rsidP="00A30E29">
      <w:pPr>
        <w:rPr>
          <w:rFonts w:cs="Times New Roman"/>
          <w:sz w:val="24"/>
          <w:szCs w:val="24"/>
        </w:rPr>
      </w:pPr>
    </w:p>
    <w:p w14:paraId="61A1A594" w14:textId="1159F7C9" w:rsidR="00A30E29" w:rsidRPr="00A30E29" w:rsidRDefault="00A30E29" w:rsidP="00A30E29">
      <w:pPr>
        <w:rPr>
          <w:rFonts w:cs="Times New Roman"/>
          <w:sz w:val="24"/>
          <w:szCs w:val="24"/>
        </w:rPr>
      </w:pPr>
    </w:p>
    <w:p w14:paraId="43838567" w14:textId="27A1A0C7" w:rsidR="00A30E29" w:rsidRPr="00A30E29" w:rsidRDefault="00A30E29" w:rsidP="00A30E29">
      <w:pPr>
        <w:rPr>
          <w:rFonts w:cs="Times New Roman"/>
          <w:sz w:val="24"/>
          <w:szCs w:val="24"/>
        </w:rPr>
      </w:pPr>
    </w:p>
    <w:p w14:paraId="7EA1BC65" w14:textId="1DC5612F" w:rsidR="00A30E29" w:rsidRPr="00A30E29" w:rsidRDefault="00A30E29" w:rsidP="00A30E29">
      <w:pPr>
        <w:rPr>
          <w:rFonts w:cs="Times New Roman"/>
          <w:sz w:val="24"/>
          <w:szCs w:val="24"/>
        </w:rPr>
      </w:pPr>
    </w:p>
    <w:p w14:paraId="382E1088" w14:textId="5A3CFDAF" w:rsidR="00A30E29" w:rsidRPr="00A30E29" w:rsidRDefault="00A30E29" w:rsidP="00A30E29">
      <w:pPr>
        <w:rPr>
          <w:rFonts w:cs="Times New Roman"/>
          <w:sz w:val="24"/>
          <w:szCs w:val="24"/>
        </w:rPr>
      </w:pPr>
    </w:p>
    <w:p w14:paraId="70DCF8F7" w14:textId="68480620" w:rsidR="00A30E29" w:rsidRPr="00A30E29" w:rsidRDefault="00A30E29" w:rsidP="00A30E29">
      <w:pPr>
        <w:rPr>
          <w:rFonts w:cs="Times New Roman"/>
          <w:sz w:val="24"/>
          <w:szCs w:val="24"/>
        </w:rPr>
      </w:pPr>
    </w:p>
    <w:p w14:paraId="2E1FF722" w14:textId="1B589059" w:rsidR="00A30E29" w:rsidRPr="00A30E29" w:rsidRDefault="00A30E29" w:rsidP="00A30E29">
      <w:pPr>
        <w:rPr>
          <w:rFonts w:cs="Times New Roman"/>
          <w:sz w:val="24"/>
          <w:szCs w:val="24"/>
        </w:rPr>
      </w:pPr>
    </w:p>
    <w:p w14:paraId="2FA65444" w14:textId="1AFB7572" w:rsidR="00A30E29" w:rsidRPr="00A30E29" w:rsidRDefault="00A30E29" w:rsidP="00A30E29">
      <w:pPr>
        <w:rPr>
          <w:rFonts w:cs="Times New Roman"/>
          <w:sz w:val="24"/>
          <w:szCs w:val="24"/>
        </w:rPr>
      </w:pPr>
    </w:p>
    <w:p w14:paraId="3BD5477E" w14:textId="002485A5" w:rsidR="00A30E29" w:rsidRDefault="00A30E29" w:rsidP="00A30E29">
      <w:pPr>
        <w:rPr>
          <w:rFonts w:cs="Times New Roman"/>
          <w:sz w:val="24"/>
          <w:szCs w:val="24"/>
        </w:rPr>
      </w:pPr>
    </w:p>
    <w:p w14:paraId="59431273" w14:textId="77777777" w:rsidR="00ED049D" w:rsidRDefault="00ED049D" w:rsidP="00A30E29">
      <w:pPr>
        <w:tabs>
          <w:tab w:val="left" w:pos="2466"/>
        </w:tabs>
        <w:jc w:val="center"/>
      </w:pPr>
    </w:p>
    <w:p w14:paraId="21F92B38" w14:textId="2C262B17" w:rsidR="00A30E29" w:rsidRDefault="00A30E29" w:rsidP="00A30E29">
      <w:pPr>
        <w:tabs>
          <w:tab w:val="left" w:pos="2466"/>
        </w:tabs>
        <w:jc w:val="center"/>
      </w:pPr>
      <w:r>
        <w:t xml:space="preserve">© Copyright by </w:t>
      </w:r>
      <w:r w:rsidR="0014303B">
        <w:t>WENHUI X</w:t>
      </w:r>
      <w:r w:rsidR="002227EC">
        <w:t>IE</w:t>
      </w:r>
      <w:r>
        <w:t xml:space="preserve"> 2022</w:t>
      </w:r>
    </w:p>
    <w:p w14:paraId="78E2661C" w14:textId="77777777" w:rsidR="003C0314" w:rsidRDefault="00A30E29" w:rsidP="00ED049D">
      <w:pPr>
        <w:tabs>
          <w:tab w:val="left" w:pos="2466"/>
        </w:tabs>
        <w:jc w:val="center"/>
        <w:sectPr w:rsidR="003C0314" w:rsidSect="00A57956">
          <w:pgSz w:w="12240" w:h="15840"/>
          <w:pgMar w:top="1440" w:right="1440" w:bottom="1440" w:left="1440" w:header="720" w:footer="720" w:gutter="0"/>
          <w:pgNumType w:fmt="lowerRoman" w:start="1"/>
          <w:cols w:space="720"/>
          <w:titlePg/>
          <w:docGrid w:linePitch="360"/>
        </w:sectPr>
      </w:pPr>
      <w:r>
        <w:t>All Rights Reserved.</w:t>
      </w:r>
    </w:p>
    <w:p w14:paraId="73FDE3C0" w14:textId="77777777" w:rsidR="00A30E29" w:rsidRDefault="00A30E29" w:rsidP="003C0314">
      <w:pPr>
        <w:tabs>
          <w:tab w:val="left" w:pos="2466"/>
        </w:tabs>
      </w:pPr>
    </w:p>
    <w:p w14:paraId="304375C0" w14:textId="77777777" w:rsidR="00A30E29" w:rsidRDefault="00A30E29" w:rsidP="00ED049D"/>
    <w:p w14:paraId="1564A686" w14:textId="17ACAE78" w:rsidR="00A30E29" w:rsidRPr="00A30E29" w:rsidRDefault="00A30E29" w:rsidP="00A30E29">
      <w:pPr>
        <w:jc w:val="center"/>
        <w:rPr>
          <w:rFonts w:cs="Times New Roman"/>
          <w:i/>
          <w:iCs/>
          <w:sz w:val="24"/>
          <w:szCs w:val="24"/>
        </w:rPr>
      </w:pPr>
      <w:r w:rsidRPr="00A30E29">
        <w:rPr>
          <w:rFonts w:cs="Times New Roman"/>
          <w:i/>
          <w:iCs/>
          <w:sz w:val="24"/>
          <w:szCs w:val="24"/>
        </w:rPr>
        <w:t xml:space="preserve">For my loving family, dear friends, and </w:t>
      </w:r>
      <w:r w:rsidR="002D7BB6">
        <w:rPr>
          <w:rFonts w:cs="Times New Roman"/>
          <w:i/>
          <w:iCs/>
          <w:sz w:val="24"/>
          <w:szCs w:val="24"/>
        </w:rPr>
        <w:t xml:space="preserve">inspiring </w:t>
      </w:r>
      <w:r w:rsidRPr="00A30E29">
        <w:rPr>
          <w:rFonts w:cs="Times New Roman"/>
          <w:i/>
          <w:iCs/>
          <w:sz w:val="24"/>
          <w:szCs w:val="24"/>
        </w:rPr>
        <w:t>teachers who made me who I am</w:t>
      </w:r>
    </w:p>
    <w:p w14:paraId="3A600C90" w14:textId="5EAB1A3F" w:rsidR="0014303B" w:rsidRDefault="002C210B" w:rsidP="0014303B">
      <w:pPr>
        <w:jc w:val="center"/>
        <w:rPr>
          <w:i/>
          <w:iCs/>
        </w:rPr>
        <w:sectPr w:rsidR="0014303B" w:rsidSect="003C0314">
          <w:footerReference w:type="first" r:id="rId14"/>
          <w:pgSz w:w="12240" w:h="15840"/>
          <w:pgMar w:top="1440" w:right="1440" w:bottom="1440" w:left="1440" w:header="720" w:footer="720" w:gutter="0"/>
          <w:pgNumType w:fmt="lowerRoman" w:start="4"/>
          <w:cols w:space="720"/>
          <w:titlePg/>
          <w:docGrid w:linePitch="360"/>
        </w:sectPr>
      </w:pPr>
      <w:r>
        <w:rPr>
          <w:i/>
          <w:iCs/>
        </w:rPr>
        <w:t xml:space="preserve">And the fantastic Oklahoma weather that periodically </w:t>
      </w:r>
      <w:r w:rsidR="00DE34FB">
        <w:rPr>
          <w:i/>
          <w:iCs/>
        </w:rPr>
        <w:t>encourages me to finish early</w:t>
      </w:r>
    </w:p>
    <w:p w14:paraId="46F25D34" w14:textId="6CA61427" w:rsidR="00A30E29" w:rsidRDefault="00A30E29">
      <w:pPr>
        <w:rPr>
          <w:i/>
          <w:iCs/>
        </w:rPr>
      </w:pPr>
    </w:p>
    <w:sdt>
      <w:sdtPr>
        <w:rPr>
          <w:rFonts w:ascii="Times New Roman" w:eastAsiaTheme="minorHAnsi" w:hAnsi="Times New Roman" w:cstheme="minorBidi"/>
          <w:color w:val="auto"/>
          <w:sz w:val="22"/>
          <w:szCs w:val="22"/>
        </w:rPr>
        <w:id w:val="404965822"/>
        <w:docPartObj>
          <w:docPartGallery w:val="Table of Contents"/>
          <w:docPartUnique/>
        </w:docPartObj>
      </w:sdtPr>
      <w:sdtEndPr>
        <w:rPr>
          <w:rFonts w:eastAsia="SimSun"/>
          <w:b/>
          <w:bCs/>
          <w:noProof/>
        </w:rPr>
      </w:sdtEndPr>
      <w:sdtContent>
        <w:p w14:paraId="7B137259" w14:textId="03020780" w:rsidR="00544413" w:rsidRPr="00F82384" w:rsidRDefault="00544413">
          <w:pPr>
            <w:pStyle w:val="TOCHeading"/>
            <w:rPr>
              <w:rStyle w:val="Heading1Char"/>
              <w:rFonts w:ascii="Times New Roman" w:hAnsi="Times New Roman" w:cs="Times New Roman"/>
              <w:color w:val="auto"/>
            </w:rPr>
          </w:pPr>
          <w:r w:rsidRPr="00F82384">
            <w:rPr>
              <w:rStyle w:val="Heading1Char"/>
              <w:rFonts w:ascii="Times New Roman" w:hAnsi="Times New Roman" w:cs="Times New Roman"/>
              <w:color w:val="auto"/>
            </w:rPr>
            <w:t>Contents</w:t>
          </w:r>
        </w:p>
        <w:p w14:paraId="5893A8B4" w14:textId="16F619D7" w:rsidR="00E61738" w:rsidRDefault="00E61738">
          <w:pPr>
            <w:pStyle w:val="TOC1"/>
            <w:tabs>
              <w:tab w:val="right" w:leader="dot" w:pos="9350"/>
            </w:tabs>
            <w:rPr>
              <w:rFonts w:asciiTheme="minorHAnsi" w:eastAsiaTheme="minorEastAsia" w:hAnsiTheme="minorHAnsi"/>
              <w:noProof/>
              <w:lang w:eastAsia="zh-CN"/>
            </w:rPr>
          </w:pPr>
          <w:r>
            <w:fldChar w:fldCharType="begin"/>
          </w:r>
          <w:r>
            <w:instrText xml:space="preserve"> TOC \o "1-3" \h \z \u </w:instrText>
          </w:r>
          <w:r>
            <w:fldChar w:fldCharType="separate"/>
          </w:r>
          <w:hyperlink w:anchor="_Toc102412715" w:history="1">
            <w:r w:rsidRPr="0059368B">
              <w:rPr>
                <w:rStyle w:val="Hyperlink"/>
                <w:rFonts w:cs="Times New Roman"/>
                <w:noProof/>
              </w:rPr>
              <w:t>Acknowledgements</w:t>
            </w:r>
            <w:r>
              <w:rPr>
                <w:noProof/>
                <w:webHidden/>
              </w:rPr>
              <w:tab/>
            </w:r>
            <w:r>
              <w:rPr>
                <w:noProof/>
                <w:webHidden/>
              </w:rPr>
              <w:fldChar w:fldCharType="begin"/>
            </w:r>
            <w:r>
              <w:rPr>
                <w:noProof/>
                <w:webHidden/>
              </w:rPr>
              <w:instrText xml:space="preserve"> PAGEREF _Toc102412715 \h </w:instrText>
            </w:r>
            <w:r>
              <w:rPr>
                <w:noProof/>
                <w:webHidden/>
              </w:rPr>
            </w:r>
            <w:r>
              <w:rPr>
                <w:noProof/>
                <w:webHidden/>
              </w:rPr>
              <w:fldChar w:fldCharType="separate"/>
            </w:r>
            <w:r w:rsidR="00A5551E">
              <w:rPr>
                <w:noProof/>
                <w:webHidden/>
              </w:rPr>
              <w:t>vi</w:t>
            </w:r>
            <w:r>
              <w:rPr>
                <w:noProof/>
                <w:webHidden/>
              </w:rPr>
              <w:fldChar w:fldCharType="end"/>
            </w:r>
          </w:hyperlink>
        </w:p>
        <w:p w14:paraId="33BBDF80" w14:textId="28B3F80B" w:rsidR="00E61738" w:rsidRDefault="0000317E">
          <w:pPr>
            <w:pStyle w:val="TOC1"/>
            <w:tabs>
              <w:tab w:val="right" w:leader="dot" w:pos="9350"/>
            </w:tabs>
            <w:rPr>
              <w:rFonts w:asciiTheme="minorHAnsi" w:eastAsiaTheme="minorEastAsia" w:hAnsiTheme="minorHAnsi"/>
              <w:noProof/>
              <w:lang w:eastAsia="zh-CN"/>
            </w:rPr>
          </w:pPr>
          <w:hyperlink w:anchor="_Toc102412716" w:history="1">
            <w:r w:rsidR="00E61738" w:rsidRPr="0059368B">
              <w:rPr>
                <w:rStyle w:val="Hyperlink"/>
                <w:rFonts w:cs="Times New Roman"/>
                <w:noProof/>
              </w:rPr>
              <w:t>Abstract</w:t>
            </w:r>
            <w:r w:rsidR="00E61738">
              <w:rPr>
                <w:noProof/>
                <w:webHidden/>
              </w:rPr>
              <w:tab/>
            </w:r>
            <w:r w:rsidR="00E61738">
              <w:rPr>
                <w:noProof/>
                <w:webHidden/>
              </w:rPr>
              <w:fldChar w:fldCharType="begin"/>
            </w:r>
            <w:r w:rsidR="00E61738">
              <w:rPr>
                <w:noProof/>
                <w:webHidden/>
              </w:rPr>
              <w:instrText xml:space="preserve"> PAGEREF _Toc102412716 \h </w:instrText>
            </w:r>
            <w:r w:rsidR="00E61738">
              <w:rPr>
                <w:noProof/>
                <w:webHidden/>
              </w:rPr>
            </w:r>
            <w:r w:rsidR="00E61738">
              <w:rPr>
                <w:noProof/>
                <w:webHidden/>
              </w:rPr>
              <w:fldChar w:fldCharType="separate"/>
            </w:r>
            <w:r w:rsidR="00A5551E">
              <w:rPr>
                <w:noProof/>
                <w:webHidden/>
              </w:rPr>
              <w:t>x</w:t>
            </w:r>
            <w:r w:rsidR="00E61738">
              <w:rPr>
                <w:noProof/>
                <w:webHidden/>
              </w:rPr>
              <w:fldChar w:fldCharType="end"/>
            </w:r>
          </w:hyperlink>
        </w:p>
        <w:p w14:paraId="497A10BC" w14:textId="70468EB5" w:rsidR="00E61738" w:rsidRDefault="0000317E">
          <w:pPr>
            <w:pStyle w:val="TOC1"/>
            <w:tabs>
              <w:tab w:val="right" w:leader="dot" w:pos="9350"/>
            </w:tabs>
            <w:rPr>
              <w:rFonts w:asciiTheme="minorHAnsi" w:eastAsiaTheme="minorEastAsia" w:hAnsiTheme="minorHAnsi"/>
              <w:noProof/>
              <w:lang w:eastAsia="zh-CN"/>
            </w:rPr>
          </w:pPr>
          <w:hyperlink w:anchor="_Toc102412717" w:history="1">
            <w:r w:rsidR="00E61738" w:rsidRPr="0059368B">
              <w:rPr>
                <w:rStyle w:val="Hyperlink"/>
                <w:rFonts w:cs="Times New Roman"/>
                <w:noProof/>
              </w:rPr>
              <w:t>Introduction</w:t>
            </w:r>
            <w:r w:rsidR="00E61738">
              <w:rPr>
                <w:noProof/>
                <w:webHidden/>
              </w:rPr>
              <w:tab/>
            </w:r>
            <w:r w:rsidR="00E61738">
              <w:rPr>
                <w:noProof/>
                <w:webHidden/>
              </w:rPr>
              <w:fldChar w:fldCharType="begin"/>
            </w:r>
            <w:r w:rsidR="00E61738">
              <w:rPr>
                <w:noProof/>
                <w:webHidden/>
              </w:rPr>
              <w:instrText xml:space="preserve"> PAGEREF _Toc102412717 \h </w:instrText>
            </w:r>
            <w:r w:rsidR="00E61738">
              <w:rPr>
                <w:noProof/>
                <w:webHidden/>
              </w:rPr>
            </w:r>
            <w:r w:rsidR="00E61738">
              <w:rPr>
                <w:noProof/>
                <w:webHidden/>
              </w:rPr>
              <w:fldChar w:fldCharType="separate"/>
            </w:r>
            <w:r w:rsidR="00A5551E">
              <w:rPr>
                <w:noProof/>
                <w:webHidden/>
              </w:rPr>
              <w:t>1</w:t>
            </w:r>
            <w:r w:rsidR="00E61738">
              <w:rPr>
                <w:noProof/>
                <w:webHidden/>
              </w:rPr>
              <w:fldChar w:fldCharType="end"/>
            </w:r>
          </w:hyperlink>
        </w:p>
        <w:p w14:paraId="6AE0D0F7" w14:textId="1ADCE94F" w:rsidR="00E61738" w:rsidRDefault="0000317E">
          <w:pPr>
            <w:pStyle w:val="TOC2"/>
            <w:tabs>
              <w:tab w:val="right" w:leader="dot" w:pos="9350"/>
            </w:tabs>
            <w:rPr>
              <w:rFonts w:asciiTheme="minorHAnsi" w:eastAsiaTheme="minorEastAsia" w:hAnsiTheme="minorHAnsi"/>
              <w:noProof/>
              <w:lang w:eastAsia="zh-CN"/>
            </w:rPr>
          </w:pPr>
          <w:hyperlink w:anchor="_Toc102412718" w:history="1">
            <w:r w:rsidR="00E61738" w:rsidRPr="0059368B">
              <w:rPr>
                <w:rStyle w:val="Hyperlink"/>
                <w:noProof/>
              </w:rPr>
              <w:t>Between in and out of Control</w:t>
            </w:r>
            <w:r w:rsidR="00E61738">
              <w:rPr>
                <w:noProof/>
                <w:webHidden/>
              </w:rPr>
              <w:tab/>
            </w:r>
            <w:r w:rsidR="00E61738">
              <w:rPr>
                <w:noProof/>
                <w:webHidden/>
              </w:rPr>
              <w:fldChar w:fldCharType="begin"/>
            </w:r>
            <w:r w:rsidR="00E61738">
              <w:rPr>
                <w:noProof/>
                <w:webHidden/>
              </w:rPr>
              <w:instrText xml:space="preserve"> PAGEREF _Toc102412718 \h </w:instrText>
            </w:r>
            <w:r w:rsidR="00E61738">
              <w:rPr>
                <w:noProof/>
                <w:webHidden/>
              </w:rPr>
            </w:r>
            <w:r w:rsidR="00E61738">
              <w:rPr>
                <w:noProof/>
                <w:webHidden/>
              </w:rPr>
              <w:fldChar w:fldCharType="separate"/>
            </w:r>
            <w:r w:rsidR="00A5551E">
              <w:rPr>
                <w:noProof/>
                <w:webHidden/>
              </w:rPr>
              <w:t>1</w:t>
            </w:r>
            <w:r w:rsidR="00E61738">
              <w:rPr>
                <w:noProof/>
                <w:webHidden/>
              </w:rPr>
              <w:fldChar w:fldCharType="end"/>
            </w:r>
          </w:hyperlink>
        </w:p>
        <w:p w14:paraId="4DBD774F" w14:textId="202229CE" w:rsidR="00E61738" w:rsidRDefault="0000317E">
          <w:pPr>
            <w:pStyle w:val="TOC2"/>
            <w:tabs>
              <w:tab w:val="right" w:leader="dot" w:pos="9350"/>
            </w:tabs>
            <w:rPr>
              <w:rFonts w:asciiTheme="minorHAnsi" w:eastAsiaTheme="minorEastAsia" w:hAnsiTheme="minorHAnsi"/>
              <w:noProof/>
              <w:lang w:eastAsia="zh-CN"/>
            </w:rPr>
          </w:pPr>
          <w:hyperlink w:anchor="_Toc102412719" w:history="1">
            <w:r w:rsidR="00E61738" w:rsidRPr="0059368B">
              <w:rPr>
                <w:rStyle w:val="Hyperlink"/>
                <w:noProof/>
              </w:rPr>
              <w:t>Dissertation Papers</w:t>
            </w:r>
            <w:r w:rsidR="00E61738">
              <w:rPr>
                <w:noProof/>
                <w:webHidden/>
              </w:rPr>
              <w:tab/>
            </w:r>
            <w:r w:rsidR="00E61738">
              <w:rPr>
                <w:noProof/>
                <w:webHidden/>
              </w:rPr>
              <w:fldChar w:fldCharType="begin"/>
            </w:r>
            <w:r w:rsidR="00E61738">
              <w:rPr>
                <w:noProof/>
                <w:webHidden/>
              </w:rPr>
              <w:instrText xml:space="preserve"> PAGEREF _Toc102412719 \h </w:instrText>
            </w:r>
            <w:r w:rsidR="00E61738">
              <w:rPr>
                <w:noProof/>
                <w:webHidden/>
              </w:rPr>
            </w:r>
            <w:r w:rsidR="00E61738">
              <w:rPr>
                <w:noProof/>
                <w:webHidden/>
              </w:rPr>
              <w:fldChar w:fldCharType="separate"/>
            </w:r>
            <w:r w:rsidR="00A5551E">
              <w:rPr>
                <w:noProof/>
                <w:webHidden/>
              </w:rPr>
              <w:t>11</w:t>
            </w:r>
            <w:r w:rsidR="00E61738">
              <w:rPr>
                <w:noProof/>
                <w:webHidden/>
              </w:rPr>
              <w:fldChar w:fldCharType="end"/>
            </w:r>
          </w:hyperlink>
        </w:p>
        <w:p w14:paraId="7896FAF8" w14:textId="7BEC6704" w:rsidR="00E61738" w:rsidRDefault="0000317E">
          <w:pPr>
            <w:pStyle w:val="TOC1"/>
            <w:tabs>
              <w:tab w:val="right" w:leader="dot" w:pos="9350"/>
            </w:tabs>
            <w:rPr>
              <w:rFonts w:asciiTheme="minorHAnsi" w:eastAsiaTheme="minorEastAsia" w:hAnsiTheme="minorHAnsi"/>
              <w:noProof/>
              <w:lang w:eastAsia="zh-CN"/>
            </w:rPr>
          </w:pPr>
          <w:hyperlink w:anchor="_Toc102412720" w:history="1">
            <w:r w:rsidR="00E61738" w:rsidRPr="0059368B">
              <w:rPr>
                <w:rStyle w:val="Hyperlink"/>
                <w:rFonts w:cs="Times New Roman"/>
                <w:noProof/>
              </w:rPr>
              <w:t xml:space="preserve">Paper 1: Worries in My Heart: Defending the Significance of You </w:t>
            </w:r>
            <w:r w:rsidR="00E61738" w:rsidRPr="0059368B">
              <w:rPr>
                <w:rStyle w:val="Hyperlink"/>
                <w:rFonts w:eastAsia="MS Mincho" w:cs="Times New Roman" w:hint="eastAsia"/>
                <w:noProof/>
              </w:rPr>
              <w:t>憂</w:t>
            </w:r>
            <w:r w:rsidR="00E61738" w:rsidRPr="0059368B">
              <w:rPr>
                <w:rStyle w:val="Hyperlink"/>
                <w:rFonts w:cs="Times New Roman"/>
                <w:noProof/>
              </w:rPr>
              <w:t xml:space="preserve"> for Confucian Moral Cultivation</w:t>
            </w:r>
            <w:r w:rsidR="008F64AB">
              <w:rPr>
                <w:noProof/>
                <w:webHidden/>
              </w:rPr>
              <w:t xml:space="preserve">  </w:t>
            </w:r>
            <w:r w:rsidR="00E61738">
              <w:rPr>
                <w:noProof/>
                <w:webHidden/>
              </w:rPr>
              <w:fldChar w:fldCharType="begin"/>
            </w:r>
            <w:r w:rsidR="00E61738">
              <w:rPr>
                <w:noProof/>
                <w:webHidden/>
              </w:rPr>
              <w:instrText xml:space="preserve"> PAGEREF _Toc102412720 \h </w:instrText>
            </w:r>
            <w:r w:rsidR="00E61738">
              <w:rPr>
                <w:noProof/>
                <w:webHidden/>
              </w:rPr>
            </w:r>
            <w:r w:rsidR="00E61738">
              <w:rPr>
                <w:noProof/>
                <w:webHidden/>
              </w:rPr>
              <w:fldChar w:fldCharType="separate"/>
            </w:r>
            <w:r w:rsidR="00A5551E">
              <w:rPr>
                <w:noProof/>
                <w:webHidden/>
              </w:rPr>
              <w:t>14</w:t>
            </w:r>
            <w:r w:rsidR="00E61738">
              <w:rPr>
                <w:noProof/>
                <w:webHidden/>
              </w:rPr>
              <w:fldChar w:fldCharType="end"/>
            </w:r>
          </w:hyperlink>
        </w:p>
        <w:p w14:paraId="5327042A" w14:textId="1FEAA493" w:rsidR="00E61738" w:rsidRDefault="0000317E">
          <w:pPr>
            <w:pStyle w:val="TOC2"/>
            <w:tabs>
              <w:tab w:val="right" w:leader="dot" w:pos="9350"/>
            </w:tabs>
            <w:rPr>
              <w:rFonts w:asciiTheme="minorHAnsi" w:eastAsiaTheme="minorEastAsia" w:hAnsiTheme="minorHAnsi"/>
              <w:noProof/>
              <w:lang w:eastAsia="zh-CN"/>
            </w:rPr>
          </w:pPr>
          <w:hyperlink w:anchor="_Toc102412721" w:history="1">
            <w:r w:rsidR="00E61738" w:rsidRPr="0059368B">
              <w:rPr>
                <w:rStyle w:val="Hyperlink"/>
                <w:noProof/>
              </w:rPr>
              <w:t>Abstract</w:t>
            </w:r>
            <w:r w:rsidR="00E61738">
              <w:rPr>
                <w:noProof/>
                <w:webHidden/>
              </w:rPr>
              <w:tab/>
            </w:r>
            <w:r w:rsidR="00E61738">
              <w:rPr>
                <w:noProof/>
                <w:webHidden/>
              </w:rPr>
              <w:fldChar w:fldCharType="begin"/>
            </w:r>
            <w:r w:rsidR="00E61738">
              <w:rPr>
                <w:noProof/>
                <w:webHidden/>
              </w:rPr>
              <w:instrText xml:space="preserve"> PAGEREF _Toc102412721 \h </w:instrText>
            </w:r>
            <w:r w:rsidR="00E61738">
              <w:rPr>
                <w:noProof/>
                <w:webHidden/>
              </w:rPr>
            </w:r>
            <w:r w:rsidR="00E61738">
              <w:rPr>
                <w:noProof/>
                <w:webHidden/>
              </w:rPr>
              <w:fldChar w:fldCharType="separate"/>
            </w:r>
            <w:r w:rsidR="00A5551E">
              <w:rPr>
                <w:noProof/>
                <w:webHidden/>
              </w:rPr>
              <w:t>14</w:t>
            </w:r>
            <w:r w:rsidR="00E61738">
              <w:rPr>
                <w:noProof/>
                <w:webHidden/>
              </w:rPr>
              <w:fldChar w:fldCharType="end"/>
            </w:r>
          </w:hyperlink>
        </w:p>
        <w:p w14:paraId="1AD793B4" w14:textId="451B7AE2" w:rsidR="00E61738" w:rsidRDefault="0000317E">
          <w:pPr>
            <w:pStyle w:val="TOC2"/>
            <w:tabs>
              <w:tab w:val="right" w:leader="dot" w:pos="9350"/>
            </w:tabs>
            <w:rPr>
              <w:rFonts w:asciiTheme="minorHAnsi" w:eastAsiaTheme="minorEastAsia" w:hAnsiTheme="minorHAnsi"/>
              <w:noProof/>
              <w:lang w:eastAsia="zh-CN"/>
            </w:rPr>
          </w:pPr>
          <w:hyperlink w:anchor="_Toc102412722" w:history="1">
            <w:r w:rsidR="00E61738" w:rsidRPr="0059368B">
              <w:rPr>
                <w:rStyle w:val="Hyperlink"/>
                <w:rFonts w:cs="Times New Roman"/>
                <w:noProof/>
              </w:rPr>
              <w:t>1: Introduction</w:t>
            </w:r>
            <w:r w:rsidR="00E61738">
              <w:rPr>
                <w:noProof/>
                <w:webHidden/>
              </w:rPr>
              <w:tab/>
            </w:r>
            <w:r w:rsidR="00E61738">
              <w:rPr>
                <w:noProof/>
                <w:webHidden/>
              </w:rPr>
              <w:fldChar w:fldCharType="begin"/>
            </w:r>
            <w:r w:rsidR="00E61738">
              <w:rPr>
                <w:noProof/>
                <w:webHidden/>
              </w:rPr>
              <w:instrText xml:space="preserve"> PAGEREF _Toc102412722 \h </w:instrText>
            </w:r>
            <w:r w:rsidR="00E61738">
              <w:rPr>
                <w:noProof/>
                <w:webHidden/>
              </w:rPr>
            </w:r>
            <w:r w:rsidR="00E61738">
              <w:rPr>
                <w:noProof/>
                <w:webHidden/>
              </w:rPr>
              <w:fldChar w:fldCharType="separate"/>
            </w:r>
            <w:r w:rsidR="00A5551E">
              <w:rPr>
                <w:noProof/>
                <w:webHidden/>
              </w:rPr>
              <w:t>15</w:t>
            </w:r>
            <w:r w:rsidR="00E61738">
              <w:rPr>
                <w:noProof/>
                <w:webHidden/>
              </w:rPr>
              <w:fldChar w:fldCharType="end"/>
            </w:r>
          </w:hyperlink>
        </w:p>
        <w:p w14:paraId="5B4A2F10" w14:textId="7D488517" w:rsidR="00E61738" w:rsidRDefault="0000317E">
          <w:pPr>
            <w:pStyle w:val="TOC2"/>
            <w:tabs>
              <w:tab w:val="right" w:leader="dot" w:pos="9350"/>
            </w:tabs>
            <w:rPr>
              <w:rFonts w:asciiTheme="minorHAnsi" w:eastAsiaTheme="minorEastAsia" w:hAnsiTheme="minorHAnsi"/>
              <w:noProof/>
              <w:lang w:eastAsia="zh-CN"/>
            </w:rPr>
          </w:pPr>
          <w:hyperlink w:anchor="_Toc102412723" w:history="1">
            <w:r w:rsidR="00E61738" w:rsidRPr="0059368B">
              <w:rPr>
                <w:rStyle w:val="Hyperlink"/>
                <w:noProof/>
              </w:rPr>
              <w:t>2: Scholarly Debates</w:t>
            </w:r>
            <w:r w:rsidR="00E61738">
              <w:rPr>
                <w:noProof/>
                <w:webHidden/>
              </w:rPr>
              <w:tab/>
            </w:r>
            <w:r w:rsidR="00E61738">
              <w:rPr>
                <w:noProof/>
                <w:webHidden/>
              </w:rPr>
              <w:fldChar w:fldCharType="begin"/>
            </w:r>
            <w:r w:rsidR="00E61738">
              <w:rPr>
                <w:noProof/>
                <w:webHidden/>
              </w:rPr>
              <w:instrText xml:space="preserve"> PAGEREF _Toc102412723 \h </w:instrText>
            </w:r>
            <w:r w:rsidR="00E61738">
              <w:rPr>
                <w:noProof/>
                <w:webHidden/>
              </w:rPr>
            </w:r>
            <w:r w:rsidR="00E61738">
              <w:rPr>
                <w:noProof/>
                <w:webHidden/>
              </w:rPr>
              <w:fldChar w:fldCharType="separate"/>
            </w:r>
            <w:r w:rsidR="00A5551E">
              <w:rPr>
                <w:noProof/>
                <w:webHidden/>
              </w:rPr>
              <w:t>16</w:t>
            </w:r>
            <w:r w:rsidR="00E61738">
              <w:rPr>
                <w:noProof/>
                <w:webHidden/>
              </w:rPr>
              <w:fldChar w:fldCharType="end"/>
            </w:r>
          </w:hyperlink>
        </w:p>
        <w:p w14:paraId="47FC6E60" w14:textId="00D35D2F" w:rsidR="00E61738" w:rsidRDefault="0000317E">
          <w:pPr>
            <w:pStyle w:val="TOC2"/>
            <w:tabs>
              <w:tab w:val="right" w:leader="dot" w:pos="9350"/>
            </w:tabs>
            <w:rPr>
              <w:rFonts w:asciiTheme="minorHAnsi" w:eastAsiaTheme="minorEastAsia" w:hAnsiTheme="minorHAnsi"/>
              <w:noProof/>
              <w:lang w:eastAsia="zh-CN"/>
            </w:rPr>
          </w:pPr>
          <w:hyperlink w:anchor="_Toc102412724" w:history="1">
            <w:r w:rsidR="00E61738" w:rsidRPr="0059368B">
              <w:rPr>
                <w:rStyle w:val="Hyperlink"/>
                <w:noProof/>
              </w:rPr>
              <w:t>3: A Contour on Learning to Worry Well</w:t>
            </w:r>
            <w:r w:rsidR="00E61738">
              <w:rPr>
                <w:noProof/>
                <w:webHidden/>
              </w:rPr>
              <w:tab/>
            </w:r>
            <w:r w:rsidR="00E61738">
              <w:rPr>
                <w:noProof/>
                <w:webHidden/>
              </w:rPr>
              <w:fldChar w:fldCharType="begin"/>
            </w:r>
            <w:r w:rsidR="00E61738">
              <w:rPr>
                <w:noProof/>
                <w:webHidden/>
              </w:rPr>
              <w:instrText xml:space="preserve"> PAGEREF _Toc102412724 \h </w:instrText>
            </w:r>
            <w:r w:rsidR="00E61738">
              <w:rPr>
                <w:noProof/>
                <w:webHidden/>
              </w:rPr>
            </w:r>
            <w:r w:rsidR="00E61738">
              <w:rPr>
                <w:noProof/>
                <w:webHidden/>
              </w:rPr>
              <w:fldChar w:fldCharType="separate"/>
            </w:r>
            <w:r w:rsidR="00A5551E">
              <w:rPr>
                <w:noProof/>
                <w:webHidden/>
              </w:rPr>
              <w:t>24</w:t>
            </w:r>
            <w:r w:rsidR="00E61738">
              <w:rPr>
                <w:noProof/>
                <w:webHidden/>
              </w:rPr>
              <w:fldChar w:fldCharType="end"/>
            </w:r>
          </w:hyperlink>
        </w:p>
        <w:p w14:paraId="3A23327D" w14:textId="75978CF3" w:rsidR="00E61738" w:rsidRDefault="0000317E">
          <w:pPr>
            <w:pStyle w:val="TOC2"/>
            <w:tabs>
              <w:tab w:val="right" w:leader="dot" w:pos="9350"/>
            </w:tabs>
            <w:rPr>
              <w:rFonts w:asciiTheme="minorHAnsi" w:eastAsiaTheme="minorEastAsia" w:hAnsiTheme="minorHAnsi"/>
              <w:noProof/>
              <w:lang w:eastAsia="zh-CN"/>
            </w:rPr>
          </w:pPr>
          <w:hyperlink w:anchor="_Toc102412725" w:history="1">
            <w:r w:rsidR="00E61738" w:rsidRPr="0059368B">
              <w:rPr>
                <w:rStyle w:val="Hyperlink"/>
                <w:noProof/>
              </w:rPr>
              <w:t>4: The Elephant in the Room, Conclusion, and Implications</w:t>
            </w:r>
            <w:r w:rsidR="00E61738">
              <w:rPr>
                <w:noProof/>
                <w:webHidden/>
              </w:rPr>
              <w:tab/>
            </w:r>
            <w:r w:rsidR="00E61738">
              <w:rPr>
                <w:noProof/>
                <w:webHidden/>
              </w:rPr>
              <w:fldChar w:fldCharType="begin"/>
            </w:r>
            <w:r w:rsidR="00E61738">
              <w:rPr>
                <w:noProof/>
                <w:webHidden/>
              </w:rPr>
              <w:instrText xml:space="preserve"> PAGEREF _Toc102412725 \h </w:instrText>
            </w:r>
            <w:r w:rsidR="00E61738">
              <w:rPr>
                <w:noProof/>
                <w:webHidden/>
              </w:rPr>
            </w:r>
            <w:r w:rsidR="00E61738">
              <w:rPr>
                <w:noProof/>
                <w:webHidden/>
              </w:rPr>
              <w:fldChar w:fldCharType="separate"/>
            </w:r>
            <w:r w:rsidR="00A5551E">
              <w:rPr>
                <w:noProof/>
                <w:webHidden/>
              </w:rPr>
              <w:t>37</w:t>
            </w:r>
            <w:r w:rsidR="00E61738">
              <w:rPr>
                <w:noProof/>
                <w:webHidden/>
              </w:rPr>
              <w:fldChar w:fldCharType="end"/>
            </w:r>
          </w:hyperlink>
        </w:p>
        <w:p w14:paraId="7354C88A" w14:textId="7D63E033" w:rsidR="00E61738" w:rsidRDefault="0000317E">
          <w:pPr>
            <w:pStyle w:val="TOC2"/>
            <w:tabs>
              <w:tab w:val="right" w:leader="dot" w:pos="9350"/>
            </w:tabs>
            <w:rPr>
              <w:rFonts w:asciiTheme="minorHAnsi" w:eastAsiaTheme="minorEastAsia" w:hAnsiTheme="minorHAnsi"/>
              <w:noProof/>
              <w:lang w:eastAsia="zh-CN"/>
            </w:rPr>
          </w:pPr>
          <w:hyperlink w:anchor="_Toc102412726" w:history="1">
            <w:r w:rsidR="00E61738" w:rsidRPr="0059368B">
              <w:rPr>
                <w:rStyle w:val="Hyperlink"/>
                <w:rFonts w:cs="Times New Roman"/>
                <w:noProof/>
              </w:rPr>
              <w:t>Bibliography</w:t>
            </w:r>
            <w:r w:rsidR="00E61738">
              <w:rPr>
                <w:noProof/>
                <w:webHidden/>
              </w:rPr>
              <w:tab/>
            </w:r>
            <w:r w:rsidR="00E61738">
              <w:rPr>
                <w:noProof/>
                <w:webHidden/>
              </w:rPr>
              <w:fldChar w:fldCharType="begin"/>
            </w:r>
            <w:r w:rsidR="00E61738">
              <w:rPr>
                <w:noProof/>
                <w:webHidden/>
              </w:rPr>
              <w:instrText xml:space="preserve"> PAGEREF _Toc102412726 \h </w:instrText>
            </w:r>
            <w:r w:rsidR="00E61738">
              <w:rPr>
                <w:noProof/>
                <w:webHidden/>
              </w:rPr>
            </w:r>
            <w:r w:rsidR="00E61738">
              <w:rPr>
                <w:noProof/>
                <w:webHidden/>
              </w:rPr>
              <w:fldChar w:fldCharType="separate"/>
            </w:r>
            <w:r w:rsidR="00A5551E">
              <w:rPr>
                <w:noProof/>
                <w:webHidden/>
              </w:rPr>
              <w:t>43</w:t>
            </w:r>
            <w:r w:rsidR="00E61738">
              <w:rPr>
                <w:noProof/>
                <w:webHidden/>
              </w:rPr>
              <w:fldChar w:fldCharType="end"/>
            </w:r>
          </w:hyperlink>
        </w:p>
        <w:p w14:paraId="169E3BE3" w14:textId="53D39432" w:rsidR="00E61738" w:rsidRDefault="0000317E">
          <w:pPr>
            <w:pStyle w:val="TOC1"/>
            <w:tabs>
              <w:tab w:val="right" w:leader="dot" w:pos="9350"/>
            </w:tabs>
            <w:rPr>
              <w:rFonts w:asciiTheme="minorHAnsi" w:eastAsiaTheme="minorEastAsia" w:hAnsiTheme="minorHAnsi"/>
              <w:noProof/>
              <w:lang w:eastAsia="zh-CN"/>
            </w:rPr>
          </w:pPr>
          <w:hyperlink w:anchor="_Toc102412727" w:history="1">
            <w:r w:rsidR="00E61738" w:rsidRPr="0059368B">
              <w:rPr>
                <w:rStyle w:val="Hyperlink"/>
                <w:rFonts w:cs="Times New Roman"/>
                <w:noProof/>
              </w:rPr>
              <w:t>Paper 2</w:t>
            </w:r>
            <w:r w:rsidR="00E61738" w:rsidRPr="0059368B">
              <w:rPr>
                <w:rStyle w:val="Hyperlink"/>
                <w:rFonts w:cs="Times New Roman"/>
                <w:b/>
                <w:bCs/>
                <w:noProof/>
              </w:rPr>
              <w:t xml:space="preserve">: </w:t>
            </w:r>
            <w:r w:rsidR="00E61738" w:rsidRPr="0059368B">
              <w:rPr>
                <w:rStyle w:val="Hyperlink"/>
                <w:rFonts w:cs="Times New Roman"/>
                <w:noProof/>
              </w:rPr>
              <w:t xml:space="preserve">Confucian Humility in the </w:t>
            </w:r>
            <w:r w:rsidR="00E61738" w:rsidRPr="0059368B">
              <w:rPr>
                <w:rStyle w:val="Hyperlink"/>
                <w:rFonts w:cs="Times New Roman"/>
                <w:i/>
                <w:iCs/>
                <w:noProof/>
              </w:rPr>
              <w:t>Analects</w:t>
            </w:r>
            <w:r w:rsidR="00E61738">
              <w:rPr>
                <w:noProof/>
                <w:webHidden/>
              </w:rPr>
              <w:tab/>
            </w:r>
            <w:r w:rsidR="00E61738">
              <w:rPr>
                <w:noProof/>
                <w:webHidden/>
              </w:rPr>
              <w:fldChar w:fldCharType="begin"/>
            </w:r>
            <w:r w:rsidR="00E61738">
              <w:rPr>
                <w:noProof/>
                <w:webHidden/>
              </w:rPr>
              <w:instrText xml:space="preserve"> PAGEREF _Toc102412727 \h </w:instrText>
            </w:r>
            <w:r w:rsidR="00E61738">
              <w:rPr>
                <w:noProof/>
                <w:webHidden/>
              </w:rPr>
            </w:r>
            <w:r w:rsidR="00E61738">
              <w:rPr>
                <w:noProof/>
                <w:webHidden/>
              </w:rPr>
              <w:fldChar w:fldCharType="separate"/>
            </w:r>
            <w:r w:rsidR="00A5551E">
              <w:rPr>
                <w:noProof/>
                <w:webHidden/>
              </w:rPr>
              <w:t>45</w:t>
            </w:r>
            <w:r w:rsidR="00E61738">
              <w:rPr>
                <w:noProof/>
                <w:webHidden/>
              </w:rPr>
              <w:fldChar w:fldCharType="end"/>
            </w:r>
          </w:hyperlink>
        </w:p>
        <w:p w14:paraId="4F6C40B7" w14:textId="6B08FFD2" w:rsidR="00E61738" w:rsidRDefault="0000317E">
          <w:pPr>
            <w:pStyle w:val="TOC2"/>
            <w:tabs>
              <w:tab w:val="right" w:leader="dot" w:pos="9350"/>
            </w:tabs>
            <w:rPr>
              <w:rFonts w:asciiTheme="minorHAnsi" w:eastAsiaTheme="minorEastAsia" w:hAnsiTheme="minorHAnsi"/>
              <w:noProof/>
              <w:lang w:eastAsia="zh-CN"/>
            </w:rPr>
          </w:pPr>
          <w:hyperlink w:anchor="_Toc102412728" w:history="1">
            <w:r w:rsidR="00E61738" w:rsidRPr="0059368B">
              <w:rPr>
                <w:rStyle w:val="Hyperlink"/>
                <w:noProof/>
              </w:rPr>
              <w:t>1. Abstract and Introduction</w:t>
            </w:r>
            <w:r w:rsidR="00E61738">
              <w:rPr>
                <w:noProof/>
                <w:webHidden/>
              </w:rPr>
              <w:tab/>
            </w:r>
            <w:r w:rsidR="00E61738">
              <w:rPr>
                <w:noProof/>
                <w:webHidden/>
              </w:rPr>
              <w:fldChar w:fldCharType="begin"/>
            </w:r>
            <w:r w:rsidR="00E61738">
              <w:rPr>
                <w:noProof/>
                <w:webHidden/>
              </w:rPr>
              <w:instrText xml:space="preserve"> PAGEREF _Toc102412728 \h </w:instrText>
            </w:r>
            <w:r w:rsidR="00E61738">
              <w:rPr>
                <w:noProof/>
                <w:webHidden/>
              </w:rPr>
            </w:r>
            <w:r w:rsidR="00E61738">
              <w:rPr>
                <w:noProof/>
                <w:webHidden/>
              </w:rPr>
              <w:fldChar w:fldCharType="separate"/>
            </w:r>
            <w:r w:rsidR="00A5551E">
              <w:rPr>
                <w:noProof/>
                <w:webHidden/>
              </w:rPr>
              <w:t>45</w:t>
            </w:r>
            <w:r w:rsidR="00E61738">
              <w:rPr>
                <w:noProof/>
                <w:webHidden/>
              </w:rPr>
              <w:fldChar w:fldCharType="end"/>
            </w:r>
          </w:hyperlink>
        </w:p>
        <w:p w14:paraId="06FB90BD" w14:textId="02EC0837" w:rsidR="00E61738" w:rsidRDefault="0000317E">
          <w:pPr>
            <w:pStyle w:val="TOC2"/>
            <w:tabs>
              <w:tab w:val="right" w:leader="dot" w:pos="9350"/>
            </w:tabs>
            <w:rPr>
              <w:rFonts w:asciiTheme="minorHAnsi" w:eastAsiaTheme="minorEastAsia" w:hAnsiTheme="minorHAnsi"/>
              <w:noProof/>
              <w:lang w:eastAsia="zh-CN"/>
            </w:rPr>
          </w:pPr>
          <w:hyperlink w:anchor="_Toc102412729" w:history="1">
            <w:r w:rsidR="00E61738" w:rsidRPr="0059368B">
              <w:rPr>
                <w:rStyle w:val="Hyperlink"/>
                <w:noProof/>
              </w:rPr>
              <w:t>2. Four Recent Papers on Confucian Humility</w:t>
            </w:r>
            <w:r w:rsidR="00E61738">
              <w:rPr>
                <w:noProof/>
                <w:webHidden/>
              </w:rPr>
              <w:tab/>
            </w:r>
            <w:r w:rsidR="00E61738">
              <w:rPr>
                <w:noProof/>
                <w:webHidden/>
              </w:rPr>
              <w:fldChar w:fldCharType="begin"/>
            </w:r>
            <w:r w:rsidR="00E61738">
              <w:rPr>
                <w:noProof/>
                <w:webHidden/>
              </w:rPr>
              <w:instrText xml:space="preserve"> PAGEREF _Toc102412729 \h </w:instrText>
            </w:r>
            <w:r w:rsidR="00E61738">
              <w:rPr>
                <w:noProof/>
                <w:webHidden/>
              </w:rPr>
            </w:r>
            <w:r w:rsidR="00E61738">
              <w:rPr>
                <w:noProof/>
                <w:webHidden/>
              </w:rPr>
              <w:fldChar w:fldCharType="separate"/>
            </w:r>
            <w:r w:rsidR="00A5551E">
              <w:rPr>
                <w:noProof/>
                <w:webHidden/>
              </w:rPr>
              <w:t>46</w:t>
            </w:r>
            <w:r w:rsidR="00E61738">
              <w:rPr>
                <w:noProof/>
                <w:webHidden/>
              </w:rPr>
              <w:fldChar w:fldCharType="end"/>
            </w:r>
          </w:hyperlink>
        </w:p>
        <w:p w14:paraId="7BEC577B" w14:textId="1221D609" w:rsidR="00E61738" w:rsidRDefault="0000317E">
          <w:pPr>
            <w:pStyle w:val="TOC2"/>
            <w:tabs>
              <w:tab w:val="right" w:leader="dot" w:pos="9350"/>
            </w:tabs>
            <w:rPr>
              <w:rFonts w:asciiTheme="minorHAnsi" w:eastAsiaTheme="minorEastAsia" w:hAnsiTheme="minorHAnsi"/>
              <w:noProof/>
              <w:lang w:eastAsia="zh-CN"/>
            </w:rPr>
          </w:pPr>
          <w:hyperlink w:anchor="_Toc102412730" w:history="1">
            <w:r w:rsidR="00E61738" w:rsidRPr="0059368B">
              <w:rPr>
                <w:rStyle w:val="Hyperlink"/>
                <w:noProof/>
              </w:rPr>
              <w:t>3. My View on Confucian Humility in the Analects</w:t>
            </w:r>
            <w:r w:rsidR="00E61738">
              <w:rPr>
                <w:noProof/>
                <w:webHidden/>
              </w:rPr>
              <w:tab/>
            </w:r>
            <w:r w:rsidR="00E61738">
              <w:rPr>
                <w:noProof/>
                <w:webHidden/>
              </w:rPr>
              <w:fldChar w:fldCharType="begin"/>
            </w:r>
            <w:r w:rsidR="00E61738">
              <w:rPr>
                <w:noProof/>
                <w:webHidden/>
              </w:rPr>
              <w:instrText xml:space="preserve"> PAGEREF _Toc102412730 \h </w:instrText>
            </w:r>
            <w:r w:rsidR="00E61738">
              <w:rPr>
                <w:noProof/>
                <w:webHidden/>
              </w:rPr>
            </w:r>
            <w:r w:rsidR="00E61738">
              <w:rPr>
                <w:noProof/>
                <w:webHidden/>
              </w:rPr>
              <w:fldChar w:fldCharType="separate"/>
            </w:r>
            <w:r w:rsidR="00A5551E">
              <w:rPr>
                <w:noProof/>
                <w:webHidden/>
              </w:rPr>
              <w:t>55</w:t>
            </w:r>
            <w:r w:rsidR="00E61738">
              <w:rPr>
                <w:noProof/>
                <w:webHidden/>
              </w:rPr>
              <w:fldChar w:fldCharType="end"/>
            </w:r>
          </w:hyperlink>
        </w:p>
        <w:p w14:paraId="34E50C0F" w14:textId="6838C06F" w:rsidR="00E61738" w:rsidRDefault="0000317E">
          <w:pPr>
            <w:pStyle w:val="TOC3"/>
            <w:tabs>
              <w:tab w:val="right" w:leader="dot" w:pos="9350"/>
            </w:tabs>
            <w:rPr>
              <w:rFonts w:asciiTheme="minorHAnsi" w:eastAsiaTheme="minorEastAsia" w:hAnsiTheme="minorHAnsi"/>
              <w:noProof/>
              <w:lang w:eastAsia="zh-CN"/>
            </w:rPr>
          </w:pPr>
          <w:hyperlink w:anchor="_Toc102412731" w:history="1">
            <w:r w:rsidR="00E61738" w:rsidRPr="0059368B">
              <w:rPr>
                <w:rStyle w:val="Hyperlink"/>
                <w:rFonts w:cs="Times New Roman"/>
                <w:noProof/>
              </w:rPr>
              <w:t>3.1 First Strand of Confucian Humility: Vigilance Rooted in Loving Learning</w:t>
            </w:r>
            <w:r w:rsidR="00E61738">
              <w:rPr>
                <w:noProof/>
                <w:webHidden/>
              </w:rPr>
              <w:tab/>
            </w:r>
            <w:r w:rsidR="00E61738">
              <w:rPr>
                <w:noProof/>
                <w:webHidden/>
              </w:rPr>
              <w:fldChar w:fldCharType="begin"/>
            </w:r>
            <w:r w:rsidR="00E61738">
              <w:rPr>
                <w:noProof/>
                <w:webHidden/>
              </w:rPr>
              <w:instrText xml:space="preserve"> PAGEREF _Toc102412731 \h </w:instrText>
            </w:r>
            <w:r w:rsidR="00E61738">
              <w:rPr>
                <w:noProof/>
                <w:webHidden/>
              </w:rPr>
            </w:r>
            <w:r w:rsidR="00E61738">
              <w:rPr>
                <w:noProof/>
                <w:webHidden/>
              </w:rPr>
              <w:fldChar w:fldCharType="separate"/>
            </w:r>
            <w:r w:rsidR="00A5551E">
              <w:rPr>
                <w:noProof/>
                <w:webHidden/>
              </w:rPr>
              <w:t>55</w:t>
            </w:r>
            <w:r w:rsidR="00E61738">
              <w:rPr>
                <w:noProof/>
                <w:webHidden/>
              </w:rPr>
              <w:fldChar w:fldCharType="end"/>
            </w:r>
          </w:hyperlink>
        </w:p>
        <w:p w14:paraId="520C7763" w14:textId="527C8687" w:rsidR="00E61738" w:rsidRDefault="0000317E">
          <w:pPr>
            <w:pStyle w:val="TOC3"/>
            <w:tabs>
              <w:tab w:val="right" w:leader="dot" w:pos="9350"/>
            </w:tabs>
            <w:rPr>
              <w:rFonts w:asciiTheme="minorHAnsi" w:eastAsiaTheme="minorEastAsia" w:hAnsiTheme="minorHAnsi"/>
              <w:noProof/>
              <w:lang w:eastAsia="zh-CN"/>
            </w:rPr>
          </w:pPr>
          <w:hyperlink w:anchor="_Toc102412732" w:history="1">
            <w:r w:rsidR="00E61738" w:rsidRPr="0059368B">
              <w:rPr>
                <w:rStyle w:val="Hyperlink"/>
                <w:rFonts w:cs="Times New Roman"/>
                <w:noProof/>
              </w:rPr>
              <w:t>3.2. Second Strand of Confucian Humility: Devotion to Responsibility</w:t>
            </w:r>
            <w:r w:rsidR="00E61738">
              <w:rPr>
                <w:noProof/>
                <w:webHidden/>
              </w:rPr>
              <w:tab/>
            </w:r>
            <w:r w:rsidR="00E61738">
              <w:rPr>
                <w:noProof/>
                <w:webHidden/>
              </w:rPr>
              <w:fldChar w:fldCharType="begin"/>
            </w:r>
            <w:r w:rsidR="00E61738">
              <w:rPr>
                <w:noProof/>
                <w:webHidden/>
              </w:rPr>
              <w:instrText xml:space="preserve"> PAGEREF _Toc102412732 \h </w:instrText>
            </w:r>
            <w:r w:rsidR="00E61738">
              <w:rPr>
                <w:noProof/>
                <w:webHidden/>
              </w:rPr>
            </w:r>
            <w:r w:rsidR="00E61738">
              <w:rPr>
                <w:noProof/>
                <w:webHidden/>
              </w:rPr>
              <w:fldChar w:fldCharType="separate"/>
            </w:r>
            <w:r w:rsidR="00A5551E">
              <w:rPr>
                <w:noProof/>
                <w:webHidden/>
              </w:rPr>
              <w:t>62</w:t>
            </w:r>
            <w:r w:rsidR="00E61738">
              <w:rPr>
                <w:noProof/>
                <w:webHidden/>
              </w:rPr>
              <w:fldChar w:fldCharType="end"/>
            </w:r>
          </w:hyperlink>
        </w:p>
        <w:p w14:paraId="434CE5EF" w14:textId="0E3F8E5C" w:rsidR="00E61738" w:rsidRDefault="0000317E">
          <w:pPr>
            <w:pStyle w:val="TOC3"/>
            <w:tabs>
              <w:tab w:val="right" w:leader="dot" w:pos="9350"/>
            </w:tabs>
            <w:rPr>
              <w:rFonts w:asciiTheme="minorHAnsi" w:eastAsiaTheme="minorEastAsia" w:hAnsiTheme="minorHAnsi"/>
              <w:noProof/>
              <w:lang w:eastAsia="zh-CN"/>
            </w:rPr>
          </w:pPr>
          <w:hyperlink w:anchor="_Toc102412733" w:history="1">
            <w:r w:rsidR="00E61738" w:rsidRPr="0059368B">
              <w:rPr>
                <w:rStyle w:val="Hyperlink"/>
                <w:rFonts w:cs="Times New Roman"/>
                <w:noProof/>
              </w:rPr>
              <w:t xml:space="preserve">3.3. On the Significance of </w:t>
            </w:r>
            <w:r w:rsidR="00E61738" w:rsidRPr="0059368B">
              <w:rPr>
                <w:rStyle w:val="Hyperlink"/>
                <w:rFonts w:cs="Times New Roman"/>
                <w:i/>
                <w:iCs/>
                <w:noProof/>
              </w:rPr>
              <w:t>Li</w:t>
            </w:r>
            <w:r w:rsidR="00E61738" w:rsidRPr="0059368B">
              <w:rPr>
                <w:rStyle w:val="Hyperlink"/>
                <w:rFonts w:cs="Times New Roman"/>
                <w:noProof/>
              </w:rPr>
              <w:t xml:space="preserve"> </w:t>
            </w:r>
            <w:r w:rsidR="00E61738" w:rsidRPr="0059368B">
              <w:rPr>
                <w:rStyle w:val="Hyperlink"/>
                <w:rFonts w:eastAsia="MS Mincho" w:cs="Times New Roman" w:hint="eastAsia"/>
                <w:noProof/>
              </w:rPr>
              <w:t>禮</w:t>
            </w:r>
            <w:r w:rsidR="00E61738">
              <w:rPr>
                <w:noProof/>
                <w:webHidden/>
              </w:rPr>
              <w:tab/>
            </w:r>
            <w:r w:rsidR="00E61738">
              <w:rPr>
                <w:noProof/>
                <w:webHidden/>
              </w:rPr>
              <w:fldChar w:fldCharType="begin"/>
            </w:r>
            <w:r w:rsidR="00E61738">
              <w:rPr>
                <w:noProof/>
                <w:webHidden/>
              </w:rPr>
              <w:instrText xml:space="preserve"> PAGEREF _Toc102412733 \h </w:instrText>
            </w:r>
            <w:r w:rsidR="00E61738">
              <w:rPr>
                <w:noProof/>
                <w:webHidden/>
              </w:rPr>
            </w:r>
            <w:r w:rsidR="00E61738">
              <w:rPr>
                <w:noProof/>
                <w:webHidden/>
              </w:rPr>
              <w:fldChar w:fldCharType="separate"/>
            </w:r>
            <w:r w:rsidR="00A5551E">
              <w:rPr>
                <w:noProof/>
                <w:webHidden/>
              </w:rPr>
              <w:t>69</w:t>
            </w:r>
            <w:r w:rsidR="00E61738">
              <w:rPr>
                <w:noProof/>
                <w:webHidden/>
              </w:rPr>
              <w:fldChar w:fldCharType="end"/>
            </w:r>
          </w:hyperlink>
        </w:p>
        <w:p w14:paraId="781DDAE9" w14:textId="712F04FF" w:rsidR="00E61738" w:rsidRDefault="0000317E">
          <w:pPr>
            <w:pStyle w:val="TOC2"/>
            <w:tabs>
              <w:tab w:val="right" w:leader="dot" w:pos="9350"/>
            </w:tabs>
            <w:rPr>
              <w:rFonts w:asciiTheme="minorHAnsi" w:eastAsiaTheme="minorEastAsia" w:hAnsiTheme="minorHAnsi"/>
              <w:noProof/>
              <w:lang w:eastAsia="zh-CN"/>
            </w:rPr>
          </w:pPr>
          <w:hyperlink w:anchor="_Toc102412734" w:history="1">
            <w:r w:rsidR="00E61738" w:rsidRPr="0059368B">
              <w:rPr>
                <w:rStyle w:val="Hyperlink"/>
                <w:noProof/>
              </w:rPr>
              <w:t>4. Implications and Conclusion</w:t>
            </w:r>
            <w:r w:rsidR="00E61738">
              <w:rPr>
                <w:noProof/>
                <w:webHidden/>
              </w:rPr>
              <w:tab/>
            </w:r>
            <w:r w:rsidR="00E61738">
              <w:rPr>
                <w:noProof/>
                <w:webHidden/>
              </w:rPr>
              <w:fldChar w:fldCharType="begin"/>
            </w:r>
            <w:r w:rsidR="00E61738">
              <w:rPr>
                <w:noProof/>
                <w:webHidden/>
              </w:rPr>
              <w:instrText xml:space="preserve"> PAGEREF _Toc102412734 \h </w:instrText>
            </w:r>
            <w:r w:rsidR="00E61738">
              <w:rPr>
                <w:noProof/>
                <w:webHidden/>
              </w:rPr>
            </w:r>
            <w:r w:rsidR="00E61738">
              <w:rPr>
                <w:noProof/>
                <w:webHidden/>
              </w:rPr>
              <w:fldChar w:fldCharType="separate"/>
            </w:r>
            <w:r w:rsidR="00A5551E">
              <w:rPr>
                <w:noProof/>
                <w:webHidden/>
              </w:rPr>
              <w:t>73</w:t>
            </w:r>
            <w:r w:rsidR="00E61738">
              <w:rPr>
                <w:noProof/>
                <w:webHidden/>
              </w:rPr>
              <w:fldChar w:fldCharType="end"/>
            </w:r>
          </w:hyperlink>
        </w:p>
        <w:p w14:paraId="2C641BB9" w14:textId="27A6C079" w:rsidR="00E61738" w:rsidRDefault="0000317E">
          <w:pPr>
            <w:pStyle w:val="TOC2"/>
            <w:tabs>
              <w:tab w:val="right" w:leader="dot" w:pos="9350"/>
            </w:tabs>
            <w:rPr>
              <w:rFonts w:asciiTheme="minorHAnsi" w:eastAsiaTheme="minorEastAsia" w:hAnsiTheme="minorHAnsi"/>
              <w:noProof/>
              <w:lang w:eastAsia="zh-CN"/>
            </w:rPr>
          </w:pPr>
          <w:hyperlink w:anchor="_Toc102412735" w:history="1">
            <w:r w:rsidR="00E61738" w:rsidRPr="0059368B">
              <w:rPr>
                <w:rStyle w:val="Hyperlink"/>
                <w:noProof/>
              </w:rPr>
              <w:t>Bibliography</w:t>
            </w:r>
            <w:r w:rsidR="00E61738">
              <w:rPr>
                <w:noProof/>
                <w:webHidden/>
              </w:rPr>
              <w:tab/>
            </w:r>
            <w:r w:rsidR="00E61738">
              <w:rPr>
                <w:noProof/>
                <w:webHidden/>
              </w:rPr>
              <w:fldChar w:fldCharType="begin"/>
            </w:r>
            <w:r w:rsidR="00E61738">
              <w:rPr>
                <w:noProof/>
                <w:webHidden/>
              </w:rPr>
              <w:instrText xml:space="preserve"> PAGEREF _Toc102412735 \h </w:instrText>
            </w:r>
            <w:r w:rsidR="00E61738">
              <w:rPr>
                <w:noProof/>
                <w:webHidden/>
              </w:rPr>
            </w:r>
            <w:r w:rsidR="00E61738">
              <w:rPr>
                <w:noProof/>
                <w:webHidden/>
              </w:rPr>
              <w:fldChar w:fldCharType="separate"/>
            </w:r>
            <w:r w:rsidR="00A5551E">
              <w:rPr>
                <w:noProof/>
                <w:webHidden/>
              </w:rPr>
              <w:t>76</w:t>
            </w:r>
            <w:r w:rsidR="00E61738">
              <w:rPr>
                <w:noProof/>
                <w:webHidden/>
              </w:rPr>
              <w:fldChar w:fldCharType="end"/>
            </w:r>
          </w:hyperlink>
        </w:p>
        <w:p w14:paraId="17886472" w14:textId="0ABA8589" w:rsidR="00E61738" w:rsidRDefault="0000317E">
          <w:pPr>
            <w:pStyle w:val="TOC1"/>
            <w:tabs>
              <w:tab w:val="right" w:leader="dot" w:pos="9350"/>
            </w:tabs>
            <w:rPr>
              <w:rFonts w:asciiTheme="minorHAnsi" w:eastAsiaTheme="minorEastAsia" w:hAnsiTheme="minorHAnsi"/>
              <w:noProof/>
              <w:lang w:eastAsia="zh-CN"/>
            </w:rPr>
          </w:pPr>
          <w:hyperlink w:anchor="_Toc102412736" w:history="1">
            <w:r w:rsidR="00E61738" w:rsidRPr="0059368B">
              <w:rPr>
                <w:rStyle w:val="Hyperlink"/>
                <w:rFonts w:cs="Times New Roman"/>
                <w:noProof/>
              </w:rPr>
              <w:t>Paper Three: How We Need Others: A Defense of Strong Relational Virtue</w:t>
            </w:r>
            <w:r w:rsidR="00E61738">
              <w:rPr>
                <w:noProof/>
                <w:webHidden/>
              </w:rPr>
              <w:tab/>
            </w:r>
            <w:r w:rsidR="00E61738">
              <w:rPr>
                <w:noProof/>
                <w:webHidden/>
              </w:rPr>
              <w:fldChar w:fldCharType="begin"/>
            </w:r>
            <w:r w:rsidR="00E61738">
              <w:rPr>
                <w:noProof/>
                <w:webHidden/>
              </w:rPr>
              <w:instrText xml:space="preserve"> PAGEREF _Toc102412736 \h </w:instrText>
            </w:r>
            <w:r w:rsidR="00E61738">
              <w:rPr>
                <w:noProof/>
                <w:webHidden/>
              </w:rPr>
            </w:r>
            <w:r w:rsidR="00E61738">
              <w:rPr>
                <w:noProof/>
                <w:webHidden/>
              </w:rPr>
              <w:fldChar w:fldCharType="separate"/>
            </w:r>
            <w:r w:rsidR="00A5551E">
              <w:rPr>
                <w:noProof/>
                <w:webHidden/>
              </w:rPr>
              <w:t>77</w:t>
            </w:r>
            <w:r w:rsidR="00E61738">
              <w:rPr>
                <w:noProof/>
                <w:webHidden/>
              </w:rPr>
              <w:fldChar w:fldCharType="end"/>
            </w:r>
          </w:hyperlink>
        </w:p>
        <w:p w14:paraId="668233E4" w14:textId="43CCD92F" w:rsidR="00E61738" w:rsidRDefault="0000317E">
          <w:pPr>
            <w:pStyle w:val="TOC2"/>
            <w:tabs>
              <w:tab w:val="left" w:pos="660"/>
              <w:tab w:val="right" w:leader="dot" w:pos="9350"/>
            </w:tabs>
            <w:rPr>
              <w:rFonts w:asciiTheme="minorHAnsi" w:eastAsiaTheme="minorEastAsia" w:hAnsiTheme="minorHAnsi"/>
              <w:noProof/>
              <w:lang w:eastAsia="zh-CN"/>
            </w:rPr>
          </w:pPr>
          <w:hyperlink w:anchor="_Toc102412737" w:history="1">
            <w:r w:rsidR="00E61738" w:rsidRPr="0059368B">
              <w:rPr>
                <w:rStyle w:val="Hyperlink"/>
                <w:noProof/>
              </w:rPr>
              <w:t>1.</w:t>
            </w:r>
            <w:r w:rsidR="00E61738">
              <w:rPr>
                <w:rFonts w:asciiTheme="minorHAnsi" w:eastAsiaTheme="minorEastAsia" w:hAnsiTheme="minorHAnsi"/>
                <w:noProof/>
                <w:lang w:eastAsia="zh-CN"/>
              </w:rPr>
              <w:tab/>
            </w:r>
            <w:r w:rsidR="00E61738" w:rsidRPr="0059368B">
              <w:rPr>
                <w:rStyle w:val="Hyperlink"/>
                <w:noProof/>
              </w:rPr>
              <w:t>Introduction</w:t>
            </w:r>
            <w:r w:rsidR="00E61738">
              <w:rPr>
                <w:noProof/>
                <w:webHidden/>
              </w:rPr>
              <w:tab/>
            </w:r>
            <w:r w:rsidR="00E61738">
              <w:rPr>
                <w:noProof/>
                <w:webHidden/>
              </w:rPr>
              <w:fldChar w:fldCharType="begin"/>
            </w:r>
            <w:r w:rsidR="00E61738">
              <w:rPr>
                <w:noProof/>
                <w:webHidden/>
              </w:rPr>
              <w:instrText xml:space="preserve"> PAGEREF _Toc102412737 \h </w:instrText>
            </w:r>
            <w:r w:rsidR="00E61738">
              <w:rPr>
                <w:noProof/>
                <w:webHidden/>
              </w:rPr>
            </w:r>
            <w:r w:rsidR="00E61738">
              <w:rPr>
                <w:noProof/>
                <w:webHidden/>
              </w:rPr>
              <w:fldChar w:fldCharType="separate"/>
            </w:r>
            <w:r w:rsidR="00A5551E">
              <w:rPr>
                <w:noProof/>
                <w:webHidden/>
              </w:rPr>
              <w:t>77</w:t>
            </w:r>
            <w:r w:rsidR="00E61738">
              <w:rPr>
                <w:noProof/>
                <w:webHidden/>
              </w:rPr>
              <w:fldChar w:fldCharType="end"/>
            </w:r>
          </w:hyperlink>
        </w:p>
        <w:p w14:paraId="2C0DA0CC" w14:textId="43F9BB6E" w:rsidR="00E61738" w:rsidRDefault="0000317E">
          <w:pPr>
            <w:pStyle w:val="TOC2"/>
            <w:tabs>
              <w:tab w:val="left" w:pos="660"/>
              <w:tab w:val="right" w:leader="dot" w:pos="9350"/>
            </w:tabs>
            <w:rPr>
              <w:rFonts w:asciiTheme="minorHAnsi" w:eastAsiaTheme="minorEastAsia" w:hAnsiTheme="minorHAnsi"/>
              <w:noProof/>
              <w:lang w:eastAsia="zh-CN"/>
            </w:rPr>
          </w:pPr>
          <w:hyperlink w:anchor="_Toc102412738" w:history="1">
            <w:r w:rsidR="00E61738" w:rsidRPr="0059368B">
              <w:rPr>
                <w:rStyle w:val="Hyperlink"/>
                <w:noProof/>
              </w:rPr>
              <w:t>2.</w:t>
            </w:r>
            <w:r w:rsidR="00E61738">
              <w:rPr>
                <w:rFonts w:asciiTheme="minorHAnsi" w:eastAsiaTheme="minorEastAsia" w:hAnsiTheme="minorHAnsi"/>
                <w:noProof/>
                <w:lang w:eastAsia="zh-CN"/>
              </w:rPr>
              <w:tab/>
            </w:r>
            <w:r w:rsidR="00E61738" w:rsidRPr="0059368B">
              <w:rPr>
                <w:rStyle w:val="Hyperlink"/>
                <w:noProof/>
              </w:rPr>
              <w:t>Preliminary Reflections on Intimate and Deep Relationships</w:t>
            </w:r>
            <w:r w:rsidR="00E61738">
              <w:rPr>
                <w:noProof/>
                <w:webHidden/>
              </w:rPr>
              <w:tab/>
            </w:r>
            <w:r w:rsidR="00E61738">
              <w:rPr>
                <w:noProof/>
                <w:webHidden/>
              </w:rPr>
              <w:fldChar w:fldCharType="begin"/>
            </w:r>
            <w:r w:rsidR="00E61738">
              <w:rPr>
                <w:noProof/>
                <w:webHidden/>
              </w:rPr>
              <w:instrText xml:space="preserve"> PAGEREF _Toc102412738 \h </w:instrText>
            </w:r>
            <w:r w:rsidR="00E61738">
              <w:rPr>
                <w:noProof/>
                <w:webHidden/>
              </w:rPr>
            </w:r>
            <w:r w:rsidR="00E61738">
              <w:rPr>
                <w:noProof/>
                <w:webHidden/>
              </w:rPr>
              <w:fldChar w:fldCharType="separate"/>
            </w:r>
            <w:r w:rsidR="00A5551E">
              <w:rPr>
                <w:noProof/>
                <w:webHidden/>
              </w:rPr>
              <w:t>77</w:t>
            </w:r>
            <w:r w:rsidR="00E61738">
              <w:rPr>
                <w:noProof/>
                <w:webHidden/>
              </w:rPr>
              <w:fldChar w:fldCharType="end"/>
            </w:r>
          </w:hyperlink>
        </w:p>
        <w:p w14:paraId="21DE8C53" w14:textId="132C974B" w:rsidR="00E61738" w:rsidRDefault="0000317E">
          <w:pPr>
            <w:pStyle w:val="TOC2"/>
            <w:tabs>
              <w:tab w:val="left" w:pos="660"/>
              <w:tab w:val="right" w:leader="dot" w:pos="9350"/>
            </w:tabs>
            <w:rPr>
              <w:rFonts w:asciiTheme="minorHAnsi" w:eastAsiaTheme="minorEastAsia" w:hAnsiTheme="minorHAnsi"/>
              <w:noProof/>
              <w:lang w:eastAsia="zh-CN"/>
            </w:rPr>
          </w:pPr>
          <w:hyperlink w:anchor="_Toc102412739" w:history="1">
            <w:r w:rsidR="00E61738" w:rsidRPr="0059368B">
              <w:rPr>
                <w:rStyle w:val="Hyperlink"/>
                <w:noProof/>
              </w:rPr>
              <w:t>3.</w:t>
            </w:r>
            <w:r w:rsidR="00E61738">
              <w:rPr>
                <w:rFonts w:asciiTheme="minorHAnsi" w:eastAsiaTheme="minorEastAsia" w:hAnsiTheme="minorHAnsi"/>
                <w:noProof/>
                <w:lang w:eastAsia="zh-CN"/>
              </w:rPr>
              <w:tab/>
            </w:r>
            <w:r w:rsidR="00E61738" w:rsidRPr="0059368B">
              <w:rPr>
                <w:rStyle w:val="Hyperlink"/>
                <w:noProof/>
              </w:rPr>
              <w:t>Relational Response and Relational Virtue</w:t>
            </w:r>
            <w:r w:rsidR="00E61738">
              <w:rPr>
                <w:noProof/>
                <w:webHidden/>
              </w:rPr>
              <w:tab/>
            </w:r>
            <w:r w:rsidR="00E61738">
              <w:rPr>
                <w:noProof/>
                <w:webHidden/>
              </w:rPr>
              <w:fldChar w:fldCharType="begin"/>
            </w:r>
            <w:r w:rsidR="00E61738">
              <w:rPr>
                <w:noProof/>
                <w:webHidden/>
              </w:rPr>
              <w:instrText xml:space="preserve"> PAGEREF _Toc102412739 \h </w:instrText>
            </w:r>
            <w:r w:rsidR="00E61738">
              <w:rPr>
                <w:noProof/>
                <w:webHidden/>
              </w:rPr>
            </w:r>
            <w:r w:rsidR="00E61738">
              <w:rPr>
                <w:noProof/>
                <w:webHidden/>
              </w:rPr>
              <w:fldChar w:fldCharType="separate"/>
            </w:r>
            <w:r w:rsidR="00A5551E">
              <w:rPr>
                <w:noProof/>
                <w:webHidden/>
              </w:rPr>
              <w:t>86</w:t>
            </w:r>
            <w:r w:rsidR="00E61738">
              <w:rPr>
                <w:noProof/>
                <w:webHidden/>
              </w:rPr>
              <w:fldChar w:fldCharType="end"/>
            </w:r>
          </w:hyperlink>
        </w:p>
        <w:p w14:paraId="71BA1A4D" w14:textId="24AA565A" w:rsidR="00E61738" w:rsidRDefault="0000317E">
          <w:pPr>
            <w:pStyle w:val="TOC2"/>
            <w:tabs>
              <w:tab w:val="left" w:pos="660"/>
              <w:tab w:val="right" w:leader="dot" w:pos="9350"/>
            </w:tabs>
            <w:rPr>
              <w:rFonts w:asciiTheme="minorHAnsi" w:eastAsiaTheme="minorEastAsia" w:hAnsiTheme="minorHAnsi"/>
              <w:noProof/>
              <w:lang w:eastAsia="zh-CN"/>
            </w:rPr>
          </w:pPr>
          <w:hyperlink w:anchor="_Toc102412740" w:history="1">
            <w:r w:rsidR="00E61738" w:rsidRPr="0059368B">
              <w:rPr>
                <w:rStyle w:val="Hyperlink"/>
                <w:noProof/>
              </w:rPr>
              <w:t>4.</w:t>
            </w:r>
            <w:r w:rsidR="00E61738">
              <w:rPr>
                <w:rFonts w:asciiTheme="minorHAnsi" w:eastAsiaTheme="minorEastAsia" w:hAnsiTheme="minorHAnsi"/>
                <w:noProof/>
                <w:lang w:eastAsia="zh-CN"/>
              </w:rPr>
              <w:tab/>
            </w:r>
            <w:r w:rsidR="00E61738" w:rsidRPr="0059368B">
              <w:rPr>
                <w:rStyle w:val="Hyperlink"/>
                <w:noProof/>
              </w:rPr>
              <w:t>Caveats and Qualifications</w:t>
            </w:r>
            <w:r w:rsidR="00E61738">
              <w:rPr>
                <w:noProof/>
                <w:webHidden/>
              </w:rPr>
              <w:tab/>
            </w:r>
            <w:r w:rsidR="00E61738">
              <w:rPr>
                <w:noProof/>
                <w:webHidden/>
              </w:rPr>
              <w:fldChar w:fldCharType="begin"/>
            </w:r>
            <w:r w:rsidR="00E61738">
              <w:rPr>
                <w:noProof/>
                <w:webHidden/>
              </w:rPr>
              <w:instrText xml:space="preserve"> PAGEREF _Toc102412740 \h </w:instrText>
            </w:r>
            <w:r w:rsidR="00E61738">
              <w:rPr>
                <w:noProof/>
                <w:webHidden/>
              </w:rPr>
            </w:r>
            <w:r w:rsidR="00E61738">
              <w:rPr>
                <w:noProof/>
                <w:webHidden/>
              </w:rPr>
              <w:fldChar w:fldCharType="separate"/>
            </w:r>
            <w:r w:rsidR="00A5551E">
              <w:rPr>
                <w:noProof/>
                <w:webHidden/>
              </w:rPr>
              <w:t>96</w:t>
            </w:r>
            <w:r w:rsidR="00E61738">
              <w:rPr>
                <w:noProof/>
                <w:webHidden/>
              </w:rPr>
              <w:fldChar w:fldCharType="end"/>
            </w:r>
          </w:hyperlink>
        </w:p>
        <w:p w14:paraId="0B8FE720" w14:textId="105C0CD6" w:rsidR="00E61738" w:rsidRDefault="0000317E">
          <w:pPr>
            <w:pStyle w:val="TOC2"/>
            <w:tabs>
              <w:tab w:val="left" w:pos="660"/>
              <w:tab w:val="right" w:leader="dot" w:pos="9350"/>
            </w:tabs>
            <w:rPr>
              <w:rFonts w:asciiTheme="minorHAnsi" w:eastAsiaTheme="minorEastAsia" w:hAnsiTheme="minorHAnsi"/>
              <w:noProof/>
              <w:lang w:eastAsia="zh-CN"/>
            </w:rPr>
          </w:pPr>
          <w:hyperlink w:anchor="_Toc102412741" w:history="1">
            <w:r w:rsidR="00E61738" w:rsidRPr="0059368B">
              <w:rPr>
                <w:rStyle w:val="Hyperlink"/>
                <w:noProof/>
              </w:rPr>
              <w:t>5.</w:t>
            </w:r>
            <w:r w:rsidR="00E61738">
              <w:rPr>
                <w:rFonts w:asciiTheme="minorHAnsi" w:eastAsiaTheme="minorEastAsia" w:hAnsiTheme="minorHAnsi"/>
                <w:noProof/>
                <w:lang w:eastAsia="zh-CN"/>
              </w:rPr>
              <w:tab/>
            </w:r>
            <w:r w:rsidR="00E61738" w:rsidRPr="0059368B">
              <w:rPr>
                <w:rStyle w:val="Hyperlink"/>
                <w:noProof/>
              </w:rPr>
              <w:t>Conclusion and Implications</w:t>
            </w:r>
            <w:r w:rsidR="00E61738">
              <w:rPr>
                <w:noProof/>
                <w:webHidden/>
              </w:rPr>
              <w:tab/>
            </w:r>
            <w:r w:rsidR="00E61738">
              <w:rPr>
                <w:noProof/>
                <w:webHidden/>
              </w:rPr>
              <w:fldChar w:fldCharType="begin"/>
            </w:r>
            <w:r w:rsidR="00E61738">
              <w:rPr>
                <w:noProof/>
                <w:webHidden/>
              </w:rPr>
              <w:instrText xml:space="preserve"> PAGEREF _Toc102412741 \h </w:instrText>
            </w:r>
            <w:r w:rsidR="00E61738">
              <w:rPr>
                <w:noProof/>
                <w:webHidden/>
              </w:rPr>
            </w:r>
            <w:r w:rsidR="00E61738">
              <w:rPr>
                <w:noProof/>
                <w:webHidden/>
              </w:rPr>
              <w:fldChar w:fldCharType="separate"/>
            </w:r>
            <w:r w:rsidR="00A5551E">
              <w:rPr>
                <w:noProof/>
                <w:webHidden/>
              </w:rPr>
              <w:t>101</w:t>
            </w:r>
            <w:r w:rsidR="00E61738">
              <w:rPr>
                <w:noProof/>
                <w:webHidden/>
              </w:rPr>
              <w:fldChar w:fldCharType="end"/>
            </w:r>
          </w:hyperlink>
        </w:p>
        <w:p w14:paraId="2AA26083" w14:textId="5F67E225" w:rsidR="00E61738" w:rsidRDefault="0000317E">
          <w:pPr>
            <w:pStyle w:val="TOC2"/>
            <w:tabs>
              <w:tab w:val="right" w:leader="dot" w:pos="9350"/>
            </w:tabs>
            <w:rPr>
              <w:rFonts w:asciiTheme="minorHAnsi" w:eastAsiaTheme="minorEastAsia" w:hAnsiTheme="minorHAnsi"/>
              <w:noProof/>
              <w:lang w:eastAsia="zh-CN"/>
            </w:rPr>
          </w:pPr>
          <w:hyperlink w:anchor="_Toc102412742" w:history="1">
            <w:r w:rsidR="00E61738" w:rsidRPr="0059368B">
              <w:rPr>
                <w:rStyle w:val="Hyperlink"/>
                <w:rFonts w:cs="Times New Roman"/>
                <w:noProof/>
              </w:rPr>
              <w:t>Bibliography</w:t>
            </w:r>
            <w:r w:rsidR="00E61738">
              <w:rPr>
                <w:noProof/>
                <w:webHidden/>
              </w:rPr>
              <w:tab/>
            </w:r>
            <w:r w:rsidR="00E61738">
              <w:rPr>
                <w:noProof/>
                <w:webHidden/>
              </w:rPr>
              <w:fldChar w:fldCharType="begin"/>
            </w:r>
            <w:r w:rsidR="00E61738">
              <w:rPr>
                <w:noProof/>
                <w:webHidden/>
              </w:rPr>
              <w:instrText xml:space="preserve"> PAGEREF _Toc102412742 \h </w:instrText>
            </w:r>
            <w:r w:rsidR="00E61738">
              <w:rPr>
                <w:noProof/>
                <w:webHidden/>
              </w:rPr>
            </w:r>
            <w:r w:rsidR="00E61738">
              <w:rPr>
                <w:noProof/>
                <w:webHidden/>
              </w:rPr>
              <w:fldChar w:fldCharType="separate"/>
            </w:r>
            <w:r w:rsidR="00A5551E">
              <w:rPr>
                <w:noProof/>
                <w:webHidden/>
              </w:rPr>
              <w:t>105</w:t>
            </w:r>
            <w:r w:rsidR="00E61738">
              <w:rPr>
                <w:noProof/>
                <w:webHidden/>
              </w:rPr>
              <w:fldChar w:fldCharType="end"/>
            </w:r>
          </w:hyperlink>
        </w:p>
        <w:p w14:paraId="325D49AC" w14:textId="6761F9F8" w:rsidR="00E61738" w:rsidRDefault="0000317E">
          <w:pPr>
            <w:pStyle w:val="TOC1"/>
            <w:tabs>
              <w:tab w:val="right" w:leader="dot" w:pos="9350"/>
            </w:tabs>
            <w:rPr>
              <w:rFonts w:asciiTheme="minorHAnsi" w:eastAsiaTheme="minorEastAsia" w:hAnsiTheme="minorHAnsi"/>
              <w:noProof/>
              <w:lang w:eastAsia="zh-CN"/>
            </w:rPr>
          </w:pPr>
          <w:hyperlink w:anchor="_Toc102412743" w:history="1">
            <w:r w:rsidR="00E61738" w:rsidRPr="0059368B">
              <w:rPr>
                <w:rStyle w:val="Hyperlink"/>
                <w:noProof/>
              </w:rPr>
              <w:t>Conclusion</w:t>
            </w:r>
            <w:r w:rsidR="00E61738">
              <w:rPr>
                <w:noProof/>
                <w:webHidden/>
              </w:rPr>
              <w:tab/>
            </w:r>
            <w:r w:rsidR="00E61738">
              <w:rPr>
                <w:noProof/>
                <w:webHidden/>
              </w:rPr>
              <w:fldChar w:fldCharType="begin"/>
            </w:r>
            <w:r w:rsidR="00E61738">
              <w:rPr>
                <w:noProof/>
                <w:webHidden/>
              </w:rPr>
              <w:instrText xml:space="preserve"> PAGEREF _Toc102412743 \h </w:instrText>
            </w:r>
            <w:r w:rsidR="00E61738">
              <w:rPr>
                <w:noProof/>
                <w:webHidden/>
              </w:rPr>
            </w:r>
            <w:r w:rsidR="00E61738">
              <w:rPr>
                <w:noProof/>
                <w:webHidden/>
              </w:rPr>
              <w:fldChar w:fldCharType="separate"/>
            </w:r>
            <w:r w:rsidR="00A5551E">
              <w:rPr>
                <w:noProof/>
                <w:webHidden/>
              </w:rPr>
              <w:t>106</w:t>
            </w:r>
            <w:r w:rsidR="00E61738">
              <w:rPr>
                <w:noProof/>
                <w:webHidden/>
              </w:rPr>
              <w:fldChar w:fldCharType="end"/>
            </w:r>
          </w:hyperlink>
        </w:p>
        <w:p w14:paraId="3416C388" w14:textId="3FE01B49" w:rsidR="00544413" w:rsidRDefault="00E61738">
          <w:r>
            <w:fldChar w:fldCharType="end"/>
          </w:r>
        </w:p>
      </w:sdtContent>
    </w:sdt>
    <w:p w14:paraId="69F11ACB" w14:textId="361C2244" w:rsidR="00544413" w:rsidRDefault="00544413">
      <w:pPr>
        <w:rPr>
          <w:rFonts w:cs="Times New Roman"/>
          <w:b/>
          <w:bCs/>
          <w:sz w:val="24"/>
          <w:szCs w:val="24"/>
        </w:rPr>
      </w:pPr>
    </w:p>
    <w:p w14:paraId="7EF414FB" w14:textId="77777777" w:rsidR="00544413" w:rsidRDefault="00544413">
      <w:pPr>
        <w:rPr>
          <w:rFonts w:cs="Times New Roman"/>
          <w:b/>
          <w:bCs/>
          <w:sz w:val="24"/>
          <w:szCs w:val="24"/>
        </w:rPr>
      </w:pPr>
    </w:p>
    <w:p w14:paraId="751106DB" w14:textId="372D8C11" w:rsidR="00544413" w:rsidRPr="00A5783A" w:rsidRDefault="00A30E29" w:rsidP="00A5783A">
      <w:pPr>
        <w:pStyle w:val="Heading1"/>
        <w:jc w:val="center"/>
        <w:rPr>
          <w:rFonts w:ascii="Times New Roman" w:hAnsi="Times New Roman" w:cs="Times New Roman"/>
          <w:color w:val="auto"/>
        </w:rPr>
      </w:pPr>
      <w:bookmarkStart w:id="0" w:name="_Toc102412715"/>
      <w:r w:rsidRPr="00A5783A">
        <w:rPr>
          <w:rFonts w:ascii="Times New Roman" w:hAnsi="Times New Roman" w:cs="Times New Roman"/>
          <w:color w:val="auto"/>
        </w:rPr>
        <w:t>Acknowledgements</w:t>
      </w:r>
      <w:bookmarkEnd w:id="0"/>
    </w:p>
    <w:p w14:paraId="03A790D9" w14:textId="77777777" w:rsidR="00C5133F" w:rsidRPr="00C5133F" w:rsidRDefault="00C5133F" w:rsidP="00C5133F"/>
    <w:p w14:paraId="4ACC5E33" w14:textId="08B2D877" w:rsidR="002C2650" w:rsidRPr="00BA6AC3" w:rsidRDefault="00F82384" w:rsidP="00BA6AC3">
      <w:pPr>
        <w:spacing w:line="480" w:lineRule="auto"/>
        <w:ind w:firstLine="720"/>
        <w:rPr>
          <w:rFonts w:cs="Times New Roman"/>
          <w:sz w:val="24"/>
          <w:szCs w:val="24"/>
          <w:lang w:eastAsia="zh-CN"/>
        </w:rPr>
      </w:pPr>
      <w:r w:rsidRPr="00BA6AC3">
        <w:rPr>
          <w:rFonts w:cs="Times New Roman"/>
          <w:sz w:val="24"/>
          <w:szCs w:val="24"/>
          <w:lang w:eastAsia="zh-CN"/>
        </w:rPr>
        <w:t xml:space="preserve">Tang </w:t>
      </w:r>
      <w:proofErr w:type="spellStart"/>
      <w:r w:rsidRPr="00BA6AC3">
        <w:rPr>
          <w:rFonts w:cs="Times New Roman"/>
          <w:sz w:val="24"/>
          <w:szCs w:val="24"/>
          <w:lang w:eastAsia="zh-CN"/>
        </w:rPr>
        <w:t>Junyi</w:t>
      </w:r>
      <w:proofErr w:type="spellEnd"/>
      <w:r w:rsidR="002C2650" w:rsidRPr="00BA6AC3">
        <w:rPr>
          <w:rFonts w:cs="Times New Roman"/>
          <w:sz w:val="24"/>
          <w:szCs w:val="24"/>
          <w:lang w:eastAsia="zh-CN"/>
        </w:rPr>
        <w:t>唐君毅</w:t>
      </w:r>
      <w:r w:rsidRPr="00BA6AC3">
        <w:rPr>
          <w:rFonts w:cs="Times New Roman"/>
          <w:sz w:val="24"/>
          <w:szCs w:val="24"/>
          <w:lang w:eastAsia="zh-CN"/>
        </w:rPr>
        <w:t xml:space="preserve"> first put into my mind that whatever philosophy is, it is not an intellectual game</w:t>
      </w:r>
      <w:r w:rsidR="002E328C">
        <w:rPr>
          <w:rFonts w:cs="Times New Roman"/>
          <w:sz w:val="24"/>
          <w:szCs w:val="24"/>
          <w:lang w:eastAsia="zh-CN"/>
        </w:rPr>
        <w:t xml:space="preserve">. It should be </w:t>
      </w:r>
      <w:r w:rsidRPr="00BA6AC3">
        <w:rPr>
          <w:rFonts w:cs="Times New Roman"/>
          <w:sz w:val="24"/>
          <w:szCs w:val="24"/>
          <w:lang w:eastAsia="zh-CN"/>
        </w:rPr>
        <w:t>about something more significant than a demonstration or competition of intelligence. Mu Xin</w:t>
      </w:r>
      <w:r w:rsidR="002C2650" w:rsidRPr="00BA6AC3">
        <w:rPr>
          <w:rFonts w:cs="Times New Roman"/>
          <w:sz w:val="24"/>
          <w:szCs w:val="24"/>
          <w:lang w:eastAsia="zh-CN"/>
        </w:rPr>
        <w:t>木心</w:t>
      </w:r>
      <w:r w:rsidRPr="00BA6AC3">
        <w:rPr>
          <w:rFonts w:cs="Times New Roman"/>
          <w:b/>
          <w:bCs/>
          <w:sz w:val="24"/>
          <w:szCs w:val="24"/>
          <w:lang w:eastAsia="zh-CN"/>
        </w:rPr>
        <w:t xml:space="preserve"> </w:t>
      </w:r>
      <w:r w:rsidR="000649B2" w:rsidRPr="00BA6AC3">
        <w:rPr>
          <w:rFonts w:cs="Times New Roman"/>
          <w:sz w:val="24"/>
          <w:szCs w:val="24"/>
          <w:lang w:eastAsia="zh-CN"/>
        </w:rPr>
        <w:t>with</w:t>
      </w:r>
      <w:r w:rsidRPr="00BA6AC3">
        <w:rPr>
          <w:rFonts w:cs="Times New Roman"/>
          <w:sz w:val="24"/>
          <w:szCs w:val="24"/>
          <w:lang w:eastAsia="zh-CN"/>
        </w:rPr>
        <w:t xml:space="preserve"> his </w:t>
      </w:r>
      <w:r w:rsidR="000649B2" w:rsidRPr="00BA6AC3">
        <w:rPr>
          <w:rFonts w:cs="Times New Roman"/>
          <w:sz w:val="24"/>
          <w:szCs w:val="24"/>
          <w:lang w:eastAsia="zh-CN"/>
        </w:rPr>
        <w:t>lively and luring Chinese</w:t>
      </w:r>
      <w:r w:rsidRPr="00BA6AC3">
        <w:rPr>
          <w:rFonts w:cs="Times New Roman"/>
          <w:sz w:val="24"/>
          <w:szCs w:val="24"/>
          <w:lang w:eastAsia="zh-CN"/>
        </w:rPr>
        <w:t xml:space="preserve"> writing </w:t>
      </w:r>
      <w:r w:rsidR="000649B2" w:rsidRPr="00BA6AC3">
        <w:rPr>
          <w:rFonts w:cs="Times New Roman"/>
          <w:sz w:val="24"/>
          <w:szCs w:val="24"/>
          <w:lang w:eastAsia="zh-CN"/>
        </w:rPr>
        <w:t xml:space="preserve">impressed upon me how profound thoughts can be conveyed in lucid, beautiful, and </w:t>
      </w:r>
      <w:r w:rsidR="00C07D95">
        <w:rPr>
          <w:rFonts w:cs="Times New Roman"/>
          <w:sz w:val="24"/>
          <w:szCs w:val="24"/>
          <w:lang w:eastAsia="zh-CN"/>
        </w:rPr>
        <w:t xml:space="preserve">easily </w:t>
      </w:r>
      <w:proofErr w:type="spellStart"/>
      <w:r w:rsidR="00C07D95">
        <w:rPr>
          <w:rFonts w:cs="Times New Roman"/>
          <w:sz w:val="24"/>
          <w:szCs w:val="24"/>
          <w:lang w:eastAsia="zh-CN"/>
        </w:rPr>
        <w:t>digestable</w:t>
      </w:r>
      <w:proofErr w:type="spellEnd"/>
      <w:r w:rsidR="000649B2" w:rsidRPr="00BA6AC3">
        <w:rPr>
          <w:rFonts w:cs="Times New Roman"/>
          <w:sz w:val="24"/>
          <w:szCs w:val="24"/>
          <w:lang w:eastAsia="zh-CN"/>
        </w:rPr>
        <w:t xml:space="preserve"> language. </w:t>
      </w:r>
      <w:proofErr w:type="spellStart"/>
      <w:r w:rsidR="000649B2" w:rsidRPr="00BA6AC3">
        <w:rPr>
          <w:rFonts w:cs="Times New Roman"/>
          <w:sz w:val="24"/>
          <w:szCs w:val="24"/>
          <w:lang w:eastAsia="zh-CN"/>
        </w:rPr>
        <w:t>Mou</w:t>
      </w:r>
      <w:proofErr w:type="spellEnd"/>
      <w:r w:rsidR="000649B2" w:rsidRPr="00BA6AC3">
        <w:rPr>
          <w:rFonts w:cs="Times New Roman"/>
          <w:sz w:val="24"/>
          <w:szCs w:val="24"/>
          <w:lang w:eastAsia="zh-CN"/>
        </w:rPr>
        <w:t xml:space="preserve"> </w:t>
      </w:r>
      <w:proofErr w:type="spellStart"/>
      <w:r w:rsidR="000649B2" w:rsidRPr="00BA6AC3">
        <w:rPr>
          <w:rFonts w:cs="Times New Roman"/>
          <w:sz w:val="24"/>
          <w:szCs w:val="24"/>
          <w:lang w:eastAsia="zh-CN"/>
        </w:rPr>
        <w:t>Zongsan</w:t>
      </w:r>
      <w:proofErr w:type="spellEnd"/>
      <w:r w:rsidR="000649B2" w:rsidRPr="00BA6AC3">
        <w:rPr>
          <w:rFonts w:cs="Times New Roman"/>
          <w:sz w:val="24"/>
          <w:szCs w:val="24"/>
          <w:lang w:eastAsia="zh-CN"/>
        </w:rPr>
        <w:t xml:space="preserve"> </w:t>
      </w:r>
      <w:r w:rsidR="000649B2" w:rsidRPr="00BA6AC3">
        <w:rPr>
          <w:rFonts w:cs="Times New Roman"/>
          <w:sz w:val="24"/>
          <w:szCs w:val="24"/>
          <w:lang w:eastAsia="zh-CN"/>
        </w:rPr>
        <w:t>牟宗三</w:t>
      </w:r>
      <w:r w:rsidR="000649B2" w:rsidRPr="00BA6AC3">
        <w:rPr>
          <w:rFonts w:cs="Times New Roman"/>
          <w:sz w:val="24"/>
          <w:szCs w:val="24"/>
          <w:lang w:eastAsia="zh-CN"/>
        </w:rPr>
        <w:t xml:space="preserve"> left in my mind that there is such a study </w:t>
      </w:r>
      <w:r w:rsidR="008A7A24" w:rsidRPr="00BA6AC3">
        <w:rPr>
          <w:rFonts w:cs="Times New Roman"/>
          <w:sz w:val="24"/>
          <w:szCs w:val="24"/>
          <w:lang w:eastAsia="zh-CN"/>
        </w:rPr>
        <w:t>properly titled</w:t>
      </w:r>
      <w:r w:rsidR="000649B2" w:rsidRPr="00BA6AC3">
        <w:rPr>
          <w:rFonts w:cs="Times New Roman"/>
          <w:sz w:val="24"/>
          <w:szCs w:val="24"/>
          <w:lang w:eastAsia="zh-CN"/>
        </w:rPr>
        <w:t xml:space="preserve"> “the learning and questioning about life </w:t>
      </w:r>
      <w:r w:rsidR="000649B2" w:rsidRPr="00BA6AC3">
        <w:rPr>
          <w:rFonts w:cs="Times New Roman"/>
          <w:sz w:val="24"/>
          <w:szCs w:val="24"/>
          <w:lang w:eastAsia="zh-CN"/>
        </w:rPr>
        <w:t>生命的學問</w:t>
      </w:r>
      <w:r w:rsidR="000649B2" w:rsidRPr="00BA6AC3">
        <w:rPr>
          <w:rFonts w:cs="Times New Roman"/>
          <w:sz w:val="24"/>
          <w:szCs w:val="24"/>
          <w:lang w:eastAsia="zh-CN"/>
        </w:rPr>
        <w:t xml:space="preserve">,” a phrase that I heard since undergraduate when pondering upon the </w:t>
      </w:r>
      <w:proofErr w:type="gramStart"/>
      <w:r w:rsidR="000649B2" w:rsidRPr="00BA6AC3">
        <w:rPr>
          <w:rFonts w:cs="Times New Roman"/>
          <w:sz w:val="24"/>
          <w:szCs w:val="24"/>
          <w:lang w:eastAsia="zh-CN"/>
        </w:rPr>
        <w:t>Greeks, but</w:t>
      </w:r>
      <w:proofErr w:type="gramEnd"/>
      <w:r w:rsidR="000649B2" w:rsidRPr="00BA6AC3">
        <w:rPr>
          <w:rFonts w:cs="Times New Roman"/>
          <w:sz w:val="24"/>
          <w:szCs w:val="24"/>
          <w:lang w:eastAsia="zh-CN"/>
        </w:rPr>
        <w:t xml:space="preserve"> </w:t>
      </w:r>
      <w:r w:rsidR="00C07D95">
        <w:rPr>
          <w:rFonts w:cs="Times New Roman"/>
          <w:sz w:val="24"/>
          <w:szCs w:val="24"/>
          <w:lang w:eastAsia="zh-CN"/>
        </w:rPr>
        <w:t xml:space="preserve">lacked any meaningful understanding </w:t>
      </w:r>
      <w:r w:rsidR="008A7A24" w:rsidRPr="00BA6AC3">
        <w:rPr>
          <w:rFonts w:cs="Times New Roman"/>
          <w:sz w:val="24"/>
          <w:szCs w:val="24"/>
          <w:lang w:eastAsia="zh-CN"/>
        </w:rPr>
        <w:t xml:space="preserve">until much later. Xu </w:t>
      </w:r>
      <w:proofErr w:type="spellStart"/>
      <w:r w:rsidR="008A7A24" w:rsidRPr="00BA6AC3">
        <w:rPr>
          <w:rFonts w:cs="Times New Roman"/>
          <w:sz w:val="24"/>
          <w:szCs w:val="24"/>
          <w:lang w:eastAsia="zh-CN"/>
        </w:rPr>
        <w:t>Fuguan</w:t>
      </w:r>
      <w:proofErr w:type="spellEnd"/>
      <w:r w:rsidR="008A7A24" w:rsidRPr="00BA6AC3">
        <w:rPr>
          <w:rFonts w:cs="Times New Roman"/>
          <w:sz w:val="24"/>
          <w:szCs w:val="24"/>
          <w:lang w:eastAsia="zh-CN"/>
        </w:rPr>
        <w:t xml:space="preserve"> </w:t>
      </w:r>
      <w:r w:rsidR="008A7A24" w:rsidRPr="00BA6AC3">
        <w:rPr>
          <w:rFonts w:cs="Times New Roman"/>
          <w:sz w:val="24"/>
          <w:szCs w:val="24"/>
          <w:lang w:eastAsia="zh-CN"/>
        </w:rPr>
        <w:t>徐復觀</w:t>
      </w:r>
      <w:r w:rsidR="008A7A24" w:rsidRPr="00BA6AC3">
        <w:rPr>
          <w:rFonts w:cs="Times New Roman"/>
          <w:sz w:val="24"/>
          <w:szCs w:val="24"/>
          <w:lang w:eastAsia="zh-CN"/>
        </w:rPr>
        <w:t xml:space="preserve">, Goethe, Gu Sui </w:t>
      </w:r>
      <w:r w:rsidR="008A7A24" w:rsidRPr="00BA6AC3">
        <w:rPr>
          <w:rFonts w:cs="Times New Roman"/>
          <w:sz w:val="24"/>
          <w:szCs w:val="24"/>
          <w:lang w:eastAsia="zh-CN"/>
        </w:rPr>
        <w:t>顧隨</w:t>
      </w:r>
      <w:r w:rsidR="008A7A24" w:rsidRPr="00BA6AC3">
        <w:rPr>
          <w:rFonts w:cs="Times New Roman"/>
          <w:sz w:val="24"/>
          <w:szCs w:val="24"/>
          <w:lang w:eastAsia="zh-CN"/>
        </w:rPr>
        <w:t xml:space="preserve">, Nietzsche, </w:t>
      </w:r>
      <w:r w:rsidR="002E328C">
        <w:rPr>
          <w:rFonts w:cs="Times New Roman"/>
          <w:sz w:val="24"/>
          <w:szCs w:val="24"/>
          <w:lang w:eastAsia="zh-CN"/>
        </w:rPr>
        <w:t xml:space="preserve">Bernard Williams, </w:t>
      </w:r>
      <w:r w:rsidR="008A7A24" w:rsidRPr="00BA6AC3">
        <w:rPr>
          <w:rFonts w:cs="Times New Roman"/>
          <w:sz w:val="24"/>
          <w:szCs w:val="24"/>
          <w:lang w:eastAsia="zh-CN"/>
        </w:rPr>
        <w:t>the old pal of Plato with whom I wrestled during undergraduate</w:t>
      </w:r>
      <w:r w:rsidR="00C07D95">
        <w:rPr>
          <w:rFonts w:cs="Times New Roman"/>
          <w:sz w:val="24"/>
          <w:szCs w:val="24"/>
          <w:lang w:eastAsia="zh-CN"/>
        </w:rPr>
        <w:t>,</w:t>
      </w:r>
      <w:r w:rsidR="00224411" w:rsidRPr="00BA6AC3">
        <w:rPr>
          <w:rFonts w:cs="Times New Roman"/>
          <w:sz w:val="24"/>
          <w:szCs w:val="24"/>
          <w:lang w:eastAsia="zh-CN"/>
        </w:rPr>
        <w:t xml:space="preserve"> and the </w:t>
      </w:r>
      <w:r w:rsidR="002E328C">
        <w:rPr>
          <w:rFonts w:cs="Times New Roman"/>
          <w:sz w:val="24"/>
          <w:szCs w:val="24"/>
          <w:lang w:eastAsia="zh-CN"/>
        </w:rPr>
        <w:t>thinkers and writers</w:t>
      </w:r>
      <w:r w:rsidR="00224411" w:rsidRPr="00BA6AC3">
        <w:rPr>
          <w:rFonts w:cs="Times New Roman"/>
          <w:sz w:val="24"/>
          <w:szCs w:val="24"/>
          <w:lang w:eastAsia="zh-CN"/>
        </w:rPr>
        <w:t xml:space="preserve"> who have contributed to and brightened my meager existence cannot be enumerated</w:t>
      </w:r>
      <w:r w:rsidR="008A7A24" w:rsidRPr="00BA6AC3">
        <w:rPr>
          <w:rFonts w:cs="Times New Roman"/>
          <w:sz w:val="24"/>
          <w:szCs w:val="24"/>
          <w:lang w:eastAsia="zh-CN"/>
        </w:rPr>
        <w:t xml:space="preserve">. </w:t>
      </w:r>
      <w:r w:rsidR="00224411" w:rsidRPr="00BA6AC3">
        <w:rPr>
          <w:rFonts w:cs="Times New Roman"/>
          <w:sz w:val="24"/>
          <w:szCs w:val="24"/>
          <w:lang w:eastAsia="zh-CN"/>
        </w:rPr>
        <w:t>Oh,</w:t>
      </w:r>
      <w:r w:rsidR="008A7A24" w:rsidRPr="00BA6AC3">
        <w:rPr>
          <w:rFonts w:cs="Times New Roman"/>
          <w:sz w:val="24"/>
          <w:szCs w:val="24"/>
          <w:lang w:eastAsia="zh-CN"/>
        </w:rPr>
        <w:t xml:space="preserve"> heaven </w:t>
      </w:r>
      <w:r w:rsidR="00224411" w:rsidRPr="00BA6AC3">
        <w:rPr>
          <w:rFonts w:cs="Times New Roman"/>
          <w:sz w:val="24"/>
          <w:szCs w:val="24"/>
          <w:lang w:eastAsia="zh-CN"/>
        </w:rPr>
        <w:t>天</w:t>
      </w:r>
      <w:r w:rsidR="008A7A24" w:rsidRPr="00BA6AC3">
        <w:rPr>
          <w:rFonts w:cs="Times New Roman"/>
          <w:sz w:val="24"/>
          <w:szCs w:val="24"/>
          <w:lang w:eastAsia="zh-CN"/>
        </w:rPr>
        <w:t xml:space="preserve">has blissed me with luck </w:t>
      </w:r>
      <w:r w:rsidR="00896181">
        <w:rPr>
          <w:rFonts w:cs="Times New Roman"/>
          <w:sz w:val="24"/>
          <w:szCs w:val="24"/>
          <w:lang w:eastAsia="zh-CN"/>
        </w:rPr>
        <w:t>and enabled me</w:t>
      </w:r>
      <w:r w:rsidR="00224411" w:rsidRPr="00BA6AC3">
        <w:rPr>
          <w:rFonts w:cs="Times New Roman"/>
          <w:sz w:val="24"/>
          <w:szCs w:val="24"/>
          <w:lang w:eastAsia="zh-CN"/>
        </w:rPr>
        <w:t xml:space="preserve"> </w:t>
      </w:r>
      <w:r w:rsidR="00896181">
        <w:rPr>
          <w:rFonts w:cs="Times New Roman"/>
          <w:sz w:val="24"/>
          <w:szCs w:val="24"/>
          <w:lang w:eastAsia="zh-CN"/>
        </w:rPr>
        <w:t xml:space="preserve">to </w:t>
      </w:r>
      <w:r w:rsidR="00224411" w:rsidRPr="00BA6AC3">
        <w:rPr>
          <w:rFonts w:cs="Times New Roman"/>
          <w:sz w:val="24"/>
          <w:szCs w:val="24"/>
          <w:lang w:eastAsia="zh-CN"/>
        </w:rPr>
        <w:t>read and learn from them with helps of my teachers. May heaven</w:t>
      </w:r>
      <w:r w:rsidR="00D00D77" w:rsidRPr="00BA6AC3">
        <w:rPr>
          <w:rFonts w:cs="Times New Roman"/>
          <w:sz w:val="24"/>
          <w:szCs w:val="24"/>
          <w:lang w:eastAsia="zh-CN"/>
        </w:rPr>
        <w:t xml:space="preserve"> </w:t>
      </w:r>
      <w:r w:rsidR="00D00D77" w:rsidRPr="00BA6AC3">
        <w:rPr>
          <w:rFonts w:cs="Times New Roman"/>
          <w:sz w:val="24"/>
          <w:szCs w:val="24"/>
          <w:lang w:eastAsia="zh-CN"/>
        </w:rPr>
        <w:t>天</w:t>
      </w:r>
      <w:r w:rsidR="00224411" w:rsidRPr="00BA6AC3">
        <w:rPr>
          <w:rFonts w:cs="Times New Roman"/>
          <w:sz w:val="24"/>
          <w:szCs w:val="24"/>
          <w:lang w:eastAsia="zh-CN"/>
        </w:rPr>
        <w:t xml:space="preserve"> continue to bliss me so I can continue to learn and do my share of </w:t>
      </w:r>
      <w:r w:rsidR="00C07D95">
        <w:rPr>
          <w:rFonts w:cs="Times New Roman"/>
          <w:sz w:val="24"/>
          <w:szCs w:val="24"/>
          <w:lang w:eastAsia="zh-CN"/>
        </w:rPr>
        <w:t>contribution</w:t>
      </w:r>
      <w:r w:rsidR="00224411" w:rsidRPr="00BA6AC3">
        <w:rPr>
          <w:rFonts w:cs="Times New Roman"/>
          <w:sz w:val="24"/>
          <w:szCs w:val="24"/>
          <w:lang w:eastAsia="zh-CN"/>
        </w:rPr>
        <w:t xml:space="preserve"> to those who come after me. </w:t>
      </w:r>
    </w:p>
    <w:p w14:paraId="0377F286" w14:textId="7D3D169B" w:rsidR="00D00D77" w:rsidRPr="00BA6AC3" w:rsidRDefault="00C07D95" w:rsidP="00BA6AC3">
      <w:pPr>
        <w:spacing w:line="480" w:lineRule="auto"/>
        <w:ind w:firstLine="720"/>
        <w:rPr>
          <w:rFonts w:cs="Times New Roman"/>
          <w:sz w:val="24"/>
          <w:szCs w:val="24"/>
          <w:lang w:eastAsia="zh-CN"/>
        </w:rPr>
      </w:pPr>
      <w:r>
        <w:rPr>
          <w:rFonts w:cs="Times New Roman"/>
          <w:sz w:val="24"/>
          <w:szCs w:val="24"/>
          <w:lang w:eastAsia="zh-CN"/>
        </w:rPr>
        <w:t>Beyond the broad sentiment of blissed learning opportunities, t</w:t>
      </w:r>
      <w:r w:rsidR="00D00D77" w:rsidRPr="00BA6AC3">
        <w:rPr>
          <w:rFonts w:cs="Times New Roman"/>
          <w:sz w:val="24"/>
          <w:szCs w:val="24"/>
          <w:lang w:eastAsia="zh-CN"/>
        </w:rPr>
        <w:t xml:space="preserve">here are </w:t>
      </w:r>
      <w:r>
        <w:rPr>
          <w:rFonts w:cs="Times New Roman"/>
          <w:sz w:val="24"/>
          <w:szCs w:val="24"/>
          <w:lang w:eastAsia="zh-CN"/>
        </w:rPr>
        <w:t xml:space="preserve">certain </w:t>
      </w:r>
      <w:r w:rsidR="00D00D77" w:rsidRPr="00BA6AC3">
        <w:rPr>
          <w:rFonts w:cs="Times New Roman"/>
          <w:sz w:val="24"/>
          <w:szCs w:val="24"/>
          <w:lang w:eastAsia="zh-CN"/>
        </w:rPr>
        <w:t xml:space="preserve">people, events, and practices that I must single out for sake </w:t>
      </w:r>
      <w:r w:rsidR="002E328C" w:rsidRPr="00BA6AC3">
        <w:rPr>
          <w:rFonts w:cs="Times New Roman"/>
          <w:sz w:val="24"/>
          <w:szCs w:val="24"/>
          <w:lang w:eastAsia="zh-CN"/>
        </w:rPr>
        <w:t>of recording</w:t>
      </w:r>
      <w:r w:rsidR="00D00D77" w:rsidRPr="00BA6AC3">
        <w:rPr>
          <w:rFonts w:cs="Times New Roman"/>
          <w:sz w:val="24"/>
          <w:szCs w:val="24"/>
          <w:lang w:eastAsia="zh-CN"/>
        </w:rPr>
        <w:t xml:space="preserve"> my current stage of life, and </w:t>
      </w:r>
      <w:r>
        <w:rPr>
          <w:rFonts w:cs="Times New Roman"/>
          <w:sz w:val="24"/>
          <w:szCs w:val="24"/>
          <w:lang w:eastAsia="zh-CN"/>
        </w:rPr>
        <w:t xml:space="preserve">none comes before </w:t>
      </w:r>
      <w:r w:rsidR="00D00D77" w:rsidRPr="00BA6AC3">
        <w:rPr>
          <w:rFonts w:cs="Times New Roman"/>
          <w:sz w:val="24"/>
          <w:szCs w:val="24"/>
          <w:lang w:eastAsia="zh-CN"/>
        </w:rPr>
        <w:t xml:space="preserve">my dear family. In addition to all the sacrifices my mom and dad have done, I finally come to see them inside me. </w:t>
      </w:r>
      <w:r w:rsidR="00011487" w:rsidRPr="00BA6AC3">
        <w:rPr>
          <w:rFonts w:cs="Times New Roman"/>
          <w:sz w:val="24"/>
          <w:szCs w:val="24"/>
          <w:lang w:eastAsia="zh-CN"/>
        </w:rPr>
        <w:t>That</w:t>
      </w:r>
      <w:r w:rsidR="00D00D77" w:rsidRPr="00BA6AC3">
        <w:rPr>
          <w:rFonts w:cs="Times New Roman"/>
          <w:sz w:val="24"/>
          <w:szCs w:val="24"/>
          <w:lang w:eastAsia="zh-CN"/>
        </w:rPr>
        <w:t xml:space="preserve"> </w:t>
      </w:r>
      <w:r w:rsidR="00011487" w:rsidRPr="00BA6AC3">
        <w:rPr>
          <w:rFonts w:cs="Times New Roman"/>
          <w:sz w:val="24"/>
          <w:szCs w:val="24"/>
          <w:lang w:eastAsia="zh-CN"/>
        </w:rPr>
        <w:t xml:space="preserve">sunny, cheerful side of mine that lifts me out during my worst </w:t>
      </w:r>
      <w:r>
        <w:rPr>
          <w:rFonts w:cs="Times New Roman"/>
          <w:sz w:val="24"/>
          <w:szCs w:val="24"/>
          <w:lang w:eastAsia="zh-CN"/>
        </w:rPr>
        <w:t xml:space="preserve">encounters </w:t>
      </w:r>
      <w:r w:rsidR="00011487" w:rsidRPr="00BA6AC3">
        <w:rPr>
          <w:rFonts w:cs="Times New Roman"/>
          <w:sz w:val="24"/>
          <w:szCs w:val="24"/>
          <w:lang w:eastAsia="zh-CN"/>
        </w:rPr>
        <w:t>and prevents me from slipping into the abyss of habituated complaints and disappointment</w:t>
      </w:r>
      <w:r w:rsidR="00FE7CE0" w:rsidRPr="00BA6AC3">
        <w:rPr>
          <w:rFonts w:cs="Times New Roman"/>
          <w:sz w:val="24"/>
          <w:szCs w:val="24"/>
          <w:lang w:eastAsia="zh-CN"/>
        </w:rPr>
        <w:t>s</w:t>
      </w:r>
      <w:r w:rsidR="00011487" w:rsidRPr="00BA6AC3">
        <w:rPr>
          <w:rFonts w:cs="Times New Roman"/>
          <w:sz w:val="24"/>
          <w:szCs w:val="24"/>
          <w:lang w:eastAsia="zh-CN"/>
        </w:rPr>
        <w:t xml:space="preserve"> is not my making. </w:t>
      </w:r>
      <w:r w:rsidR="00FE7CE0" w:rsidRPr="00BA6AC3">
        <w:rPr>
          <w:rFonts w:cs="Times New Roman"/>
          <w:sz w:val="24"/>
          <w:szCs w:val="24"/>
          <w:lang w:eastAsia="zh-CN"/>
        </w:rPr>
        <w:t>Part of it comes from</w:t>
      </w:r>
      <w:r w:rsidR="00011487" w:rsidRPr="00BA6AC3">
        <w:rPr>
          <w:rFonts w:cs="Times New Roman"/>
          <w:sz w:val="24"/>
          <w:szCs w:val="24"/>
          <w:lang w:eastAsia="zh-CN"/>
        </w:rPr>
        <w:t xml:space="preserve"> my mom’s gene.</w:t>
      </w:r>
      <w:r w:rsidR="00FE7CE0" w:rsidRPr="00BA6AC3">
        <w:rPr>
          <w:rFonts w:cs="Times New Roman"/>
          <w:sz w:val="24"/>
          <w:szCs w:val="24"/>
          <w:lang w:eastAsia="zh-CN"/>
        </w:rPr>
        <w:t xml:space="preserve"> The relentless, incessant striving that annoys others and myself but also improves who I am is not my making. I </w:t>
      </w:r>
      <w:r w:rsidR="00FE7CE0" w:rsidRPr="00BA6AC3">
        <w:rPr>
          <w:rFonts w:cs="Times New Roman"/>
          <w:sz w:val="24"/>
          <w:szCs w:val="24"/>
          <w:lang w:eastAsia="zh-CN"/>
        </w:rPr>
        <w:lastRenderedPageBreak/>
        <w:t>have that from my dad’s influence. And my younger brother, who</w:t>
      </w:r>
      <w:r w:rsidR="007E6B69" w:rsidRPr="00BA6AC3">
        <w:rPr>
          <w:rFonts w:cs="Times New Roman"/>
          <w:sz w:val="24"/>
          <w:szCs w:val="24"/>
          <w:lang w:eastAsia="zh-CN"/>
        </w:rPr>
        <w:t xml:space="preserve"> has grown to be so dependable,</w:t>
      </w:r>
      <w:r w:rsidR="00FE7CE0" w:rsidRPr="00BA6AC3">
        <w:rPr>
          <w:rFonts w:cs="Times New Roman"/>
          <w:sz w:val="24"/>
          <w:szCs w:val="24"/>
          <w:lang w:eastAsia="zh-CN"/>
        </w:rPr>
        <w:t xml:space="preserve"> gives me </w:t>
      </w:r>
      <w:r w:rsidR="007E6B69" w:rsidRPr="00BA6AC3">
        <w:rPr>
          <w:rFonts w:cs="Times New Roman"/>
          <w:sz w:val="24"/>
          <w:szCs w:val="24"/>
          <w:lang w:eastAsia="zh-CN"/>
        </w:rPr>
        <w:t xml:space="preserve">joy, annoyance and above all, </w:t>
      </w:r>
      <w:r w:rsidR="00FE7CE0" w:rsidRPr="00BA6AC3">
        <w:rPr>
          <w:rFonts w:cs="Times New Roman"/>
          <w:sz w:val="24"/>
          <w:szCs w:val="24"/>
          <w:lang w:eastAsia="zh-CN"/>
        </w:rPr>
        <w:t>companionship</w:t>
      </w:r>
      <w:r w:rsidR="007E6B69" w:rsidRPr="00BA6AC3">
        <w:rPr>
          <w:rFonts w:cs="Times New Roman"/>
          <w:sz w:val="24"/>
          <w:szCs w:val="24"/>
          <w:lang w:eastAsia="zh-CN"/>
        </w:rPr>
        <w:t xml:space="preserve"> that never leaves my heart </w:t>
      </w:r>
      <w:r w:rsidR="00C0058F" w:rsidRPr="00BA6AC3">
        <w:rPr>
          <w:rFonts w:cs="Times New Roman"/>
          <w:sz w:val="24"/>
          <w:szCs w:val="24"/>
          <w:lang w:eastAsia="zh-CN"/>
        </w:rPr>
        <w:t xml:space="preserve">even </w:t>
      </w:r>
      <w:r w:rsidR="007E6B69" w:rsidRPr="00BA6AC3">
        <w:rPr>
          <w:rFonts w:cs="Times New Roman"/>
          <w:sz w:val="24"/>
          <w:szCs w:val="24"/>
          <w:lang w:eastAsia="zh-CN"/>
        </w:rPr>
        <w:t xml:space="preserve">when I am thousands of miles away. </w:t>
      </w:r>
      <w:r w:rsidR="00A5783A">
        <w:rPr>
          <w:rFonts w:cs="Times New Roman"/>
          <w:sz w:val="24"/>
          <w:szCs w:val="24"/>
          <w:lang w:eastAsia="zh-CN"/>
        </w:rPr>
        <w:t xml:space="preserve">My aunt Julia </w:t>
      </w:r>
      <w:proofErr w:type="spellStart"/>
      <w:r w:rsidR="00A5783A">
        <w:rPr>
          <w:rFonts w:cs="Times New Roman"/>
          <w:sz w:val="24"/>
          <w:szCs w:val="24"/>
          <w:lang w:eastAsia="zh-CN"/>
        </w:rPr>
        <w:t>Liqing</w:t>
      </w:r>
      <w:proofErr w:type="spellEnd"/>
      <w:r w:rsidR="00A5783A">
        <w:rPr>
          <w:rFonts w:cs="Times New Roman"/>
          <w:sz w:val="24"/>
          <w:szCs w:val="24"/>
          <w:lang w:eastAsia="zh-CN"/>
        </w:rPr>
        <w:t xml:space="preserve"> Zhong, </w:t>
      </w:r>
      <w:proofErr w:type="spellStart"/>
      <w:r w:rsidR="00A5783A">
        <w:rPr>
          <w:rFonts w:cs="Times New Roman"/>
          <w:sz w:val="24"/>
          <w:szCs w:val="24"/>
          <w:lang w:eastAsia="zh-CN"/>
        </w:rPr>
        <w:t>Likui</w:t>
      </w:r>
      <w:proofErr w:type="spellEnd"/>
      <w:r w:rsidR="00A5783A">
        <w:rPr>
          <w:rFonts w:cs="Times New Roman"/>
          <w:sz w:val="24"/>
          <w:szCs w:val="24"/>
          <w:lang w:eastAsia="zh-CN"/>
        </w:rPr>
        <w:t xml:space="preserve"> Zhou, my uncle </w:t>
      </w:r>
      <w:proofErr w:type="spellStart"/>
      <w:r w:rsidR="00A5783A">
        <w:rPr>
          <w:rFonts w:cs="Times New Roman"/>
          <w:sz w:val="24"/>
          <w:szCs w:val="24"/>
          <w:lang w:eastAsia="zh-CN"/>
        </w:rPr>
        <w:t>Xiaoxiang</w:t>
      </w:r>
      <w:proofErr w:type="spellEnd"/>
      <w:r w:rsidR="00A5783A">
        <w:rPr>
          <w:rFonts w:cs="Times New Roman"/>
          <w:sz w:val="24"/>
          <w:szCs w:val="24"/>
          <w:lang w:eastAsia="zh-CN"/>
        </w:rPr>
        <w:t xml:space="preserve"> Zhong, and my </w:t>
      </w:r>
      <w:r w:rsidR="00A5783A">
        <w:rPr>
          <w:rFonts w:cs="Times New Roman" w:hint="eastAsia"/>
          <w:sz w:val="24"/>
          <w:szCs w:val="24"/>
          <w:lang w:eastAsia="zh-CN"/>
        </w:rPr>
        <w:t>c</w:t>
      </w:r>
      <w:r w:rsidR="00A5783A">
        <w:rPr>
          <w:rFonts w:cs="Times New Roman"/>
          <w:sz w:val="24"/>
          <w:szCs w:val="24"/>
          <w:lang w:eastAsia="zh-CN"/>
        </w:rPr>
        <w:t xml:space="preserve">ousins Jesse Ziyang Zhong and Jody </w:t>
      </w:r>
      <w:proofErr w:type="spellStart"/>
      <w:r w:rsidR="00A5783A">
        <w:rPr>
          <w:rFonts w:cs="Times New Roman"/>
          <w:sz w:val="24"/>
          <w:szCs w:val="24"/>
          <w:lang w:eastAsia="zh-CN"/>
        </w:rPr>
        <w:t>Ziyi</w:t>
      </w:r>
      <w:proofErr w:type="spellEnd"/>
      <w:r w:rsidR="00A5783A">
        <w:rPr>
          <w:rFonts w:cs="Times New Roman"/>
          <w:sz w:val="24"/>
          <w:szCs w:val="24"/>
          <w:lang w:eastAsia="zh-CN"/>
        </w:rPr>
        <w:t xml:space="preserve"> Zhong </w:t>
      </w:r>
      <w:r w:rsidR="00E0319A">
        <w:rPr>
          <w:rFonts w:cs="Times New Roman"/>
          <w:sz w:val="24"/>
          <w:szCs w:val="24"/>
          <w:lang w:eastAsia="zh-CN"/>
        </w:rPr>
        <w:t xml:space="preserve">offer me strong and caring kinships that </w:t>
      </w:r>
      <w:r w:rsidR="00B23458">
        <w:rPr>
          <w:rFonts w:cs="Times New Roman"/>
          <w:sz w:val="24"/>
          <w:szCs w:val="24"/>
          <w:lang w:eastAsia="zh-CN"/>
        </w:rPr>
        <w:t xml:space="preserve">gives me warmth, support, and longing. </w:t>
      </w:r>
      <w:r w:rsidR="00E72896">
        <w:rPr>
          <w:rFonts w:cs="Times New Roman"/>
          <w:sz w:val="24"/>
          <w:szCs w:val="24"/>
          <w:lang w:eastAsia="zh-CN"/>
        </w:rPr>
        <w:t>Together, they form the background of my existence in this world, and</w:t>
      </w:r>
      <w:r w:rsidR="00E0319A">
        <w:rPr>
          <w:rFonts w:cs="Times New Roman"/>
          <w:sz w:val="24"/>
          <w:szCs w:val="24"/>
          <w:lang w:eastAsia="zh-CN"/>
        </w:rPr>
        <w:t xml:space="preserve"> </w:t>
      </w:r>
      <w:r w:rsidR="00E72896">
        <w:rPr>
          <w:rFonts w:cs="Times New Roman"/>
          <w:sz w:val="24"/>
          <w:szCs w:val="24"/>
          <w:lang w:eastAsia="zh-CN"/>
        </w:rPr>
        <w:t xml:space="preserve">I am fortunate to be related to them. </w:t>
      </w:r>
    </w:p>
    <w:p w14:paraId="2B960D95" w14:textId="4DA4E219" w:rsidR="00457E67" w:rsidRPr="00BA6AC3" w:rsidRDefault="00C0058F" w:rsidP="00BA6AC3">
      <w:pPr>
        <w:spacing w:line="480" w:lineRule="auto"/>
        <w:ind w:firstLine="720"/>
        <w:rPr>
          <w:rFonts w:cs="Times New Roman"/>
          <w:sz w:val="24"/>
          <w:szCs w:val="24"/>
          <w:lang w:eastAsia="zh-CN"/>
        </w:rPr>
      </w:pPr>
      <w:proofErr w:type="spellStart"/>
      <w:r w:rsidRPr="00BA6AC3">
        <w:rPr>
          <w:rFonts w:cs="Times New Roman"/>
          <w:sz w:val="24"/>
          <w:szCs w:val="24"/>
          <w:lang w:eastAsia="zh-CN"/>
        </w:rPr>
        <w:t>Fangming</w:t>
      </w:r>
      <w:proofErr w:type="spellEnd"/>
      <w:r w:rsidRPr="00BA6AC3">
        <w:rPr>
          <w:rFonts w:cs="Times New Roman"/>
          <w:sz w:val="24"/>
          <w:szCs w:val="24"/>
          <w:lang w:eastAsia="zh-CN"/>
        </w:rPr>
        <w:t xml:space="preserve">, my first love whose heart I remorsefully broke, teaches me love, intimacy and care </w:t>
      </w:r>
      <w:r w:rsidR="00CD7554" w:rsidRPr="00BA6AC3">
        <w:rPr>
          <w:rFonts w:cs="Times New Roman"/>
          <w:sz w:val="24"/>
          <w:szCs w:val="24"/>
          <w:lang w:eastAsia="zh-CN"/>
        </w:rPr>
        <w:t xml:space="preserve">in fierce </w:t>
      </w:r>
      <w:r w:rsidR="004D75E6" w:rsidRPr="00BA6AC3">
        <w:rPr>
          <w:rFonts w:cs="Times New Roman"/>
          <w:sz w:val="24"/>
          <w:szCs w:val="24"/>
          <w:lang w:eastAsia="zh-CN"/>
        </w:rPr>
        <w:t>amore</w:t>
      </w:r>
      <w:r w:rsidR="00CD7554" w:rsidRPr="00BA6AC3">
        <w:rPr>
          <w:rFonts w:cs="Times New Roman"/>
          <w:sz w:val="24"/>
          <w:szCs w:val="24"/>
          <w:lang w:eastAsia="zh-CN"/>
        </w:rPr>
        <w:t xml:space="preserve"> and with a gentle soul. </w:t>
      </w:r>
      <w:r w:rsidR="007140DE">
        <w:rPr>
          <w:rFonts w:cs="Times New Roman"/>
          <w:sz w:val="24"/>
          <w:szCs w:val="24"/>
          <w:lang w:eastAsia="zh-CN"/>
        </w:rPr>
        <w:t xml:space="preserve">My </w:t>
      </w:r>
      <w:r w:rsidR="004D75E6" w:rsidRPr="00BA6AC3">
        <w:rPr>
          <w:rFonts w:cs="Times New Roman"/>
          <w:sz w:val="24"/>
          <w:szCs w:val="24"/>
          <w:lang w:eastAsia="zh-CN"/>
        </w:rPr>
        <w:t xml:space="preserve">stupendous younger </w:t>
      </w:r>
      <w:r w:rsidR="007140DE">
        <w:rPr>
          <w:rFonts w:cs="Times New Roman"/>
          <w:sz w:val="24"/>
          <w:szCs w:val="24"/>
          <w:lang w:eastAsia="zh-CN"/>
        </w:rPr>
        <w:t xml:space="preserve">self </w:t>
      </w:r>
      <w:r w:rsidR="004D75E6" w:rsidRPr="00BA6AC3">
        <w:rPr>
          <w:rFonts w:cs="Times New Roman"/>
          <w:sz w:val="24"/>
          <w:szCs w:val="24"/>
          <w:lang w:eastAsia="zh-CN"/>
        </w:rPr>
        <w:t>know</w:t>
      </w:r>
      <w:r w:rsidR="00E0319A">
        <w:rPr>
          <w:rFonts w:cs="Times New Roman"/>
          <w:sz w:val="24"/>
          <w:szCs w:val="24"/>
          <w:lang w:eastAsia="zh-CN"/>
        </w:rPr>
        <w:t>s</w:t>
      </w:r>
      <w:r w:rsidR="004D75E6" w:rsidRPr="00BA6AC3">
        <w:rPr>
          <w:rFonts w:cs="Times New Roman"/>
          <w:sz w:val="24"/>
          <w:szCs w:val="24"/>
          <w:lang w:eastAsia="zh-CN"/>
        </w:rPr>
        <w:t xml:space="preserve"> not what is valuable and fortune, a lesson that the current </w:t>
      </w:r>
      <w:r w:rsidR="007140DE">
        <w:rPr>
          <w:rFonts w:cs="Times New Roman"/>
          <w:sz w:val="24"/>
          <w:szCs w:val="24"/>
          <w:lang w:eastAsia="zh-CN"/>
        </w:rPr>
        <w:t xml:space="preserve">self </w:t>
      </w:r>
      <w:r w:rsidR="004D75E6" w:rsidRPr="00BA6AC3">
        <w:rPr>
          <w:rFonts w:cs="Times New Roman"/>
          <w:sz w:val="24"/>
          <w:szCs w:val="24"/>
          <w:lang w:eastAsia="zh-CN"/>
        </w:rPr>
        <w:t xml:space="preserve">reflects upon and write about in this dissertation. </w:t>
      </w:r>
    </w:p>
    <w:p w14:paraId="4F50C1F6" w14:textId="69C3DFAD" w:rsidR="007E7FDF" w:rsidRPr="00BA6AC3" w:rsidRDefault="007E7FDF" w:rsidP="00BA6AC3">
      <w:pPr>
        <w:spacing w:line="480" w:lineRule="auto"/>
        <w:ind w:firstLine="720"/>
        <w:rPr>
          <w:rFonts w:cs="Times New Roman"/>
          <w:sz w:val="24"/>
          <w:szCs w:val="24"/>
          <w:lang w:eastAsia="zh-CN"/>
        </w:rPr>
      </w:pPr>
      <w:r w:rsidRPr="00BA6AC3">
        <w:rPr>
          <w:rFonts w:cs="Times New Roman"/>
          <w:sz w:val="24"/>
          <w:szCs w:val="24"/>
          <w:lang w:eastAsia="zh-CN"/>
        </w:rPr>
        <w:t xml:space="preserve">My prolonged martial art training has gradually revealed itself to be as great a source of enjoyment as it is a benefactor. What I put in falls </w:t>
      </w:r>
      <w:r w:rsidR="00E72896">
        <w:rPr>
          <w:rFonts w:cs="Times New Roman"/>
          <w:sz w:val="24"/>
          <w:szCs w:val="24"/>
          <w:lang w:eastAsia="zh-CN"/>
        </w:rPr>
        <w:t>woefully</w:t>
      </w:r>
      <w:r w:rsidRPr="00BA6AC3">
        <w:rPr>
          <w:rFonts w:cs="Times New Roman"/>
          <w:sz w:val="24"/>
          <w:szCs w:val="24"/>
          <w:lang w:eastAsia="zh-CN"/>
        </w:rPr>
        <w:t xml:space="preserve"> short of </w:t>
      </w:r>
      <w:r w:rsidR="00E72896">
        <w:rPr>
          <w:rFonts w:cs="Times New Roman"/>
          <w:sz w:val="24"/>
          <w:szCs w:val="24"/>
          <w:lang w:eastAsia="zh-CN"/>
        </w:rPr>
        <w:t>what it gives me</w:t>
      </w:r>
      <w:r w:rsidRPr="00BA6AC3">
        <w:rPr>
          <w:rFonts w:cs="Times New Roman"/>
          <w:sz w:val="24"/>
          <w:szCs w:val="24"/>
          <w:lang w:eastAsia="zh-CN"/>
        </w:rPr>
        <w:t xml:space="preserve">. </w:t>
      </w:r>
      <w:r w:rsidR="007140DE">
        <w:rPr>
          <w:rFonts w:cs="Times New Roman"/>
          <w:sz w:val="24"/>
          <w:szCs w:val="24"/>
          <w:lang w:eastAsia="zh-CN"/>
        </w:rPr>
        <w:t>I am grateful for its contribution to my physical and mental health, and the unexpected life lessons. G</w:t>
      </w:r>
      <w:r w:rsidR="00F95139" w:rsidRPr="00BA6AC3">
        <w:rPr>
          <w:rFonts w:cs="Times New Roman"/>
          <w:sz w:val="24"/>
          <w:szCs w:val="24"/>
          <w:lang w:eastAsia="zh-CN"/>
        </w:rPr>
        <w:t>reat martial artists</w:t>
      </w:r>
      <w:r w:rsidR="007140DE">
        <w:rPr>
          <w:rFonts w:cs="Times New Roman"/>
          <w:sz w:val="24"/>
          <w:szCs w:val="24"/>
          <w:lang w:eastAsia="zh-CN"/>
        </w:rPr>
        <w:t xml:space="preserve"> speak truly about what martial arts can do. It</w:t>
      </w:r>
      <w:r w:rsidR="00F95139" w:rsidRPr="00BA6AC3">
        <w:rPr>
          <w:rFonts w:cs="Times New Roman"/>
          <w:sz w:val="24"/>
          <w:szCs w:val="24"/>
          <w:lang w:eastAsia="zh-CN"/>
        </w:rPr>
        <w:t xml:space="preserve"> is nothing short of an art that can transform the whole of who one is. </w:t>
      </w:r>
    </w:p>
    <w:p w14:paraId="127988F0" w14:textId="01F15C31" w:rsidR="00C0058F" w:rsidRPr="00BA6AC3" w:rsidRDefault="00F95139" w:rsidP="00BA6AC3">
      <w:pPr>
        <w:spacing w:line="480" w:lineRule="auto"/>
        <w:ind w:firstLine="720"/>
        <w:rPr>
          <w:rFonts w:cs="Times New Roman"/>
          <w:sz w:val="24"/>
          <w:szCs w:val="24"/>
        </w:rPr>
      </w:pPr>
      <w:r w:rsidRPr="00BA6AC3">
        <w:rPr>
          <w:rFonts w:cs="Times New Roman"/>
          <w:sz w:val="24"/>
          <w:szCs w:val="24"/>
          <w:lang w:eastAsia="zh-CN"/>
        </w:rPr>
        <w:t xml:space="preserve">The philosophical </w:t>
      </w:r>
      <w:proofErr w:type="gramStart"/>
      <w:r w:rsidRPr="00BA6AC3">
        <w:rPr>
          <w:rFonts w:cs="Times New Roman"/>
          <w:sz w:val="24"/>
          <w:szCs w:val="24"/>
          <w:lang w:eastAsia="zh-CN"/>
        </w:rPr>
        <w:t>training</w:t>
      </w:r>
      <w:proofErr w:type="gramEnd"/>
      <w:r w:rsidRPr="00BA6AC3">
        <w:rPr>
          <w:rFonts w:cs="Times New Roman"/>
          <w:sz w:val="24"/>
          <w:szCs w:val="24"/>
          <w:lang w:eastAsia="zh-CN"/>
        </w:rPr>
        <w:t xml:space="preserve"> I received under the analytic tradition in the U.S. has injected into that moody, sensitive kid</w:t>
      </w:r>
      <w:r w:rsidR="00F77249">
        <w:rPr>
          <w:rFonts w:cs="Times New Roman"/>
          <w:sz w:val="24"/>
          <w:szCs w:val="24"/>
          <w:lang w:eastAsia="zh-CN"/>
        </w:rPr>
        <w:t xml:space="preserve"> of my younger self</w:t>
      </w:r>
      <w:r w:rsidRPr="00BA6AC3">
        <w:rPr>
          <w:rFonts w:cs="Times New Roman"/>
          <w:sz w:val="24"/>
          <w:szCs w:val="24"/>
          <w:lang w:eastAsia="zh-CN"/>
        </w:rPr>
        <w:t xml:space="preserve"> a dose of formality and rationality, and turned him into someone who can </w:t>
      </w:r>
      <w:r w:rsidR="00353D59">
        <w:rPr>
          <w:rFonts w:cs="Times New Roman"/>
          <w:sz w:val="24"/>
          <w:szCs w:val="24"/>
          <w:lang w:eastAsia="zh-CN"/>
        </w:rPr>
        <w:t xml:space="preserve">think and </w:t>
      </w:r>
      <w:r w:rsidRPr="00BA6AC3">
        <w:rPr>
          <w:rFonts w:cs="Times New Roman"/>
          <w:sz w:val="24"/>
          <w:szCs w:val="24"/>
          <w:lang w:eastAsia="zh-CN"/>
        </w:rPr>
        <w:t xml:space="preserve">speak </w:t>
      </w:r>
      <w:r w:rsidR="00F77249">
        <w:rPr>
          <w:rFonts w:cs="Times New Roman"/>
          <w:sz w:val="24"/>
          <w:szCs w:val="24"/>
          <w:lang w:eastAsia="zh-CN"/>
        </w:rPr>
        <w:t>orderly about intellectual and emotional matters.</w:t>
      </w:r>
      <w:r w:rsidR="005D0005" w:rsidRPr="00BA6AC3">
        <w:rPr>
          <w:rFonts w:cs="Times New Roman"/>
          <w:sz w:val="24"/>
          <w:szCs w:val="24"/>
          <w:lang w:eastAsia="zh-CN"/>
        </w:rPr>
        <w:t xml:space="preserve"> Despite all my reservations about the analytic tradition, I am grateful for the balance it has helped me attain.</w:t>
      </w:r>
      <w:r w:rsidR="00C0058F" w:rsidRPr="00BA6AC3">
        <w:rPr>
          <w:rFonts w:cs="Times New Roman"/>
          <w:sz w:val="24"/>
          <w:szCs w:val="24"/>
          <w:lang w:eastAsia="zh-CN"/>
        </w:rPr>
        <w:t xml:space="preserve"> </w:t>
      </w:r>
    </w:p>
    <w:p w14:paraId="4BBAE93B" w14:textId="6B375F27" w:rsidR="00410FDB" w:rsidRPr="00BA6AC3" w:rsidRDefault="005D0005" w:rsidP="00BA6AC3">
      <w:pPr>
        <w:spacing w:line="480" w:lineRule="auto"/>
        <w:ind w:firstLine="720"/>
        <w:rPr>
          <w:rFonts w:cs="Times New Roman"/>
          <w:sz w:val="24"/>
          <w:szCs w:val="24"/>
          <w:lang w:eastAsia="zh-CN"/>
        </w:rPr>
      </w:pPr>
      <w:r w:rsidRPr="00BA6AC3">
        <w:rPr>
          <w:rFonts w:cs="Times New Roman"/>
          <w:sz w:val="24"/>
          <w:szCs w:val="24"/>
          <w:lang w:eastAsia="zh-CN"/>
        </w:rPr>
        <w:t xml:space="preserve">And of course, almost nothing is left untouched by the great happening of Covid. Living my last years of graduate school with Covid leaves me endless thoughts that I </w:t>
      </w:r>
      <w:r w:rsidR="00DC096D" w:rsidRPr="00BA6AC3">
        <w:rPr>
          <w:rFonts w:cs="Times New Roman"/>
          <w:sz w:val="24"/>
          <w:szCs w:val="24"/>
          <w:lang w:eastAsia="zh-CN"/>
        </w:rPr>
        <w:t xml:space="preserve">know not </w:t>
      </w:r>
      <w:r w:rsidR="00AF2B81">
        <w:rPr>
          <w:rFonts w:cs="Times New Roman"/>
          <w:sz w:val="24"/>
          <w:szCs w:val="24"/>
          <w:lang w:eastAsia="zh-CN"/>
        </w:rPr>
        <w:t xml:space="preserve">how to </w:t>
      </w:r>
      <w:r w:rsidR="00DC096D" w:rsidRPr="00BA6AC3">
        <w:rPr>
          <w:rFonts w:cs="Times New Roman"/>
          <w:sz w:val="24"/>
          <w:szCs w:val="24"/>
          <w:lang w:eastAsia="zh-CN"/>
        </w:rPr>
        <w:lastRenderedPageBreak/>
        <w:t xml:space="preserve">express. </w:t>
      </w:r>
      <w:r w:rsidR="00AF2B81">
        <w:rPr>
          <w:rFonts w:cs="Times New Roman"/>
          <w:sz w:val="24"/>
          <w:szCs w:val="24"/>
          <w:lang w:eastAsia="zh-CN"/>
        </w:rPr>
        <w:t>The first</w:t>
      </w:r>
      <w:r w:rsidR="00DC096D" w:rsidRPr="00BA6AC3">
        <w:rPr>
          <w:rFonts w:cs="Times New Roman"/>
          <w:sz w:val="24"/>
          <w:szCs w:val="24"/>
          <w:lang w:eastAsia="zh-CN"/>
        </w:rPr>
        <w:t xml:space="preserve"> hasty realization is the Confucian orientation that truly, I am a social animal</w:t>
      </w:r>
      <w:r w:rsidR="00410FDB" w:rsidRPr="00BA6AC3">
        <w:rPr>
          <w:rFonts w:cs="Times New Roman"/>
          <w:sz w:val="24"/>
          <w:szCs w:val="24"/>
          <w:lang w:eastAsia="zh-CN"/>
        </w:rPr>
        <w:t xml:space="preserve">, a realization that propels me to make </w:t>
      </w:r>
      <w:r w:rsidR="00DC096D" w:rsidRPr="00BA6AC3">
        <w:rPr>
          <w:rFonts w:cs="Times New Roman"/>
          <w:sz w:val="24"/>
          <w:szCs w:val="24"/>
          <w:lang w:eastAsia="zh-CN"/>
        </w:rPr>
        <w:t xml:space="preserve">myself available to social </w:t>
      </w:r>
      <w:r w:rsidR="00AF2B81">
        <w:rPr>
          <w:rFonts w:cs="Times New Roman"/>
          <w:sz w:val="24"/>
          <w:szCs w:val="24"/>
          <w:lang w:eastAsia="zh-CN"/>
        </w:rPr>
        <w:t>lives</w:t>
      </w:r>
      <w:r w:rsidR="00DC096D" w:rsidRPr="00BA6AC3">
        <w:rPr>
          <w:rFonts w:cs="Times New Roman"/>
          <w:sz w:val="24"/>
          <w:szCs w:val="24"/>
          <w:lang w:eastAsia="zh-CN"/>
        </w:rPr>
        <w:t xml:space="preserve"> more willingly (and perhaps relentlessly) </w:t>
      </w:r>
      <w:r w:rsidR="00410FDB" w:rsidRPr="00BA6AC3">
        <w:rPr>
          <w:rFonts w:cs="Times New Roman"/>
          <w:sz w:val="24"/>
          <w:szCs w:val="24"/>
          <w:lang w:eastAsia="zh-CN"/>
        </w:rPr>
        <w:t xml:space="preserve">during this past year </w:t>
      </w:r>
      <w:r w:rsidR="00DC096D" w:rsidRPr="00BA6AC3">
        <w:rPr>
          <w:rFonts w:cs="Times New Roman"/>
          <w:sz w:val="24"/>
          <w:szCs w:val="24"/>
          <w:lang w:eastAsia="zh-CN"/>
        </w:rPr>
        <w:t xml:space="preserve">than previous graduate school years. Then another Confucian message hits me with unmistakable force, that people are troubles. </w:t>
      </w:r>
      <w:r w:rsidR="0087182B" w:rsidRPr="00BA6AC3">
        <w:rPr>
          <w:rFonts w:cs="Times New Roman"/>
          <w:sz w:val="24"/>
          <w:szCs w:val="24"/>
          <w:lang w:eastAsia="zh-CN"/>
        </w:rPr>
        <w:t>Perhaps stronger than that, people are burdensome. Nonetheless, having friends and families, relationships and connections is a burden better present than absent</w:t>
      </w:r>
      <w:r w:rsidR="00AF2B81">
        <w:rPr>
          <w:rFonts w:cs="Times New Roman"/>
          <w:sz w:val="24"/>
          <w:szCs w:val="24"/>
          <w:lang w:eastAsia="zh-CN"/>
        </w:rPr>
        <w:t>. It is</w:t>
      </w:r>
      <w:r w:rsidR="0087182B" w:rsidRPr="00BA6AC3">
        <w:rPr>
          <w:rFonts w:cs="Times New Roman"/>
          <w:sz w:val="24"/>
          <w:szCs w:val="24"/>
          <w:lang w:eastAsia="zh-CN"/>
        </w:rPr>
        <w:t xml:space="preserve"> a problem that, among all the problems one can encounter, is a better problem of life. </w:t>
      </w:r>
    </w:p>
    <w:p w14:paraId="39D2395B" w14:textId="4997EDFB" w:rsidR="0087182B" w:rsidRDefault="00F77249" w:rsidP="00BA6AC3">
      <w:pPr>
        <w:spacing w:line="480" w:lineRule="auto"/>
        <w:ind w:firstLine="720"/>
        <w:rPr>
          <w:rFonts w:cs="Times New Roman"/>
          <w:sz w:val="24"/>
          <w:szCs w:val="24"/>
          <w:lang w:eastAsia="zh-CN"/>
        </w:rPr>
      </w:pPr>
      <w:r>
        <w:rPr>
          <w:rFonts w:cs="Times New Roman"/>
          <w:sz w:val="24"/>
          <w:szCs w:val="24"/>
          <w:lang w:eastAsia="zh-CN"/>
        </w:rPr>
        <w:t>Many</w:t>
      </w:r>
      <w:r w:rsidR="00472877" w:rsidRPr="00BA6AC3">
        <w:rPr>
          <w:rFonts w:cs="Times New Roman"/>
          <w:sz w:val="24"/>
          <w:szCs w:val="24"/>
          <w:lang w:eastAsia="zh-CN"/>
        </w:rPr>
        <w:t xml:space="preserve"> of the</w:t>
      </w:r>
      <w:r w:rsidR="00AF2B81">
        <w:rPr>
          <w:rFonts w:cs="Times New Roman"/>
          <w:sz w:val="24"/>
          <w:szCs w:val="24"/>
          <w:lang w:eastAsia="zh-CN"/>
        </w:rPr>
        <w:t>se</w:t>
      </w:r>
      <w:r w:rsidR="00472877" w:rsidRPr="00BA6AC3">
        <w:rPr>
          <w:rFonts w:cs="Times New Roman"/>
          <w:sz w:val="24"/>
          <w:szCs w:val="24"/>
          <w:lang w:eastAsia="zh-CN"/>
        </w:rPr>
        <w:t xml:space="preserve"> reflection</w:t>
      </w:r>
      <w:r w:rsidR="00AF2B81">
        <w:rPr>
          <w:rFonts w:cs="Times New Roman"/>
          <w:sz w:val="24"/>
          <w:szCs w:val="24"/>
          <w:lang w:eastAsia="zh-CN"/>
        </w:rPr>
        <w:t>s</w:t>
      </w:r>
      <w:r w:rsidR="00472877" w:rsidRPr="00BA6AC3">
        <w:rPr>
          <w:rFonts w:cs="Times New Roman"/>
          <w:sz w:val="24"/>
          <w:szCs w:val="24"/>
          <w:lang w:eastAsia="zh-CN"/>
        </w:rPr>
        <w:t xml:space="preserve"> took place during the numerous conversations I had with my dear advisor Dr. Amy Olberding</w:t>
      </w:r>
      <w:r w:rsidR="00E72896">
        <w:rPr>
          <w:rFonts w:cs="Times New Roman"/>
          <w:sz w:val="24"/>
          <w:szCs w:val="24"/>
          <w:lang w:eastAsia="zh-CN"/>
        </w:rPr>
        <w:t xml:space="preserve"> and dear friend Aron Burnett. Amy’s </w:t>
      </w:r>
      <w:r w:rsidR="00472877" w:rsidRPr="00BA6AC3">
        <w:rPr>
          <w:rFonts w:cs="Times New Roman"/>
          <w:sz w:val="24"/>
          <w:szCs w:val="24"/>
          <w:lang w:eastAsia="zh-CN"/>
        </w:rPr>
        <w:t>support and tolerance gave me both the resources and the space to grow on my own accord</w:t>
      </w:r>
      <w:r w:rsidR="00E72896">
        <w:rPr>
          <w:rFonts w:cs="Times New Roman"/>
          <w:sz w:val="24"/>
          <w:szCs w:val="24"/>
          <w:lang w:eastAsia="zh-CN"/>
        </w:rPr>
        <w:t>. Aron’s</w:t>
      </w:r>
      <w:r w:rsidR="002D14A8" w:rsidRPr="00BA6AC3">
        <w:rPr>
          <w:rFonts w:cs="Times New Roman"/>
          <w:sz w:val="24"/>
          <w:szCs w:val="24"/>
          <w:lang w:eastAsia="zh-CN"/>
        </w:rPr>
        <w:t xml:space="preserve"> companionship is always heartening, entertaining, and intellectually stimulating. </w:t>
      </w:r>
      <w:r w:rsidR="00D94D83" w:rsidRPr="00BA6AC3">
        <w:rPr>
          <w:rFonts w:cs="Times New Roman"/>
          <w:sz w:val="24"/>
          <w:szCs w:val="24"/>
          <w:lang w:eastAsia="zh-CN"/>
        </w:rPr>
        <w:t>My other committee members, Dr. Wayne Riggs, Dr. Nancy Snow, Dr. Hugh Benson, and Dr. Geoffrey Goble have offered their support</w:t>
      </w:r>
      <w:r w:rsidR="002156E7" w:rsidRPr="00BA6AC3">
        <w:rPr>
          <w:rFonts w:cs="Times New Roman"/>
          <w:sz w:val="24"/>
          <w:szCs w:val="24"/>
          <w:lang w:eastAsia="zh-CN"/>
        </w:rPr>
        <w:t xml:space="preserve"> as well</w:t>
      </w:r>
      <w:r w:rsidR="00F5722B" w:rsidRPr="00BA6AC3">
        <w:rPr>
          <w:rFonts w:cs="Times New Roman"/>
          <w:sz w:val="24"/>
          <w:szCs w:val="24"/>
          <w:lang w:eastAsia="zh-CN"/>
        </w:rPr>
        <w:t xml:space="preserve">. </w:t>
      </w:r>
      <w:proofErr w:type="gramStart"/>
      <w:r w:rsidR="00F5722B" w:rsidRPr="00BA6AC3">
        <w:rPr>
          <w:rFonts w:cs="Times New Roman"/>
          <w:sz w:val="24"/>
          <w:szCs w:val="24"/>
          <w:lang w:eastAsia="zh-CN"/>
        </w:rPr>
        <w:t>In particular, Wayne</w:t>
      </w:r>
      <w:proofErr w:type="gramEnd"/>
      <w:r w:rsidR="00F5722B" w:rsidRPr="00BA6AC3">
        <w:rPr>
          <w:rFonts w:cs="Times New Roman"/>
          <w:sz w:val="24"/>
          <w:szCs w:val="24"/>
          <w:lang w:eastAsia="zh-CN"/>
        </w:rPr>
        <w:t xml:space="preserve"> always made himself available for conversations</w:t>
      </w:r>
      <w:r w:rsidR="00E72896">
        <w:rPr>
          <w:rFonts w:cs="Times New Roman"/>
          <w:sz w:val="24"/>
          <w:szCs w:val="24"/>
          <w:lang w:eastAsia="zh-CN"/>
        </w:rPr>
        <w:t>. D</w:t>
      </w:r>
      <w:r w:rsidR="002156E7" w:rsidRPr="00BA6AC3">
        <w:rPr>
          <w:rFonts w:cs="Times New Roman"/>
          <w:sz w:val="24"/>
          <w:szCs w:val="24"/>
          <w:lang w:eastAsia="zh-CN"/>
        </w:rPr>
        <w:t xml:space="preserve">ear </w:t>
      </w:r>
      <w:r w:rsidR="00D94D83" w:rsidRPr="00BA6AC3">
        <w:rPr>
          <w:rFonts w:cs="Times New Roman"/>
          <w:sz w:val="24"/>
          <w:szCs w:val="24"/>
          <w:lang w:eastAsia="zh-CN"/>
        </w:rPr>
        <w:t>Nancy</w:t>
      </w:r>
      <w:r w:rsidR="00F5722B" w:rsidRPr="00BA6AC3">
        <w:rPr>
          <w:rFonts w:cs="Times New Roman"/>
          <w:sz w:val="24"/>
          <w:szCs w:val="24"/>
          <w:lang w:eastAsia="zh-CN"/>
        </w:rPr>
        <w:t xml:space="preserve"> </w:t>
      </w:r>
      <w:r w:rsidR="00D94D83" w:rsidRPr="00BA6AC3">
        <w:rPr>
          <w:rFonts w:cs="Times New Roman"/>
          <w:sz w:val="24"/>
          <w:szCs w:val="24"/>
          <w:lang w:eastAsia="zh-CN"/>
        </w:rPr>
        <w:t xml:space="preserve">graciously agreed to join the committee at the last minute and offered me invaluable comments and helps. </w:t>
      </w:r>
      <w:r w:rsidR="002156E7" w:rsidRPr="00BA6AC3">
        <w:rPr>
          <w:rFonts w:cs="Times New Roman"/>
          <w:sz w:val="24"/>
          <w:szCs w:val="24"/>
          <w:lang w:eastAsia="zh-CN"/>
        </w:rPr>
        <w:t xml:space="preserve">Spotlights must also include </w:t>
      </w:r>
      <w:r w:rsidR="002D14A8" w:rsidRPr="00BA6AC3">
        <w:rPr>
          <w:rFonts w:cs="Times New Roman"/>
          <w:sz w:val="24"/>
          <w:szCs w:val="24"/>
          <w:lang w:eastAsia="zh-CN"/>
        </w:rPr>
        <w:t xml:space="preserve">our department secretary Mr. Gabriel Serrano and Mrs. Shelley Konieczny. Dear </w:t>
      </w:r>
      <w:proofErr w:type="gramStart"/>
      <w:r w:rsidR="002D14A8" w:rsidRPr="00BA6AC3">
        <w:rPr>
          <w:rFonts w:cs="Times New Roman"/>
          <w:sz w:val="24"/>
          <w:szCs w:val="24"/>
          <w:lang w:eastAsia="zh-CN"/>
        </w:rPr>
        <w:t>Gabe</w:t>
      </w:r>
      <w:proofErr w:type="gramEnd"/>
      <w:r w:rsidR="002D14A8" w:rsidRPr="00BA6AC3">
        <w:rPr>
          <w:rFonts w:cs="Times New Roman"/>
          <w:sz w:val="24"/>
          <w:szCs w:val="24"/>
          <w:lang w:eastAsia="zh-CN"/>
        </w:rPr>
        <w:t xml:space="preserve"> has been as patient and supportive as he </w:t>
      </w:r>
      <w:r w:rsidR="00655F09" w:rsidRPr="00BA6AC3">
        <w:rPr>
          <w:rFonts w:cs="Times New Roman"/>
          <w:sz w:val="24"/>
          <w:szCs w:val="24"/>
          <w:lang w:eastAsia="zh-CN"/>
        </w:rPr>
        <w:t xml:space="preserve">is </w:t>
      </w:r>
      <w:r w:rsidR="002D14A8" w:rsidRPr="00BA6AC3">
        <w:rPr>
          <w:rFonts w:cs="Times New Roman"/>
          <w:sz w:val="24"/>
          <w:szCs w:val="24"/>
          <w:lang w:eastAsia="zh-CN"/>
        </w:rPr>
        <w:t>wise and entertaining</w:t>
      </w:r>
      <w:r w:rsidR="00BD273C">
        <w:rPr>
          <w:rFonts w:cs="Times New Roman"/>
          <w:sz w:val="24"/>
          <w:szCs w:val="24"/>
          <w:lang w:eastAsia="zh-CN"/>
        </w:rPr>
        <w:t>. He is</w:t>
      </w:r>
      <w:r w:rsidR="00655F09" w:rsidRPr="00BA6AC3">
        <w:rPr>
          <w:rFonts w:cs="Times New Roman"/>
          <w:sz w:val="24"/>
          <w:szCs w:val="24"/>
          <w:lang w:eastAsia="zh-CN"/>
        </w:rPr>
        <w:t xml:space="preserve"> a backbone of my Ph.D. program in terms of logistical struggles and daily conversations. Shelley </w:t>
      </w:r>
      <w:r w:rsidR="00D94D83" w:rsidRPr="00BA6AC3">
        <w:rPr>
          <w:rFonts w:cs="Times New Roman"/>
          <w:sz w:val="24"/>
          <w:szCs w:val="24"/>
          <w:lang w:eastAsia="zh-CN"/>
        </w:rPr>
        <w:t xml:space="preserve">is always ready to offer her smiley face from the financial matrix laid by institutional nonsense, and always fixes our financial problems for us without even saying no. </w:t>
      </w:r>
      <w:r w:rsidR="002156E7" w:rsidRPr="00BA6AC3">
        <w:rPr>
          <w:rFonts w:cs="Times New Roman"/>
          <w:sz w:val="24"/>
          <w:szCs w:val="24"/>
          <w:lang w:eastAsia="zh-CN"/>
        </w:rPr>
        <w:t xml:space="preserve">It is shared departmental knowledge that without Gabe and Shelley’s help, our </w:t>
      </w:r>
      <w:r w:rsidR="00BD273C">
        <w:rPr>
          <w:rFonts w:cs="Times New Roman"/>
          <w:sz w:val="24"/>
          <w:szCs w:val="24"/>
          <w:lang w:eastAsia="zh-CN"/>
        </w:rPr>
        <w:t>lives</w:t>
      </w:r>
      <w:r w:rsidR="002156E7" w:rsidRPr="00BA6AC3">
        <w:rPr>
          <w:rFonts w:cs="Times New Roman"/>
          <w:sz w:val="24"/>
          <w:szCs w:val="24"/>
          <w:lang w:eastAsia="zh-CN"/>
        </w:rPr>
        <w:t xml:space="preserve"> as graduate students would </w:t>
      </w:r>
      <w:r w:rsidR="00BD273C">
        <w:rPr>
          <w:rFonts w:cs="Times New Roman"/>
          <w:sz w:val="24"/>
          <w:szCs w:val="24"/>
          <w:lang w:eastAsia="zh-CN"/>
        </w:rPr>
        <w:t xml:space="preserve">have been </w:t>
      </w:r>
      <w:r w:rsidR="002156E7" w:rsidRPr="00BA6AC3">
        <w:rPr>
          <w:rFonts w:cs="Times New Roman"/>
          <w:sz w:val="24"/>
          <w:szCs w:val="24"/>
          <w:lang w:eastAsia="zh-CN"/>
        </w:rPr>
        <w:t xml:space="preserve">unimaginable. </w:t>
      </w:r>
      <w:proofErr w:type="gramStart"/>
      <w:r w:rsidR="002156E7" w:rsidRPr="00BA6AC3">
        <w:rPr>
          <w:rFonts w:cs="Times New Roman"/>
          <w:sz w:val="24"/>
          <w:szCs w:val="24"/>
          <w:lang w:eastAsia="zh-CN"/>
        </w:rPr>
        <w:t>Last but not least</w:t>
      </w:r>
      <w:proofErr w:type="gramEnd"/>
      <w:r w:rsidR="002156E7" w:rsidRPr="00BA6AC3">
        <w:rPr>
          <w:rFonts w:cs="Times New Roman"/>
          <w:sz w:val="24"/>
          <w:szCs w:val="24"/>
          <w:lang w:eastAsia="zh-CN"/>
        </w:rPr>
        <w:t xml:space="preserve">, </w:t>
      </w:r>
      <w:r w:rsidR="0030765C">
        <w:rPr>
          <w:rFonts w:cs="Times New Roman"/>
          <w:sz w:val="24"/>
          <w:szCs w:val="24"/>
          <w:lang w:eastAsia="zh-CN"/>
        </w:rPr>
        <w:t xml:space="preserve">in addition to my department mates, Jordan Droira, Babak </w:t>
      </w:r>
      <w:r w:rsidR="0030765C" w:rsidRPr="0030765C">
        <w:rPr>
          <w:rFonts w:cs="Times New Roman"/>
          <w:color w:val="000000"/>
          <w:sz w:val="24"/>
          <w:szCs w:val="24"/>
        </w:rPr>
        <w:t>Mohammadizadeh Khoshroo</w:t>
      </w:r>
      <w:r w:rsidR="0030765C">
        <w:rPr>
          <w:rFonts w:cs="Times New Roman"/>
          <w:sz w:val="24"/>
          <w:szCs w:val="24"/>
          <w:lang w:eastAsia="zh-CN"/>
        </w:rPr>
        <w:t xml:space="preserve">, Stephanie Holt, </w:t>
      </w:r>
      <w:r w:rsidR="00E72896">
        <w:rPr>
          <w:rFonts w:cs="Times New Roman"/>
          <w:sz w:val="24"/>
          <w:szCs w:val="24"/>
          <w:lang w:eastAsia="zh-CN"/>
        </w:rPr>
        <w:t xml:space="preserve">Conor McMahon, </w:t>
      </w:r>
      <w:r w:rsidR="0030765C">
        <w:rPr>
          <w:rFonts w:cs="Times New Roman"/>
          <w:sz w:val="24"/>
          <w:szCs w:val="24"/>
          <w:lang w:eastAsia="zh-CN"/>
        </w:rPr>
        <w:t xml:space="preserve">Cheryl Frazier, and Jeremy Fried, </w:t>
      </w:r>
      <w:r w:rsidR="002156E7" w:rsidRPr="00BA6AC3">
        <w:rPr>
          <w:rFonts w:cs="Times New Roman"/>
          <w:sz w:val="24"/>
          <w:szCs w:val="24"/>
          <w:lang w:eastAsia="zh-CN"/>
        </w:rPr>
        <w:t xml:space="preserve">I am fortunate to have made more new friends in the last year of my </w:t>
      </w:r>
      <w:r w:rsidR="002156E7" w:rsidRPr="00BA6AC3">
        <w:rPr>
          <w:rFonts w:cs="Times New Roman"/>
          <w:sz w:val="24"/>
          <w:szCs w:val="24"/>
          <w:lang w:eastAsia="zh-CN"/>
        </w:rPr>
        <w:lastRenderedPageBreak/>
        <w:t xml:space="preserve">Ph.D. life than I had in all previous years combined. Elena Ricci, </w:t>
      </w:r>
      <w:r w:rsidR="008C32E0" w:rsidRPr="00BA6AC3">
        <w:rPr>
          <w:rFonts w:cs="Times New Roman"/>
          <w:sz w:val="24"/>
          <w:szCs w:val="24"/>
          <w:lang w:eastAsia="zh-CN"/>
        </w:rPr>
        <w:t xml:space="preserve">Laura </w:t>
      </w:r>
      <w:proofErr w:type="spellStart"/>
      <w:r w:rsidR="008C32E0" w:rsidRPr="00BA6AC3">
        <w:rPr>
          <w:rFonts w:cs="Times New Roman"/>
          <w:sz w:val="24"/>
          <w:szCs w:val="24"/>
          <w:lang w:eastAsia="zh-CN"/>
        </w:rPr>
        <w:t>Mat</w:t>
      </w:r>
      <w:r w:rsidR="002E328C">
        <w:rPr>
          <w:rFonts w:cs="Times New Roman"/>
          <w:sz w:val="24"/>
          <w:szCs w:val="24"/>
          <w:lang w:eastAsia="zh-CN"/>
        </w:rPr>
        <w:t>es</w:t>
      </w:r>
      <w:r w:rsidR="008C32E0" w:rsidRPr="00BA6AC3">
        <w:rPr>
          <w:rFonts w:cs="Times New Roman"/>
          <w:sz w:val="24"/>
          <w:szCs w:val="24"/>
          <w:lang w:eastAsia="zh-CN"/>
        </w:rPr>
        <w:t>an</w:t>
      </w:r>
      <w:r w:rsidR="002E328C">
        <w:rPr>
          <w:rFonts w:cs="Times New Roman"/>
          <w:sz w:val="24"/>
          <w:szCs w:val="24"/>
          <w:lang w:eastAsia="zh-CN"/>
        </w:rPr>
        <w:t>z</w:t>
      </w:r>
      <w:proofErr w:type="spellEnd"/>
      <w:r w:rsidR="008C32E0" w:rsidRPr="00BA6AC3">
        <w:rPr>
          <w:rFonts w:cs="Times New Roman"/>
          <w:sz w:val="24"/>
          <w:szCs w:val="24"/>
          <w:lang w:eastAsia="zh-CN"/>
        </w:rPr>
        <w:t xml:space="preserve">, </w:t>
      </w:r>
      <w:r w:rsidR="002E328C" w:rsidRPr="002E328C">
        <w:rPr>
          <w:rFonts w:cs="Times New Roman"/>
          <w:sz w:val="24"/>
          <w:szCs w:val="24"/>
          <w:lang w:eastAsia="zh-CN"/>
        </w:rPr>
        <w:t>Joaquin Martinez</w:t>
      </w:r>
      <w:r w:rsidR="008C32E0" w:rsidRPr="00BA6AC3">
        <w:rPr>
          <w:rFonts w:cs="Times New Roman"/>
          <w:sz w:val="24"/>
          <w:szCs w:val="24"/>
          <w:lang w:eastAsia="zh-CN"/>
        </w:rPr>
        <w:t xml:space="preserve">, </w:t>
      </w:r>
      <w:r w:rsidR="002E328C" w:rsidRPr="002E328C">
        <w:rPr>
          <w:rFonts w:cs="Times New Roman"/>
          <w:sz w:val="24"/>
          <w:szCs w:val="24"/>
          <w:lang w:eastAsia="zh-CN"/>
        </w:rPr>
        <w:t>Laura Alejandra Gomez</w:t>
      </w:r>
      <w:r w:rsidR="002E328C" w:rsidRPr="00BA6AC3">
        <w:rPr>
          <w:rFonts w:cs="Times New Roman"/>
          <w:sz w:val="24"/>
          <w:szCs w:val="24"/>
          <w:lang w:eastAsia="zh-CN"/>
        </w:rPr>
        <w:t xml:space="preserve">, </w:t>
      </w:r>
      <w:r w:rsidR="002E328C" w:rsidRPr="002E328C">
        <w:rPr>
          <w:rFonts w:cs="Times New Roman"/>
          <w:sz w:val="24"/>
          <w:szCs w:val="24"/>
          <w:lang w:eastAsia="zh-CN"/>
        </w:rPr>
        <w:t>Cristian Jimenez</w:t>
      </w:r>
      <w:r w:rsidR="002E328C">
        <w:rPr>
          <w:rFonts w:cs="Times New Roman"/>
          <w:sz w:val="24"/>
          <w:szCs w:val="24"/>
          <w:lang w:eastAsia="zh-CN"/>
        </w:rPr>
        <w:t>,</w:t>
      </w:r>
      <w:r w:rsidR="002E328C" w:rsidRPr="00BA6AC3">
        <w:rPr>
          <w:rFonts w:cs="Times New Roman"/>
          <w:sz w:val="24"/>
          <w:szCs w:val="24"/>
          <w:lang w:eastAsia="zh-CN"/>
        </w:rPr>
        <w:t xml:space="preserve"> </w:t>
      </w:r>
      <w:r w:rsidR="008C32E0" w:rsidRPr="00BA6AC3">
        <w:rPr>
          <w:rFonts w:cs="Times New Roman"/>
          <w:sz w:val="24"/>
          <w:szCs w:val="24"/>
          <w:lang w:eastAsia="zh-CN"/>
        </w:rPr>
        <w:t xml:space="preserve">Guo </w:t>
      </w:r>
      <w:proofErr w:type="spellStart"/>
      <w:r w:rsidR="008C32E0" w:rsidRPr="00BA6AC3">
        <w:rPr>
          <w:rFonts w:cs="Times New Roman"/>
          <w:sz w:val="24"/>
          <w:szCs w:val="24"/>
          <w:lang w:eastAsia="zh-CN"/>
        </w:rPr>
        <w:t>Fenghua</w:t>
      </w:r>
      <w:proofErr w:type="spellEnd"/>
      <w:r w:rsidR="008C32E0" w:rsidRPr="00BA6AC3">
        <w:rPr>
          <w:rFonts w:cs="Times New Roman"/>
          <w:sz w:val="24"/>
          <w:szCs w:val="24"/>
          <w:lang w:eastAsia="zh-CN"/>
        </w:rPr>
        <w:t xml:space="preserve"> </w:t>
      </w:r>
      <w:r w:rsidR="008C32E0" w:rsidRPr="00BA6AC3">
        <w:rPr>
          <w:rFonts w:cs="Times New Roman"/>
          <w:sz w:val="24"/>
          <w:szCs w:val="24"/>
          <w:lang w:eastAsia="zh-CN"/>
        </w:rPr>
        <w:t>郭風華</w:t>
      </w:r>
      <w:r w:rsidR="008C32E0" w:rsidRPr="00BA6AC3">
        <w:rPr>
          <w:rFonts w:cs="Times New Roman"/>
          <w:sz w:val="24"/>
          <w:szCs w:val="24"/>
          <w:lang w:eastAsia="zh-CN"/>
        </w:rPr>
        <w:t xml:space="preserve">, Li </w:t>
      </w:r>
      <w:proofErr w:type="spellStart"/>
      <w:r w:rsidR="008C32E0" w:rsidRPr="00BA6AC3">
        <w:rPr>
          <w:rFonts w:cs="Times New Roman"/>
          <w:sz w:val="24"/>
          <w:szCs w:val="24"/>
          <w:lang w:eastAsia="zh-CN"/>
        </w:rPr>
        <w:t>Shuangshuang</w:t>
      </w:r>
      <w:proofErr w:type="spellEnd"/>
      <w:r w:rsidR="008C32E0" w:rsidRPr="00BA6AC3">
        <w:rPr>
          <w:rFonts w:cs="Times New Roman"/>
          <w:sz w:val="24"/>
          <w:szCs w:val="24"/>
          <w:lang w:eastAsia="zh-CN"/>
        </w:rPr>
        <w:t xml:space="preserve"> </w:t>
      </w:r>
      <w:r w:rsidR="008C32E0" w:rsidRPr="00BA6AC3">
        <w:rPr>
          <w:rFonts w:cs="Times New Roman"/>
          <w:sz w:val="24"/>
          <w:szCs w:val="24"/>
          <w:lang w:eastAsia="zh-CN"/>
        </w:rPr>
        <w:t>李雙雙</w:t>
      </w:r>
      <w:r w:rsidR="008C32E0" w:rsidRPr="00BA6AC3">
        <w:rPr>
          <w:rFonts w:cs="Times New Roman"/>
          <w:sz w:val="24"/>
          <w:szCs w:val="24"/>
          <w:lang w:eastAsia="zh-CN"/>
        </w:rPr>
        <w:t xml:space="preserve">, Jiang </w:t>
      </w:r>
      <w:proofErr w:type="spellStart"/>
      <w:r w:rsidR="008C32E0" w:rsidRPr="00BA6AC3">
        <w:rPr>
          <w:rFonts w:cs="Times New Roman"/>
          <w:sz w:val="24"/>
          <w:szCs w:val="24"/>
          <w:lang w:eastAsia="zh-CN"/>
        </w:rPr>
        <w:t>Yajun</w:t>
      </w:r>
      <w:proofErr w:type="spellEnd"/>
      <w:r w:rsidR="008C32E0" w:rsidRPr="00BA6AC3">
        <w:rPr>
          <w:rFonts w:cs="Times New Roman"/>
          <w:sz w:val="24"/>
          <w:szCs w:val="24"/>
          <w:lang w:eastAsia="zh-CN"/>
        </w:rPr>
        <w:t xml:space="preserve"> </w:t>
      </w:r>
      <w:r w:rsidR="008C32E0" w:rsidRPr="00BA6AC3">
        <w:rPr>
          <w:rFonts w:cs="Times New Roman"/>
          <w:sz w:val="24"/>
          <w:szCs w:val="24"/>
          <w:lang w:eastAsia="zh-CN"/>
        </w:rPr>
        <w:t>姜亞君</w:t>
      </w:r>
      <w:r w:rsidR="008C32E0" w:rsidRPr="00BA6AC3">
        <w:rPr>
          <w:rFonts w:cs="Times New Roman"/>
          <w:sz w:val="24"/>
          <w:szCs w:val="24"/>
          <w:lang w:eastAsia="zh-CN"/>
        </w:rPr>
        <w:t xml:space="preserve">, Fan </w:t>
      </w:r>
      <w:proofErr w:type="spellStart"/>
      <w:r w:rsidR="008C32E0" w:rsidRPr="00BA6AC3">
        <w:rPr>
          <w:rFonts w:cs="Times New Roman"/>
          <w:sz w:val="24"/>
          <w:szCs w:val="24"/>
          <w:lang w:eastAsia="zh-CN"/>
        </w:rPr>
        <w:t>Ziqi</w:t>
      </w:r>
      <w:proofErr w:type="spellEnd"/>
      <w:r w:rsidR="008C32E0" w:rsidRPr="00BA6AC3">
        <w:rPr>
          <w:rFonts w:cs="Times New Roman"/>
          <w:sz w:val="24"/>
          <w:szCs w:val="24"/>
          <w:lang w:eastAsia="zh-CN"/>
        </w:rPr>
        <w:t xml:space="preserve"> </w:t>
      </w:r>
      <w:r w:rsidR="008C32E0" w:rsidRPr="00BA6AC3">
        <w:rPr>
          <w:rFonts w:cs="Times New Roman"/>
          <w:sz w:val="24"/>
          <w:szCs w:val="24"/>
          <w:lang w:eastAsia="zh-CN"/>
        </w:rPr>
        <w:t>範子琪</w:t>
      </w:r>
      <w:r w:rsidR="008C32E0" w:rsidRPr="00BA6AC3">
        <w:rPr>
          <w:rFonts w:cs="Times New Roman"/>
          <w:sz w:val="24"/>
          <w:szCs w:val="24"/>
          <w:lang w:eastAsia="zh-CN"/>
        </w:rPr>
        <w:t>, you all are the bright surprises of my last year of Ph.D. life</w:t>
      </w:r>
      <w:r w:rsidR="0030765C">
        <w:rPr>
          <w:rFonts w:cs="Times New Roman"/>
          <w:sz w:val="24"/>
          <w:szCs w:val="24"/>
          <w:lang w:eastAsia="zh-CN"/>
        </w:rPr>
        <w:t xml:space="preserve">. </w:t>
      </w:r>
      <w:r w:rsidR="008C32E0" w:rsidRPr="00BA6AC3">
        <w:rPr>
          <w:rFonts w:cs="Times New Roman"/>
          <w:sz w:val="24"/>
          <w:szCs w:val="24"/>
          <w:lang w:eastAsia="zh-CN"/>
        </w:rPr>
        <w:t xml:space="preserve">I thank you for </w:t>
      </w:r>
      <w:r w:rsidR="00F5722B" w:rsidRPr="00BA6AC3">
        <w:rPr>
          <w:rFonts w:cs="Times New Roman"/>
          <w:sz w:val="24"/>
          <w:szCs w:val="24"/>
          <w:lang w:eastAsia="zh-CN"/>
        </w:rPr>
        <w:t xml:space="preserve">the food and drinks, laughter and </w:t>
      </w:r>
      <w:r w:rsidR="00827322" w:rsidRPr="00BA6AC3">
        <w:rPr>
          <w:rFonts w:cs="Times New Roman"/>
          <w:sz w:val="24"/>
          <w:szCs w:val="24"/>
          <w:lang w:eastAsia="zh-CN"/>
        </w:rPr>
        <w:t>bickering</w:t>
      </w:r>
      <w:r w:rsidR="00F5722B" w:rsidRPr="00BA6AC3">
        <w:rPr>
          <w:rFonts w:cs="Times New Roman"/>
          <w:sz w:val="24"/>
          <w:szCs w:val="24"/>
          <w:lang w:eastAsia="zh-CN"/>
        </w:rPr>
        <w:t xml:space="preserve">, </w:t>
      </w:r>
      <w:proofErr w:type="gramStart"/>
      <w:r w:rsidR="00F5722B" w:rsidRPr="00BA6AC3">
        <w:rPr>
          <w:rFonts w:cs="Times New Roman"/>
          <w:sz w:val="24"/>
          <w:szCs w:val="24"/>
          <w:lang w:eastAsia="zh-CN"/>
        </w:rPr>
        <w:t>conversations</w:t>
      </w:r>
      <w:proofErr w:type="gramEnd"/>
      <w:r w:rsidR="00F5722B" w:rsidRPr="00BA6AC3">
        <w:rPr>
          <w:rFonts w:cs="Times New Roman"/>
          <w:sz w:val="24"/>
          <w:szCs w:val="24"/>
          <w:lang w:eastAsia="zh-CN"/>
        </w:rPr>
        <w:t xml:space="preserve"> and companionship, and above all, your unique, lovely</w:t>
      </w:r>
      <w:r w:rsidR="002E328C">
        <w:rPr>
          <w:rFonts w:cs="Times New Roman"/>
          <w:sz w:val="24"/>
          <w:szCs w:val="24"/>
          <w:lang w:eastAsia="zh-CN"/>
        </w:rPr>
        <w:t xml:space="preserve"> souls</w:t>
      </w:r>
      <w:r w:rsidR="00F5722B" w:rsidRPr="00BA6AC3">
        <w:rPr>
          <w:rFonts w:cs="Times New Roman"/>
          <w:sz w:val="24"/>
          <w:szCs w:val="24"/>
          <w:lang w:eastAsia="zh-CN"/>
        </w:rPr>
        <w:t>.</w:t>
      </w:r>
      <w:r w:rsidR="00F5722B">
        <w:rPr>
          <w:rFonts w:cs="Times New Roman"/>
          <w:sz w:val="24"/>
          <w:szCs w:val="24"/>
          <w:lang w:eastAsia="zh-CN"/>
        </w:rPr>
        <w:t xml:space="preserve"> </w:t>
      </w:r>
      <w:r w:rsidR="0087182B">
        <w:rPr>
          <w:rFonts w:cs="Times New Roman"/>
          <w:sz w:val="24"/>
          <w:szCs w:val="24"/>
          <w:lang w:eastAsia="zh-CN"/>
        </w:rPr>
        <w:br w:type="page"/>
      </w:r>
    </w:p>
    <w:p w14:paraId="6B275AF2" w14:textId="77777777" w:rsidR="00544413" w:rsidRDefault="00544413" w:rsidP="0087182B">
      <w:pPr>
        <w:ind w:firstLine="720"/>
        <w:rPr>
          <w:rFonts w:cs="Times New Roman"/>
          <w:b/>
          <w:bCs/>
          <w:sz w:val="24"/>
          <w:szCs w:val="24"/>
        </w:rPr>
      </w:pPr>
    </w:p>
    <w:p w14:paraId="4A801D47" w14:textId="6DA34172" w:rsidR="00830739" w:rsidRDefault="00544413" w:rsidP="00830739">
      <w:pPr>
        <w:pStyle w:val="Heading1"/>
        <w:jc w:val="center"/>
        <w:rPr>
          <w:rFonts w:ascii="Times New Roman" w:hAnsi="Times New Roman" w:cs="Times New Roman"/>
          <w:color w:val="auto"/>
        </w:rPr>
      </w:pPr>
      <w:bookmarkStart w:id="1" w:name="_Toc102412716"/>
      <w:r w:rsidRPr="00830739">
        <w:rPr>
          <w:rFonts w:ascii="Times New Roman" w:hAnsi="Times New Roman" w:cs="Times New Roman"/>
          <w:color w:val="auto"/>
        </w:rPr>
        <w:t>Abstract</w:t>
      </w:r>
      <w:bookmarkEnd w:id="1"/>
    </w:p>
    <w:p w14:paraId="2B12ADE6" w14:textId="46471499" w:rsidR="00830739" w:rsidRDefault="00433992" w:rsidP="00FD2DEF">
      <w:pPr>
        <w:spacing w:line="480" w:lineRule="auto"/>
        <w:ind w:firstLine="720"/>
        <w:rPr>
          <w:rFonts w:cs="Times New Roman"/>
          <w:sz w:val="24"/>
          <w:szCs w:val="24"/>
        </w:rPr>
      </w:pPr>
      <w:r w:rsidRPr="00B84FB0">
        <w:rPr>
          <w:rFonts w:cs="Times New Roman"/>
          <w:sz w:val="24"/>
          <w:szCs w:val="24"/>
        </w:rPr>
        <w:t xml:space="preserve">In this dissertation, I </w:t>
      </w:r>
      <w:r>
        <w:rPr>
          <w:rFonts w:cs="Times New Roman"/>
          <w:sz w:val="24"/>
          <w:szCs w:val="24"/>
        </w:rPr>
        <w:t>present</w:t>
      </w:r>
      <w:r w:rsidRPr="00B84FB0">
        <w:rPr>
          <w:rFonts w:cs="Times New Roman"/>
          <w:sz w:val="24"/>
          <w:szCs w:val="24"/>
        </w:rPr>
        <w:t xml:space="preserve"> three </w:t>
      </w:r>
      <w:r>
        <w:rPr>
          <w:rFonts w:cs="Times New Roman"/>
          <w:sz w:val="24"/>
          <w:szCs w:val="24"/>
        </w:rPr>
        <w:t>distinct</w:t>
      </w:r>
      <w:r w:rsidRPr="00B84FB0">
        <w:rPr>
          <w:rFonts w:cs="Times New Roman"/>
          <w:sz w:val="24"/>
          <w:szCs w:val="24"/>
        </w:rPr>
        <w:t xml:space="preserve"> papers connected through the theme of control.</w:t>
      </w:r>
    </w:p>
    <w:p w14:paraId="2FEE1576" w14:textId="217AD234" w:rsidR="00433992" w:rsidRDefault="00C11E64" w:rsidP="00FD2DEF">
      <w:pPr>
        <w:spacing w:line="480" w:lineRule="auto"/>
        <w:ind w:firstLine="720"/>
        <w:rPr>
          <w:rFonts w:cs="Times New Roman"/>
          <w:sz w:val="24"/>
          <w:szCs w:val="24"/>
        </w:rPr>
      </w:pPr>
      <w:r>
        <w:rPr>
          <w:rFonts w:cs="Times New Roman"/>
          <w:sz w:val="24"/>
          <w:szCs w:val="24"/>
        </w:rPr>
        <w:t xml:space="preserve">The </w:t>
      </w:r>
      <w:r>
        <w:rPr>
          <w:rFonts w:cs="Times New Roman"/>
          <w:i/>
          <w:iCs/>
          <w:sz w:val="24"/>
          <w:szCs w:val="24"/>
        </w:rPr>
        <w:t xml:space="preserve">Analects </w:t>
      </w:r>
      <w:r>
        <w:rPr>
          <w:rFonts w:cs="Times New Roman"/>
          <w:sz w:val="24"/>
          <w:szCs w:val="24"/>
        </w:rPr>
        <w:t xml:space="preserve">suggests a view of control or human efficacy that we have a great deal of control over events </w:t>
      </w:r>
      <w:r w:rsidR="0059378C">
        <w:rPr>
          <w:rFonts w:cs="Times New Roman"/>
          <w:sz w:val="24"/>
          <w:szCs w:val="24"/>
        </w:rPr>
        <w:t>related</w:t>
      </w:r>
      <w:r>
        <w:rPr>
          <w:rFonts w:cs="Times New Roman"/>
          <w:sz w:val="24"/>
          <w:szCs w:val="24"/>
        </w:rPr>
        <w:t xml:space="preserve"> to us. But our control is often partial</w:t>
      </w:r>
      <w:r w:rsidR="00FD2DEF">
        <w:rPr>
          <w:rFonts w:cs="Times New Roman"/>
          <w:sz w:val="24"/>
          <w:szCs w:val="24"/>
        </w:rPr>
        <w:t>,</w:t>
      </w:r>
      <w:r>
        <w:rPr>
          <w:rFonts w:cs="Times New Roman"/>
          <w:sz w:val="24"/>
          <w:szCs w:val="24"/>
        </w:rPr>
        <w:t xml:space="preserve"> limited</w:t>
      </w:r>
      <w:r w:rsidR="00FD2DEF">
        <w:rPr>
          <w:rFonts w:cs="Times New Roman"/>
          <w:sz w:val="24"/>
          <w:szCs w:val="24"/>
        </w:rPr>
        <w:t>, and indeterminate</w:t>
      </w:r>
      <w:r>
        <w:rPr>
          <w:rFonts w:cs="Times New Roman"/>
          <w:sz w:val="24"/>
          <w:szCs w:val="24"/>
        </w:rPr>
        <w:t>. It suggests, in other words, a continuum of control</w:t>
      </w:r>
      <w:r w:rsidR="00FD2DEF">
        <w:rPr>
          <w:rFonts w:cs="Times New Roman"/>
          <w:sz w:val="24"/>
          <w:szCs w:val="24"/>
        </w:rPr>
        <w:t xml:space="preserve"> that goes from having (relatively) full control over certain things to having (relatively) no control over certain things, with a middle section where we exert partial and </w:t>
      </w:r>
      <w:r w:rsidR="009E008D">
        <w:rPr>
          <w:rFonts w:cs="Times New Roman"/>
          <w:sz w:val="24"/>
          <w:szCs w:val="24"/>
        </w:rPr>
        <w:t xml:space="preserve">indeterminate </w:t>
      </w:r>
      <w:r w:rsidR="00FD2DEF">
        <w:rPr>
          <w:rFonts w:cs="Times New Roman"/>
          <w:sz w:val="24"/>
          <w:szCs w:val="24"/>
        </w:rPr>
        <w:t xml:space="preserve">amount of control. </w:t>
      </w:r>
      <w:r>
        <w:rPr>
          <w:rFonts w:cs="Times New Roman" w:hint="eastAsia"/>
          <w:sz w:val="24"/>
          <w:szCs w:val="24"/>
          <w:lang w:eastAsia="zh-CN"/>
        </w:rPr>
        <w:t>Ope</w:t>
      </w:r>
      <w:r>
        <w:rPr>
          <w:rFonts w:cs="Times New Roman"/>
          <w:sz w:val="24"/>
          <w:szCs w:val="24"/>
        </w:rPr>
        <w:t xml:space="preserve">rating under this model of control, I develop and argue for three theses </w:t>
      </w:r>
      <w:r w:rsidR="0059378C">
        <w:rPr>
          <w:rFonts w:cs="Times New Roman"/>
          <w:sz w:val="24"/>
          <w:szCs w:val="24"/>
        </w:rPr>
        <w:t>regarding</w:t>
      </w:r>
      <w:r w:rsidR="009E008D">
        <w:rPr>
          <w:rFonts w:cs="Times New Roman"/>
          <w:sz w:val="24"/>
          <w:szCs w:val="24"/>
        </w:rPr>
        <w:t xml:space="preserve"> 1)</w:t>
      </w:r>
      <w:r>
        <w:rPr>
          <w:rFonts w:cs="Times New Roman"/>
          <w:sz w:val="24"/>
          <w:szCs w:val="24"/>
        </w:rPr>
        <w:t xml:space="preserve"> </w:t>
      </w:r>
      <w:r w:rsidR="00FD2DEF">
        <w:rPr>
          <w:rFonts w:cs="Times New Roman"/>
          <w:sz w:val="24"/>
          <w:szCs w:val="24"/>
        </w:rPr>
        <w:t>the emotion of worry</w:t>
      </w:r>
      <w:r w:rsidR="009E008D">
        <w:rPr>
          <w:rFonts w:cs="Times New Roman"/>
          <w:sz w:val="24"/>
          <w:szCs w:val="24"/>
        </w:rPr>
        <w:t xml:space="preserve"> when our control and concern over things </w:t>
      </w:r>
      <w:r w:rsidR="0059378C">
        <w:rPr>
          <w:rFonts w:cs="Times New Roman"/>
          <w:sz w:val="24"/>
          <w:szCs w:val="24"/>
        </w:rPr>
        <w:t xml:space="preserve">should </w:t>
      </w:r>
      <w:r w:rsidR="009E008D">
        <w:rPr>
          <w:rFonts w:cs="Times New Roman"/>
          <w:sz w:val="24"/>
          <w:szCs w:val="24"/>
        </w:rPr>
        <w:t xml:space="preserve">go beyond a </w:t>
      </w:r>
      <w:r w:rsidR="0059378C">
        <w:rPr>
          <w:rFonts w:cs="Times New Roman"/>
          <w:sz w:val="24"/>
          <w:szCs w:val="24"/>
        </w:rPr>
        <w:t xml:space="preserve">small </w:t>
      </w:r>
      <w:r w:rsidR="009E008D">
        <w:rPr>
          <w:rFonts w:cs="Times New Roman"/>
          <w:sz w:val="24"/>
          <w:szCs w:val="24"/>
        </w:rPr>
        <w:t>set; 2)</w:t>
      </w:r>
      <w:r w:rsidR="00FD2DEF">
        <w:rPr>
          <w:rFonts w:cs="Times New Roman"/>
          <w:sz w:val="24"/>
          <w:szCs w:val="24"/>
        </w:rPr>
        <w:t xml:space="preserve"> humility</w:t>
      </w:r>
      <w:r w:rsidR="009E008D">
        <w:rPr>
          <w:rFonts w:cs="Times New Roman"/>
          <w:sz w:val="24"/>
          <w:szCs w:val="24"/>
        </w:rPr>
        <w:t xml:space="preserve"> when we are humbled by the challenge of self-cultivation and others’ contributions; and 3)</w:t>
      </w:r>
      <w:r w:rsidR="00FD2DEF">
        <w:rPr>
          <w:rFonts w:cs="Times New Roman"/>
          <w:sz w:val="24"/>
          <w:szCs w:val="24"/>
        </w:rPr>
        <w:t xml:space="preserve"> relational virtue</w:t>
      </w:r>
      <w:r w:rsidR="009E008D">
        <w:rPr>
          <w:rFonts w:cs="Times New Roman"/>
          <w:sz w:val="24"/>
          <w:szCs w:val="24"/>
        </w:rPr>
        <w:t xml:space="preserve"> when we give up a certain control and let others partially determine not just what we do, but who we are. </w:t>
      </w:r>
    </w:p>
    <w:p w14:paraId="072A8E30" w14:textId="0733084B" w:rsidR="00FD2DEF" w:rsidRDefault="00FD2DEF" w:rsidP="00FD2DEF">
      <w:pPr>
        <w:spacing w:line="480" w:lineRule="auto"/>
        <w:ind w:firstLine="720"/>
        <w:rPr>
          <w:rFonts w:cs="Times New Roman"/>
          <w:sz w:val="24"/>
          <w:szCs w:val="24"/>
        </w:rPr>
      </w:pPr>
      <w:r>
        <w:rPr>
          <w:rFonts w:cs="Times New Roman"/>
          <w:sz w:val="24"/>
          <w:szCs w:val="24"/>
        </w:rPr>
        <w:t xml:space="preserve">In the first paper, I argue that </w:t>
      </w:r>
      <w:r w:rsidR="009E008D">
        <w:rPr>
          <w:rFonts w:cs="Times New Roman"/>
          <w:sz w:val="24"/>
          <w:szCs w:val="24"/>
        </w:rPr>
        <w:t xml:space="preserve">in the </w:t>
      </w:r>
      <w:r w:rsidR="009E008D">
        <w:rPr>
          <w:rFonts w:cs="Times New Roman"/>
          <w:i/>
          <w:iCs/>
          <w:sz w:val="24"/>
          <w:szCs w:val="24"/>
        </w:rPr>
        <w:t>Analects</w:t>
      </w:r>
      <w:r w:rsidR="009E008D">
        <w:rPr>
          <w:rFonts w:cs="Times New Roman"/>
          <w:sz w:val="24"/>
          <w:szCs w:val="24"/>
        </w:rPr>
        <w:t xml:space="preserve">, learning to worry well is part and parcel of the Confucian cultivation program, </w:t>
      </w:r>
      <w:r w:rsidR="0059378C">
        <w:rPr>
          <w:rFonts w:cs="Times New Roman"/>
          <w:sz w:val="24"/>
          <w:szCs w:val="24"/>
        </w:rPr>
        <w:t>and it</w:t>
      </w:r>
      <w:r w:rsidR="009E008D">
        <w:rPr>
          <w:rFonts w:cs="Times New Roman"/>
          <w:sz w:val="24"/>
          <w:szCs w:val="24"/>
        </w:rPr>
        <w:t xml:space="preserve"> includes learning to worry broadly about</w:t>
      </w:r>
      <w:r w:rsidR="004D3433">
        <w:rPr>
          <w:rFonts w:cs="Times New Roman"/>
          <w:sz w:val="24"/>
          <w:szCs w:val="24"/>
        </w:rPr>
        <w:t xml:space="preserve"> non-related others, and deeply about intimate others.</w:t>
      </w:r>
    </w:p>
    <w:p w14:paraId="03EACE6D" w14:textId="4C9244F5" w:rsidR="004D3433" w:rsidRDefault="004D3433" w:rsidP="00FD2DEF">
      <w:pPr>
        <w:spacing w:line="480" w:lineRule="auto"/>
        <w:ind w:firstLine="720"/>
        <w:rPr>
          <w:rFonts w:cs="Times New Roman"/>
          <w:sz w:val="24"/>
          <w:szCs w:val="24"/>
        </w:rPr>
      </w:pPr>
      <w:r>
        <w:rPr>
          <w:rFonts w:cs="Times New Roman"/>
          <w:sz w:val="24"/>
          <w:szCs w:val="24"/>
        </w:rPr>
        <w:t xml:space="preserve">In the second paper, I argue that in the </w:t>
      </w:r>
      <w:r>
        <w:rPr>
          <w:rFonts w:cs="Times New Roman"/>
          <w:i/>
          <w:iCs/>
          <w:sz w:val="24"/>
          <w:szCs w:val="24"/>
        </w:rPr>
        <w:t>Analects</w:t>
      </w:r>
      <w:r>
        <w:rPr>
          <w:rFonts w:cs="Times New Roman"/>
          <w:sz w:val="24"/>
          <w:szCs w:val="24"/>
        </w:rPr>
        <w:t xml:space="preserve">, humility is about </w:t>
      </w:r>
      <w:r w:rsidR="0071394A">
        <w:rPr>
          <w:rFonts w:cs="Times New Roman"/>
          <w:sz w:val="24"/>
          <w:szCs w:val="24"/>
        </w:rPr>
        <w:t xml:space="preserve">ritually expressed </w:t>
      </w:r>
      <w:r>
        <w:rPr>
          <w:rFonts w:cs="Times New Roman"/>
          <w:sz w:val="24"/>
          <w:szCs w:val="24"/>
        </w:rPr>
        <w:t>vigilance developed from a strong desire for cultivating oneself and devotion to responsibilit</w:t>
      </w:r>
      <w:r w:rsidR="0059378C">
        <w:rPr>
          <w:rFonts w:cs="Times New Roman"/>
          <w:sz w:val="24"/>
          <w:szCs w:val="24"/>
        </w:rPr>
        <w:t>ies</w:t>
      </w:r>
      <w:r>
        <w:rPr>
          <w:rFonts w:cs="Times New Roman"/>
          <w:sz w:val="24"/>
          <w:szCs w:val="24"/>
        </w:rPr>
        <w:t xml:space="preserve"> </w:t>
      </w:r>
      <w:r w:rsidR="0071394A">
        <w:rPr>
          <w:rFonts w:cs="Times New Roman"/>
          <w:sz w:val="24"/>
          <w:szCs w:val="24"/>
        </w:rPr>
        <w:t xml:space="preserve">that honor forerunners and check against misanthropy. </w:t>
      </w:r>
    </w:p>
    <w:p w14:paraId="7705B331" w14:textId="77777777" w:rsidR="00041FC6" w:rsidRDefault="0071394A" w:rsidP="00E61738">
      <w:pPr>
        <w:spacing w:line="480" w:lineRule="auto"/>
        <w:ind w:firstLine="720"/>
        <w:rPr>
          <w:rFonts w:cs="Times New Roman"/>
          <w:sz w:val="24"/>
          <w:szCs w:val="24"/>
        </w:rPr>
        <w:sectPr w:rsidR="00041FC6" w:rsidSect="0014303B">
          <w:pgSz w:w="12240" w:h="15840"/>
          <w:pgMar w:top="1440" w:right="1440" w:bottom="1440" w:left="1440" w:header="720" w:footer="720" w:gutter="0"/>
          <w:pgNumType w:fmt="lowerRoman"/>
          <w:cols w:space="720"/>
          <w:titlePg/>
          <w:docGrid w:linePitch="360"/>
        </w:sectPr>
      </w:pPr>
      <w:r>
        <w:rPr>
          <w:rFonts w:cs="Times New Roman"/>
          <w:sz w:val="24"/>
          <w:szCs w:val="24"/>
        </w:rPr>
        <w:t xml:space="preserve">In the third paper, I argue that relational virtues that characterize being a good friend, spouse, sibling, or child require more than the agent’s disposition, but also acknowledgement from intimate others, and in unfortunate situations, public </w:t>
      </w:r>
      <w:proofErr w:type="gramStart"/>
      <w:r>
        <w:rPr>
          <w:rFonts w:cs="Times New Roman"/>
          <w:sz w:val="24"/>
          <w:szCs w:val="24"/>
        </w:rPr>
        <w:t>acknowledgement</w:t>
      </w:r>
      <w:proofErr w:type="gramEnd"/>
      <w:r>
        <w:rPr>
          <w:rFonts w:cs="Times New Roman"/>
          <w:sz w:val="24"/>
          <w:szCs w:val="24"/>
        </w:rPr>
        <w:t xml:space="preserve"> and evaluation. To be relationally virtuous, the agent does not fully determine whether she is virtuous or not</w:t>
      </w:r>
      <w:r w:rsidR="0059378C">
        <w:rPr>
          <w:rFonts w:cs="Times New Roman"/>
          <w:sz w:val="24"/>
          <w:szCs w:val="24"/>
        </w:rPr>
        <w:t xml:space="preserve">. </w:t>
      </w:r>
      <w:bookmarkStart w:id="2" w:name="_Toc102412717"/>
    </w:p>
    <w:p w14:paraId="57081F3D" w14:textId="7D51B8E3" w:rsidR="00544413" w:rsidRPr="00041FC6" w:rsidRDefault="00830739" w:rsidP="00041FC6">
      <w:pPr>
        <w:pStyle w:val="Heading1"/>
        <w:jc w:val="center"/>
        <w:rPr>
          <w:rFonts w:ascii="Times New Roman" w:hAnsi="Times New Roman" w:cs="Times New Roman"/>
        </w:rPr>
      </w:pPr>
      <w:r w:rsidRPr="00041FC6">
        <w:rPr>
          <w:rFonts w:ascii="Times New Roman" w:hAnsi="Times New Roman" w:cs="Times New Roman"/>
        </w:rPr>
        <w:lastRenderedPageBreak/>
        <w:t>Introduction</w:t>
      </w:r>
      <w:bookmarkEnd w:id="2"/>
    </w:p>
    <w:p w14:paraId="1CFEDE67" w14:textId="77777777" w:rsidR="0059378C" w:rsidRPr="0059378C" w:rsidRDefault="0059378C" w:rsidP="0059378C"/>
    <w:p w14:paraId="0BAB3A7C" w14:textId="77777777" w:rsidR="00830739" w:rsidRDefault="00830739" w:rsidP="00830739">
      <w:pPr>
        <w:spacing w:line="480" w:lineRule="auto"/>
        <w:ind w:firstLine="720"/>
        <w:rPr>
          <w:rFonts w:cs="Times New Roman"/>
          <w:sz w:val="24"/>
          <w:szCs w:val="24"/>
        </w:rPr>
      </w:pPr>
      <w:r>
        <w:rPr>
          <w:rFonts w:cs="Times New Roman"/>
          <w:sz w:val="24"/>
          <w:szCs w:val="24"/>
        </w:rPr>
        <w:t xml:space="preserve">This dissertation consists of three separate papers that roughly center around one problem: What do we do when we do not have full control (of the outcome of our actions, our emotions, or even who we are)? Behind this vague and general question is a distinction between “what is within my control” and “what falls outside of my control” that is employed </w:t>
      </w:r>
      <w:proofErr w:type="gramStart"/>
      <w:r>
        <w:rPr>
          <w:rFonts w:cs="Times New Roman"/>
          <w:sz w:val="24"/>
          <w:szCs w:val="24"/>
        </w:rPr>
        <w:t>as a way to</w:t>
      </w:r>
      <w:proofErr w:type="gramEnd"/>
      <w:r>
        <w:rPr>
          <w:rFonts w:cs="Times New Roman"/>
          <w:sz w:val="24"/>
          <w:szCs w:val="24"/>
        </w:rPr>
        <w:t xml:space="preserve"> understand and react to life circumstances since the antiquity of early Greece and China. The standard answer to the question is to use the conceptual distinction to create a dichotomy of life that understands life events in two separate and contrasting groups, and only pay attention to the group of events that fall within my control. My focus is on the Chinese, and in particular, the </w:t>
      </w:r>
      <w:r>
        <w:rPr>
          <w:rFonts w:cs="Times New Roman"/>
          <w:i/>
          <w:iCs/>
          <w:sz w:val="24"/>
          <w:szCs w:val="24"/>
        </w:rPr>
        <w:t>Analects</w:t>
      </w:r>
      <w:r>
        <w:rPr>
          <w:rFonts w:cs="Times New Roman"/>
          <w:sz w:val="24"/>
          <w:szCs w:val="24"/>
        </w:rPr>
        <w:t xml:space="preserve">’ side of the story. The one-line summary that lays the backdrop of this dissertation is that the distinction is not a fitting conceptual apparatus for understanding the </w:t>
      </w:r>
      <w:r>
        <w:rPr>
          <w:rFonts w:cs="Times New Roman"/>
          <w:i/>
          <w:iCs/>
          <w:sz w:val="24"/>
          <w:szCs w:val="24"/>
        </w:rPr>
        <w:t>Analects</w:t>
      </w:r>
      <w:r>
        <w:rPr>
          <w:rFonts w:cs="Times New Roman"/>
          <w:sz w:val="24"/>
          <w:szCs w:val="24"/>
        </w:rPr>
        <w:t>, for the text suggests a continuum of control, rather than a clear-cut dichotomy of control. First, allow me to elaborate and defend this claim. Once that is done, I move on to describe how the three papers connect to this claim.</w:t>
      </w:r>
    </w:p>
    <w:p w14:paraId="42EF6EAE" w14:textId="6AA2CC1E" w:rsidR="00830739" w:rsidRDefault="00830739" w:rsidP="00830739">
      <w:pPr>
        <w:pStyle w:val="Heading2"/>
        <w:rPr>
          <w:rFonts w:asciiTheme="majorHAnsi" w:hAnsiTheme="majorHAnsi"/>
        </w:rPr>
      </w:pPr>
      <w:bookmarkStart w:id="3" w:name="_Toc102412718"/>
      <w:r>
        <w:t>Between in and out of Control</w:t>
      </w:r>
      <w:bookmarkEnd w:id="3"/>
    </w:p>
    <w:p w14:paraId="218ED2AD" w14:textId="77777777" w:rsidR="00830739" w:rsidRDefault="00830739" w:rsidP="00830739">
      <w:pPr>
        <w:spacing w:line="480" w:lineRule="auto"/>
        <w:ind w:firstLine="720"/>
        <w:rPr>
          <w:rFonts w:eastAsia="PMingLiU" w:cs="Times New Roman"/>
          <w:i/>
          <w:iCs/>
          <w:sz w:val="24"/>
          <w:szCs w:val="24"/>
          <w:lang w:eastAsia="zh-TW"/>
        </w:rPr>
      </w:pPr>
      <w:r>
        <w:rPr>
          <w:rFonts w:cs="Times New Roman"/>
          <w:sz w:val="24"/>
          <w:szCs w:val="24"/>
        </w:rPr>
        <w:t xml:space="preserve">The </w:t>
      </w:r>
      <w:r>
        <w:rPr>
          <w:rFonts w:cs="Times New Roman"/>
          <w:i/>
          <w:iCs/>
          <w:sz w:val="24"/>
          <w:szCs w:val="24"/>
        </w:rPr>
        <w:t>Analects</w:t>
      </w:r>
      <w:r>
        <w:rPr>
          <w:rFonts w:cs="Times New Roman"/>
          <w:sz w:val="24"/>
          <w:szCs w:val="24"/>
        </w:rPr>
        <w:t xml:space="preserve"> does not have passages or concepts that can be straightforwardly mapped onto the dichotomy between what lies within my control and what lies outside. Nonetheless, it remains a popular heuristic used by many scholars to analyze the </w:t>
      </w:r>
      <w:r>
        <w:rPr>
          <w:rFonts w:cs="Times New Roman"/>
          <w:i/>
          <w:iCs/>
          <w:sz w:val="24"/>
          <w:szCs w:val="24"/>
        </w:rPr>
        <w:t xml:space="preserve">Analects </w:t>
      </w:r>
      <w:r>
        <w:rPr>
          <w:rFonts w:cs="Times New Roman"/>
          <w:sz w:val="24"/>
          <w:szCs w:val="24"/>
        </w:rPr>
        <w:t xml:space="preserve">descriptively and normatively. For instance, </w:t>
      </w:r>
      <w:r>
        <w:rPr>
          <w:rFonts w:eastAsia="PMingLiU" w:cs="Times New Roman"/>
          <w:sz w:val="24"/>
          <w:szCs w:val="24"/>
          <w:lang w:eastAsia="zh-TW"/>
        </w:rPr>
        <w:t xml:space="preserve">Edward Slingerland, Yu </w:t>
      </w:r>
      <w:proofErr w:type="spellStart"/>
      <w:r>
        <w:rPr>
          <w:rFonts w:eastAsia="PMingLiU" w:cs="Times New Roman"/>
          <w:sz w:val="24"/>
          <w:szCs w:val="24"/>
          <w:lang w:eastAsia="zh-TW"/>
        </w:rPr>
        <w:t>Jiyuan</w:t>
      </w:r>
      <w:proofErr w:type="spellEnd"/>
      <w:r>
        <w:rPr>
          <w:rFonts w:eastAsia="PMingLiU" w:cs="Times New Roman"/>
          <w:sz w:val="24"/>
          <w:szCs w:val="24"/>
          <w:lang w:eastAsia="zh-TW"/>
        </w:rPr>
        <w:t xml:space="preserve">, and more recently, </w:t>
      </w:r>
      <w:proofErr w:type="spellStart"/>
      <w:r>
        <w:rPr>
          <w:rFonts w:eastAsia="PMingLiU" w:cs="Times New Roman"/>
          <w:sz w:val="24"/>
          <w:szCs w:val="24"/>
          <w:lang w:eastAsia="zh-TW"/>
        </w:rPr>
        <w:t>Yuet</w:t>
      </w:r>
      <w:proofErr w:type="spellEnd"/>
      <w:r>
        <w:rPr>
          <w:rFonts w:eastAsia="PMingLiU" w:cs="Times New Roman"/>
          <w:sz w:val="24"/>
          <w:szCs w:val="24"/>
          <w:lang w:eastAsia="zh-TW"/>
        </w:rPr>
        <w:t xml:space="preserve"> Keung Lo and Yao </w:t>
      </w:r>
      <w:proofErr w:type="spellStart"/>
      <w:r>
        <w:rPr>
          <w:rFonts w:eastAsia="PMingLiU" w:cs="Times New Roman"/>
          <w:sz w:val="24"/>
          <w:szCs w:val="24"/>
          <w:lang w:eastAsia="zh-TW"/>
        </w:rPr>
        <w:t>Xinzhong</w:t>
      </w:r>
      <w:proofErr w:type="spellEnd"/>
      <w:r>
        <w:rPr>
          <w:rFonts w:eastAsia="PMingLiU" w:cs="Times New Roman"/>
          <w:sz w:val="24"/>
          <w:szCs w:val="24"/>
          <w:lang w:eastAsia="zh-TW"/>
        </w:rPr>
        <w:t xml:space="preserve"> have all employed this distinction in their analyses of the </w:t>
      </w:r>
      <w:r>
        <w:rPr>
          <w:rFonts w:eastAsia="PMingLiU" w:cs="Times New Roman"/>
          <w:i/>
          <w:iCs/>
          <w:sz w:val="24"/>
          <w:szCs w:val="24"/>
          <w:lang w:eastAsia="zh-TW"/>
        </w:rPr>
        <w:t>Analects</w:t>
      </w:r>
      <w:r>
        <w:rPr>
          <w:rFonts w:eastAsia="PMingLiU" w:cs="Times New Roman"/>
          <w:sz w:val="24"/>
          <w:szCs w:val="24"/>
          <w:lang w:eastAsia="zh-TW"/>
        </w:rPr>
        <w:t>.</w:t>
      </w:r>
      <w:r>
        <w:rPr>
          <w:rStyle w:val="FootnoteReference"/>
          <w:rFonts w:eastAsia="PMingLiU" w:cs="Times New Roman"/>
          <w:sz w:val="24"/>
          <w:szCs w:val="24"/>
          <w:lang w:eastAsia="zh-TW"/>
        </w:rPr>
        <w:footnoteReference w:id="1"/>
      </w:r>
      <w:r>
        <w:rPr>
          <w:rFonts w:eastAsia="PMingLiU" w:cs="Times New Roman"/>
          <w:sz w:val="24"/>
          <w:szCs w:val="24"/>
          <w:lang w:eastAsia="zh-TW"/>
        </w:rPr>
        <w:t xml:space="preserve"> </w:t>
      </w:r>
      <w:r>
        <w:rPr>
          <w:rFonts w:eastAsia="PMingLiU" w:cs="Times New Roman"/>
          <w:i/>
          <w:iCs/>
          <w:sz w:val="24"/>
          <w:szCs w:val="24"/>
          <w:lang w:eastAsia="zh-TW"/>
        </w:rPr>
        <w:t xml:space="preserve"> </w:t>
      </w:r>
    </w:p>
    <w:p w14:paraId="7F34F6E8" w14:textId="77777777" w:rsidR="00830739" w:rsidRDefault="00830739" w:rsidP="00830739">
      <w:pPr>
        <w:spacing w:line="480" w:lineRule="auto"/>
        <w:ind w:firstLine="720"/>
        <w:rPr>
          <w:rFonts w:eastAsia="PMingLiU" w:cs="Times New Roman"/>
          <w:sz w:val="24"/>
          <w:szCs w:val="24"/>
          <w:lang w:eastAsia="zh-TW"/>
        </w:rPr>
      </w:pPr>
      <w:r>
        <w:rPr>
          <w:rFonts w:eastAsia="PMingLiU" w:cs="Times New Roman"/>
          <w:sz w:val="24"/>
          <w:szCs w:val="24"/>
          <w:lang w:eastAsia="zh-TW"/>
        </w:rPr>
        <w:lastRenderedPageBreak/>
        <w:t xml:space="preserve">Slingerland argues that the </w:t>
      </w:r>
      <w:r>
        <w:rPr>
          <w:rFonts w:eastAsia="PMingLiU" w:cs="Times New Roman"/>
          <w:i/>
          <w:iCs/>
          <w:sz w:val="24"/>
          <w:szCs w:val="24"/>
          <w:lang w:eastAsia="zh-TW"/>
        </w:rPr>
        <w:t xml:space="preserve">Analects </w:t>
      </w:r>
      <w:r>
        <w:rPr>
          <w:rFonts w:eastAsia="PMingLiU" w:cs="Times New Roman"/>
          <w:sz w:val="24"/>
          <w:szCs w:val="24"/>
          <w:lang w:eastAsia="zh-TW"/>
        </w:rPr>
        <w:t xml:space="preserve">utilizes a dichotomy of the “inner-outer” </w:t>
      </w:r>
      <w:proofErr w:type="spellStart"/>
      <w:r>
        <w:rPr>
          <w:rFonts w:eastAsia="PMingLiU" w:cs="Times New Roman"/>
          <w:i/>
          <w:iCs/>
          <w:sz w:val="24"/>
          <w:szCs w:val="24"/>
          <w:lang w:eastAsia="zh-TW"/>
        </w:rPr>
        <w:t>nei</w:t>
      </w:r>
      <w:proofErr w:type="spellEnd"/>
      <w:r>
        <w:rPr>
          <w:rFonts w:eastAsia="PMingLiU" w:cs="Times New Roman"/>
          <w:sz w:val="24"/>
          <w:szCs w:val="24"/>
          <w:lang w:eastAsia="zh-TW"/>
        </w:rPr>
        <w:t>/</w:t>
      </w:r>
      <w:proofErr w:type="spellStart"/>
      <w:r>
        <w:rPr>
          <w:rFonts w:eastAsia="PMingLiU" w:cs="Times New Roman"/>
          <w:i/>
          <w:iCs/>
          <w:sz w:val="24"/>
          <w:szCs w:val="24"/>
          <w:lang w:eastAsia="zh-TW"/>
        </w:rPr>
        <w:t>wai</w:t>
      </w:r>
      <w:proofErr w:type="spellEnd"/>
      <w:r>
        <w:rPr>
          <w:rFonts w:eastAsia="PMingLiU" w:cs="Times New Roman"/>
          <w:sz w:val="24"/>
          <w:szCs w:val="24"/>
          <w:lang w:eastAsia="zh-TW"/>
        </w:rPr>
        <w:t xml:space="preserve"> </w:t>
      </w:r>
      <w:r>
        <w:rPr>
          <w:rFonts w:ascii="MS Gothic" w:eastAsia="MS Gothic" w:hAnsi="MS Gothic" w:cs="MS Gothic" w:hint="eastAsia"/>
          <w:sz w:val="24"/>
          <w:szCs w:val="24"/>
          <w:lang w:eastAsia="zh-TW"/>
        </w:rPr>
        <w:t>内外</w:t>
      </w:r>
      <w:r>
        <w:rPr>
          <w:rFonts w:cs="Times New Roman"/>
          <w:sz w:val="24"/>
          <w:szCs w:val="24"/>
        </w:rPr>
        <w:t xml:space="preserve"> realm to guide learners’ attention in moral cultivation. The outer realm consists of such matters as “life and death, fame and disgrace, wealth and poverty,” all of which are subject to forces of </w:t>
      </w:r>
      <w:proofErr w:type="spellStart"/>
      <w:r>
        <w:rPr>
          <w:rFonts w:cs="Times New Roman"/>
          <w:i/>
          <w:iCs/>
          <w:sz w:val="24"/>
          <w:szCs w:val="24"/>
        </w:rPr>
        <w:t>ming</w:t>
      </w:r>
      <w:proofErr w:type="spellEnd"/>
      <w:r>
        <w:rPr>
          <w:rFonts w:cs="Times New Roman"/>
          <w:i/>
          <w:iCs/>
          <w:sz w:val="24"/>
          <w:szCs w:val="24"/>
        </w:rPr>
        <w:t xml:space="preserve"> </w:t>
      </w:r>
      <w:r>
        <w:rPr>
          <w:rFonts w:ascii="MS Gothic" w:eastAsia="MS Gothic" w:hAnsi="MS Gothic" w:cs="MS Gothic" w:hint="eastAsia"/>
          <w:sz w:val="24"/>
          <w:szCs w:val="24"/>
        </w:rPr>
        <w:t>命</w:t>
      </w:r>
      <w:r>
        <w:rPr>
          <w:rFonts w:cs="Times New Roman"/>
          <w:sz w:val="24"/>
          <w:szCs w:val="24"/>
        </w:rPr>
        <w:t>, or roughly, fate, and therefore, are “beyond the bounds of proper human endeavor.”</w:t>
      </w:r>
      <w:r>
        <w:rPr>
          <w:rStyle w:val="FootnoteReference"/>
          <w:rFonts w:cs="Times New Roman"/>
          <w:sz w:val="24"/>
          <w:szCs w:val="24"/>
        </w:rPr>
        <w:footnoteReference w:id="2"/>
      </w:r>
      <w:r>
        <w:rPr>
          <w:rFonts w:cs="Times New Roman"/>
          <w:sz w:val="24"/>
          <w:szCs w:val="24"/>
        </w:rPr>
        <w:t xml:space="preserve"> In contrast, the inner realm is the realm relating to one’s character and virtue, which lies fully within one’s control. The </w:t>
      </w:r>
      <w:r>
        <w:rPr>
          <w:rFonts w:cs="Times New Roman"/>
          <w:i/>
          <w:iCs/>
          <w:sz w:val="24"/>
          <w:szCs w:val="24"/>
        </w:rPr>
        <w:t>Analects</w:t>
      </w:r>
      <w:r>
        <w:rPr>
          <w:rFonts w:cs="Times New Roman"/>
          <w:sz w:val="24"/>
          <w:szCs w:val="24"/>
        </w:rPr>
        <w:t xml:space="preserve">’ suggestion is that agents should focus on the inner realm and the goods obtainable only in the inner realm – such as the pleasure found in conducting virtuous activities. Yu </w:t>
      </w:r>
      <w:proofErr w:type="spellStart"/>
      <w:r>
        <w:rPr>
          <w:rFonts w:cs="Times New Roman"/>
          <w:sz w:val="24"/>
          <w:szCs w:val="24"/>
        </w:rPr>
        <w:t>Jiyuan</w:t>
      </w:r>
      <w:proofErr w:type="spellEnd"/>
      <w:r>
        <w:rPr>
          <w:rFonts w:cs="Times New Roman"/>
          <w:sz w:val="24"/>
          <w:szCs w:val="24"/>
        </w:rPr>
        <w:t xml:space="preserve"> similarly argues that “a virtuous or excellent person should not be disturbed by the lack of external goods” because these things “could not be controlled or altered by a human agent, regardless of whether he or she is virtuous.”</w:t>
      </w:r>
      <w:r>
        <w:rPr>
          <w:rStyle w:val="FootnoteReference"/>
          <w:rFonts w:cs="Times New Roman"/>
          <w:sz w:val="24"/>
          <w:szCs w:val="24"/>
        </w:rPr>
        <w:footnoteReference w:id="3"/>
      </w:r>
      <w:r>
        <w:rPr>
          <w:rFonts w:cs="Times New Roman"/>
          <w:sz w:val="24"/>
          <w:szCs w:val="24"/>
        </w:rPr>
        <w:t xml:space="preserve"> Instead, she “enjoys peace of mind and experiences no worries, fear and inner conflict (A, 4:4, 12:4).”</w:t>
      </w:r>
      <w:r>
        <w:rPr>
          <w:rStyle w:val="FootnoteReference"/>
          <w:rFonts w:cs="Times New Roman"/>
          <w:sz w:val="24"/>
          <w:szCs w:val="24"/>
        </w:rPr>
        <w:footnoteReference w:id="4"/>
      </w:r>
      <w:r>
        <w:rPr>
          <w:rFonts w:cs="Times New Roman"/>
          <w:sz w:val="24"/>
          <w:szCs w:val="24"/>
        </w:rPr>
        <w:t xml:space="preserve"> </w:t>
      </w:r>
      <w:r>
        <w:rPr>
          <w:rFonts w:eastAsia="PMingLiU" w:cs="Times New Roman"/>
          <w:sz w:val="24"/>
          <w:szCs w:val="24"/>
          <w:lang w:eastAsia="zh-TW"/>
        </w:rPr>
        <w:t xml:space="preserve">Yao </w:t>
      </w:r>
      <w:proofErr w:type="spellStart"/>
      <w:r>
        <w:rPr>
          <w:rFonts w:eastAsia="PMingLiU" w:cs="Times New Roman"/>
          <w:sz w:val="24"/>
          <w:szCs w:val="24"/>
          <w:lang w:eastAsia="zh-TW"/>
        </w:rPr>
        <w:t>Xinzhong</w:t>
      </w:r>
      <w:proofErr w:type="spellEnd"/>
      <w:r>
        <w:rPr>
          <w:rFonts w:eastAsia="PMingLiU" w:cs="Times New Roman"/>
          <w:sz w:val="24"/>
          <w:szCs w:val="24"/>
          <w:lang w:eastAsia="zh-TW"/>
        </w:rPr>
        <w:t xml:space="preserve"> cites a different passage of 16.5 and argues that Confucius makes a distinction between “beneficial joy and harmful joy” that corresponds to roughly, the joy of virtuous living and the pleasure of fulfilling material needs and desires.</w:t>
      </w:r>
      <w:r>
        <w:rPr>
          <w:rStyle w:val="FootnoteReference"/>
          <w:rFonts w:eastAsia="PMingLiU" w:cs="Times New Roman"/>
          <w:sz w:val="24"/>
          <w:szCs w:val="24"/>
          <w:lang w:eastAsia="zh-TW"/>
        </w:rPr>
        <w:footnoteReference w:id="5"/>
      </w:r>
      <w:r>
        <w:rPr>
          <w:rFonts w:eastAsia="PMingLiU" w:cs="Times New Roman"/>
          <w:sz w:val="24"/>
          <w:szCs w:val="24"/>
          <w:lang w:eastAsia="zh-TW"/>
        </w:rPr>
        <w:t xml:space="preserve"> Only the first kind is the true joy that is lasting and deeply satisfying. </w:t>
      </w:r>
      <w:proofErr w:type="spellStart"/>
      <w:r>
        <w:rPr>
          <w:rFonts w:cs="Times New Roman"/>
          <w:sz w:val="24"/>
          <w:szCs w:val="24"/>
        </w:rPr>
        <w:t>Yuet</w:t>
      </w:r>
      <w:proofErr w:type="spellEnd"/>
      <w:r>
        <w:rPr>
          <w:rFonts w:cs="Times New Roman"/>
          <w:sz w:val="24"/>
          <w:szCs w:val="24"/>
        </w:rPr>
        <w:t xml:space="preserve"> Keung Lo attends to a different set of problems in the </w:t>
      </w:r>
      <w:r>
        <w:rPr>
          <w:rFonts w:cs="Times New Roman"/>
          <w:i/>
          <w:iCs/>
          <w:sz w:val="24"/>
          <w:szCs w:val="24"/>
        </w:rPr>
        <w:t>Analects</w:t>
      </w:r>
      <w:r>
        <w:rPr>
          <w:rFonts w:cs="Times New Roman"/>
          <w:sz w:val="24"/>
          <w:szCs w:val="24"/>
        </w:rPr>
        <w:t xml:space="preserve"> that can plague learners, namely, the lack of recognition by others</w:t>
      </w:r>
      <w:r>
        <w:rPr>
          <w:rFonts w:eastAsia="PMingLiU" w:cs="Times New Roman"/>
          <w:sz w:val="24"/>
          <w:szCs w:val="24"/>
          <w:lang w:eastAsia="zh-TW"/>
        </w:rPr>
        <w:t xml:space="preserve">. Lo thinks that this presents the greatest challenge to </w:t>
      </w:r>
      <w:proofErr w:type="gramStart"/>
      <w:r>
        <w:rPr>
          <w:rFonts w:eastAsia="PMingLiU" w:cs="Times New Roman"/>
          <w:sz w:val="24"/>
          <w:szCs w:val="24"/>
          <w:lang w:eastAsia="zh-TW"/>
        </w:rPr>
        <w:t>cultivation, and</w:t>
      </w:r>
      <w:proofErr w:type="gramEnd"/>
      <w:r>
        <w:rPr>
          <w:rFonts w:eastAsia="PMingLiU" w:cs="Times New Roman"/>
          <w:sz w:val="24"/>
          <w:szCs w:val="24"/>
          <w:lang w:eastAsia="zh-TW"/>
        </w:rPr>
        <w:t xml:space="preserve"> argues that learners should confront such a challenge by recognizing that they engage in the project of </w:t>
      </w:r>
      <w:r>
        <w:rPr>
          <w:rFonts w:eastAsia="PMingLiU" w:cs="Times New Roman"/>
          <w:i/>
          <w:iCs/>
          <w:sz w:val="24"/>
          <w:szCs w:val="24"/>
          <w:lang w:eastAsia="zh-TW"/>
        </w:rPr>
        <w:t>self</w:t>
      </w:r>
      <w:r>
        <w:rPr>
          <w:rFonts w:eastAsia="PMingLiU" w:cs="Times New Roman"/>
          <w:sz w:val="24"/>
          <w:szCs w:val="24"/>
          <w:lang w:eastAsia="zh-TW"/>
        </w:rPr>
        <w:t xml:space="preserve">-cultivation, the fulfillment and completion of which cannot be compromised by lack of recognition by others. </w:t>
      </w:r>
    </w:p>
    <w:p w14:paraId="2DF12E19" w14:textId="77777777" w:rsidR="00830739" w:rsidRDefault="00830739" w:rsidP="00830739">
      <w:pPr>
        <w:spacing w:line="480" w:lineRule="auto"/>
        <w:rPr>
          <w:rFonts w:eastAsiaTheme="minorEastAsia" w:cs="Times New Roman"/>
          <w:color w:val="FF0000"/>
          <w:sz w:val="24"/>
          <w:szCs w:val="24"/>
          <w:lang w:eastAsia="zh-CN"/>
        </w:rPr>
      </w:pPr>
      <w:r>
        <w:rPr>
          <w:rFonts w:eastAsia="PMingLiU" w:cs="Times New Roman"/>
          <w:sz w:val="24"/>
          <w:szCs w:val="24"/>
          <w:lang w:eastAsia="zh-TW"/>
        </w:rPr>
        <w:lastRenderedPageBreak/>
        <w:tab/>
        <w:t xml:space="preserve">Scholars’ discussions fill out the details of the two contrasting categories of “within agent’s control” versus “not in agent’s control.” Things and events that go beyond the limited power of agent include, as scholars suggest, recognition of others, wealth and social status, and another standard item that is not mentioned here, namely, the order of states and peace in the world in general. The last item </w:t>
      </w:r>
      <w:proofErr w:type="gramStart"/>
      <w:r>
        <w:rPr>
          <w:rFonts w:eastAsia="PMingLiU" w:cs="Times New Roman"/>
          <w:sz w:val="24"/>
          <w:szCs w:val="24"/>
          <w:lang w:eastAsia="zh-TW"/>
        </w:rPr>
        <w:t>in particular does</w:t>
      </w:r>
      <w:proofErr w:type="gramEnd"/>
      <w:r>
        <w:rPr>
          <w:rFonts w:eastAsia="PMingLiU" w:cs="Times New Roman"/>
          <w:sz w:val="24"/>
          <w:szCs w:val="24"/>
          <w:lang w:eastAsia="zh-TW"/>
        </w:rPr>
        <w:t xml:space="preserve"> seem to fall out of any agent’s control, including rulers of particular states. This establishes one part of the dichotomy. Regarding the other group, i.e., the items under agent’s control, scholars generally put moral cultivation as an unquestionable example. While moral cultivation certainly requires individual effort, what exactly about moral cultivation that is (relatively) clearly dependent upon agent requires further specification, for it is a well-recognized feature of a Confucian moral cultivation program that cultivation requires other people’s contribution and support.</w:t>
      </w:r>
      <w:r>
        <w:rPr>
          <w:rStyle w:val="FootnoteReference"/>
          <w:rFonts w:eastAsia="PMingLiU" w:cs="Times New Roman"/>
          <w:sz w:val="24"/>
          <w:szCs w:val="24"/>
          <w:lang w:eastAsia="zh-TW"/>
        </w:rPr>
        <w:footnoteReference w:id="6"/>
      </w:r>
      <w:r>
        <w:rPr>
          <w:rFonts w:eastAsia="PMingLiU" w:cs="Times New Roman"/>
          <w:sz w:val="24"/>
          <w:szCs w:val="24"/>
          <w:lang w:eastAsia="zh-TW"/>
        </w:rPr>
        <w:t xml:space="preserve"> I contend that “</w:t>
      </w:r>
      <w:proofErr w:type="spellStart"/>
      <w:r>
        <w:rPr>
          <w:rFonts w:eastAsia="PMingLiU" w:cs="Times New Roman"/>
          <w:i/>
          <w:iCs/>
          <w:sz w:val="24"/>
          <w:szCs w:val="24"/>
          <w:lang w:eastAsia="zh-TW"/>
        </w:rPr>
        <w:t>zhi</w:t>
      </w:r>
      <w:proofErr w:type="spellEnd"/>
      <w:r>
        <w:rPr>
          <w:rFonts w:eastAsia="PMingLiU" w:cs="Times New Roman"/>
          <w:i/>
          <w:iCs/>
          <w:sz w:val="24"/>
          <w:szCs w:val="24"/>
          <w:lang w:eastAsia="zh-TW"/>
        </w:rPr>
        <w:t xml:space="preserve"> </w:t>
      </w:r>
      <w:r>
        <w:rPr>
          <w:rFonts w:ascii="MS Gothic" w:eastAsia="MS Gothic" w:hAnsi="MS Gothic" w:cs="MS Gothic" w:hint="eastAsia"/>
          <w:sz w:val="24"/>
          <w:szCs w:val="24"/>
        </w:rPr>
        <w:t>志</w:t>
      </w:r>
      <w:r>
        <w:rPr>
          <w:rFonts w:cs="Times New Roman"/>
          <w:sz w:val="24"/>
          <w:szCs w:val="24"/>
        </w:rPr>
        <w:t xml:space="preserve">,” a word that can be both noun and </w:t>
      </w:r>
      <w:proofErr w:type="gramStart"/>
      <w:r>
        <w:rPr>
          <w:rFonts w:cs="Times New Roman"/>
          <w:sz w:val="24"/>
          <w:szCs w:val="24"/>
        </w:rPr>
        <w:t>verb, and</w:t>
      </w:r>
      <w:proofErr w:type="gramEnd"/>
      <w:r>
        <w:rPr>
          <w:rFonts w:cs="Times New Roman"/>
          <w:sz w:val="24"/>
          <w:szCs w:val="24"/>
        </w:rPr>
        <w:t xml:space="preserve"> has to do with (setting) goals and aim, fits this category. </w:t>
      </w:r>
    </w:p>
    <w:p w14:paraId="18824CD3" w14:textId="77777777" w:rsidR="00830739" w:rsidRDefault="00830739" w:rsidP="00830739">
      <w:pPr>
        <w:spacing w:line="480" w:lineRule="auto"/>
        <w:ind w:firstLine="420"/>
        <w:rPr>
          <w:rFonts w:cs="Times New Roman"/>
          <w:sz w:val="24"/>
          <w:szCs w:val="28"/>
        </w:rPr>
      </w:pPr>
      <w:proofErr w:type="spellStart"/>
      <w:r>
        <w:rPr>
          <w:rFonts w:cs="Times New Roman"/>
          <w:i/>
          <w:iCs/>
          <w:sz w:val="24"/>
          <w:szCs w:val="28"/>
        </w:rPr>
        <w:t>Zhi</w:t>
      </w:r>
      <w:proofErr w:type="spellEnd"/>
      <w:r>
        <w:rPr>
          <w:rFonts w:cs="Times New Roman"/>
          <w:i/>
          <w:iCs/>
          <w:sz w:val="24"/>
          <w:szCs w:val="28"/>
        </w:rPr>
        <w:t xml:space="preserve"> </w:t>
      </w:r>
      <w:r>
        <w:rPr>
          <w:rFonts w:cs="Times New Roman"/>
          <w:sz w:val="24"/>
          <w:szCs w:val="28"/>
        </w:rPr>
        <w:t xml:space="preserve">can mean setting one’s mind on something with determination where the aim is value-neutral (14.36). The most frequent and interesting cases, however, indicate that </w:t>
      </w:r>
      <w:proofErr w:type="spellStart"/>
      <w:r>
        <w:rPr>
          <w:rFonts w:cs="Times New Roman"/>
          <w:i/>
          <w:iCs/>
          <w:sz w:val="24"/>
          <w:szCs w:val="28"/>
        </w:rPr>
        <w:t>zhi</w:t>
      </w:r>
      <w:proofErr w:type="spellEnd"/>
      <w:r>
        <w:rPr>
          <w:rFonts w:cs="Times New Roman"/>
          <w:sz w:val="24"/>
          <w:szCs w:val="28"/>
        </w:rPr>
        <w:t xml:space="preserve"> is a personal aspiration that conveys and confers a self-image of who one is and wants to become (1.11, 2.4, 4.4, 4.9, 5.26, 7.6, 11.26, 15.9, 18.8, 19.6). As an aspiration of who one is and wants to become, a </w:t>
      </w:r>
      <w:proofErr w:type="spellStart"/>
      <w:r>
        <w:rPr>
          <w:rFonts w:cs="Times New Roman"/>
          <w:i/>
          <w:iCs/>
          <w:sz w:val="24"/>
          <w:szCs w:val="28"/>
        </w:rPr>
        <w:t>zhi</w:t>
      </w:r>
      <w:proofErr w:type="spellEnd"/>
      <w:r>
        <w:rPr>
          <w:rFonts w:cs="Times New Roman"/>
          <w:i/>
          <w:iCs/>
          <w:sz w:val="24"/>
          <w:szCs w:val="28"/>
        </w:rPr>
        <w:t xml:space="preserve"> </w:t>
      </w:r>
      <w:r>
        <w:rPr>
          <w:rFonts w:cs="Times New Roman"/>
          <w:sz w:val="24"/>
          <w:szCs w:val="28"/>
        </w:rPr>
        <w:t xml:space="preserve">is, roughly speaking, existential in its target. This means that a goal of getting a good grade in a class would not count as a </w:t>
      </w:r>
      <w:proofErr w:type="spellStart"/>
      <w:r>
        <w:rPr>
          <w:rFonts w:cs="Times New Roman"/>
          <w:i/>
          <w:iCs/>
          <w:sz w:val="24"/>
          <w:szCs w:val="28"/>
        </w:rPr>
        <w:t>zhi</w:t>
      </w:r>
      <w:proofErr w:type="spellEnd"/>
      <w:r>
        <w:rPr>
          <w:rFonts w:cs="Times New Roman"/>
          <w:i/>
          <w:iCs/>
          <w:sz w:val="24"/>
          <w:szCs w:val="28"/>
        </w:rPr>
        <w:t xml:space="preserve"> </w:t>
      </w:r>
      <w:r>
        <w:rPr>
          <w:rFonts w:cs="Times New Roman"/>
          <w:sz w:val="24"/>
          <w:szCs w:val="28"/>
        </w:rPr>
        <w:t xml:space="preserve">because it does not relate to self-identity. Being a good student, on the other hand, can be a </w:t>
      </w:r>
      <w:proofErr w:type="spellStart"/>
      <w:r>
        <w:rPr>
          <w:rFonts w:cs="Times New Roman"/>
          <w:i/>
          <w:iCs/>
          <w:sz w:val="24"/>
          <w:szCs w:val="28"/>
        </w:rPr>
        <w:t>zhi</w:t>
      </w:r>
      <w:proofErr w:type="spellEnd"/>
      <w:r>
        <w:rPr>
          <w:rFonts w:cs="Times New Roman"/>
          <w:i/>
          <w:iCs/>
          <w:sz w:val="24"/>
          <w:szCs w:val="28"/>
        </w:rPr>
        <w:t xml:space="preserve"> </w:t>
      </w:r>
      <w:r>
        <w:rPr>
          <w:rFonts w:cs="Times New Roman"/>
          <w:sz w:val="24"/>
          <w:szCs w:val="28"/>
        </w:rPr>
        <w:t xml:space="preserve">(albeit a “small” one in that the social identity of being a student is often only a small part in one’s arc of life). </w:t>
      </w:r>
    </w:p>
    <w:p w14:paraId="59CA0907" w14:textId="77777777" w:rsidR="00830739" w:rsidRDefault="00830739" w:rsidP="00830739">
      <w:pPr>
        <w:spacing w:line="480" w:lineRule="auto"/>
        <w:ind w:firstLine="420"/>
        <w:rPr>
          <w:rFonts w:cs="Times New Roman"/>
          <w:sz w:val="24"/>
          <w:szCs w:val="28"/>
        </w:rPr>
      </w:pPr>
      <w:r>
        <w:rPr>
          <w:rFonts w:cs="Times New Roman"/>
          <w:sz w:val="24"/>
          <w:szCs w:val="28"/>
        </w:rPr>
        <w:lastRenderedPageBreak/>
        <w:t xml:space="preserve">More importantly, a </w:t>
      </w:r>
      <w:proofErr w:type="spellStart"/>
      <w:r>
        <w:rPr>
          <w:rFonts w:cs="Times New Roman"/>
          <w:i/>
          <w:iCs/>
          <w:sz w:val="24"/>
          <w:szCs w:val="28"/>
        </w:rPr>
        <w:t>zhi</w:t>
      </w:r>
      <w:proofErr w:type="spellEnd"/>
      <w:r>
        <w:rPr>
          <w:rFonts w:cs="Times New Roman"/>
          <w:sz w:val="24"/>
          <w:szCs w:val="28"/>
        </w:rPr>
        <w:t xml:space="preserve"> is wholeheartedly endorsed, which involves first, a knowledge requirement of sorts. The agent needs to know enough about the content, requirements, and some of the entailments (such as sacrifices) of pursuing the goal. She needs to grasp a sense of the existential “weight” the goal demands of her were she to pursue that goal.</w:t>
      </w:r>
      <w:r>
        <w:rPr>
          <w:rStyle w:val="FootnoteReference"/>
          <w:rFonts w:cs="Times New Roman"/>
          <w:sz w:val="24"/>
          <w:szCs w:val="28"/>
        </w:rPr>
        <w:footnoteReference w:id="7"/>
      </w:r>
      <w:r>
        <w:rPr>
          <w:rFonts w:cs="Times New Roman"/>
          <w:sz w:val="24"/>
          <w:szCs w:val="28"/>
        </w:rPr>
        <w:t xml:space="preserve"> Put concretely, she needs to have more than an intellectual grasp that being a proper good student requires devoting time to study, but a bit of existential understanding of what that </w:t>
      </w:r>
      <w:proofErr w:type="spellStart"/>
      <w:r>
        <w:rPr>
          <w:rFonts w:cs="Times New Roman"/>
          <w:i/>
          <w:iCs/>
          <w:sz w:val="24"/>
          <w:szCs w:val="28"/>
        </w:rPr>
        <w:t>zhi</w:t>
      </w:r>
      <w:proofErr w:type="spellEnd"/>
      <w:r>
        <w:rPr>
          <w:rFonts w:cs="Times New Roman"/>
          <w:i/>
          <w:iCs/>
          <w:sz w:val="24"/>
          <w:szCs w:val="28"/>
        </w:rPr>
        <w:t xml:space="preserve"> </w:t>
      </w:r>
      <w:r>
        <w:rPr>
          <w:rFonts w:cs="Times New Roman"/>
          <w:sz w:val="24"/>
          <w:szCs w:val="28"/>
        </w:rPr>
        <w:t xml:space="preserve">would make her become, say, among her friends. Among other things, her friends may not invite her to certain activities that they consider to be not “her jam,” </w:t>
      </w:r>
      <w:r>
        <w:rPr>
          <w:rFonts w:cs="Times New Roman"/>
          <w:i/>
          <w:iCs/>
          <w:sz w:val="24"/>
          <w:szCs w:val="28"/>
        </w:rPr>
        <w:t>if</w:t>
      </w:r>
      <w:r>
        <w:rPr>
          <w:rFonts w:cs="Times New Roman"/>
          <w:sz w:val="24"/>
          <w:szCs w:val="28"/>
        </w:rPr>
        <w:t xml:space="preserve"> she becomes a proper good student. Second, wholehearted endorsement involves a certain endorsement based on an understanding of the goal (i.e., the first component), namely, self-identification. The specific content of a </w:t>
      </w:r>
      <w:proofErr w:type="spellStart"/>
      <w:r>
        <w:rPr>
          <w:rFonts w:cs="Times New Roman"/>
          <w:i/>
          <w:iCs/>
          <w:sz w:val="24"/>
          <w:szCs w:val="28"/>
        </w:rPr>
        <w:t>zhi</w:t>
      </w:r>
      <w:proofErr w:type="spellEnd"/>
      <w:r>
        <w:rPr>
          <w:rFonts w:cs="Times New Roman"/>
          <w:sz w:val="24"/>
          <w:szCs w:val="28"/>
        </w:rPr>
        <w:t xml:space="preserve"> might be inspired by others, which is the case of </w:t>
      </w:r>
      <w:proofErr w:type="spellStart"/>
      <w:r>
        <w:rPr>
          <w:rFonts w:cs="Times New Roman"/>
          <w:sz w:val="24"/>
          <w:szCs w:val="28"/>
        </w:rPr>
        <w:t>Kongzi’s</w:t>
      </w:r>
      <w:proofErr w:type="spellEnd"/>
      <w:r>
        <w:rPr>
          <w:rFonts w:cs="Times New Roman"/>
          <w:sz w:val="24"/>
          <w:szCs w:val="28"/>
        </w:rPr>
        <w:t xml:space="preserve"> students. However, a </w:t>
      </w:r>
      <w:proofErr w:type="spellStart"/>
      <w:r>
        <w:rPr>
          <w:rFonts w:cs="Times New Roman"/>
          <w:i/>
          <w:iCs/>
          <w:sz w:val="24"/>
          <w:szCs w:val="28"/>
        </w:rPr>
        <w:t>zhi</w:t>
      </w:r>
      <w:proofErr w:type="spellEnd"/>
      <w:r>
        <w:rPr>
          <w:rFonts w:cs="Times New Roman"/>
          <w:sz w:val="24"/>
          <w:szCs w:val="28"/>
        </w:rPr>
        <w:t xml:space="preserve"> must be taken to be one’s own, which accompanies motivation and desire that originate from oneself. It is a requirement where the agent needs to take initiative in determining who she wants to become. For this reason, a properly established </w:t>
      </w:r>
      <w:proofErr w:type="spellStart"/>
      <w:r>
        <w:rPr>
          <w:rFonts w:cs="Times New Roman"/>
          <w:i/>
          <w:iCs/>
          <w:sz w:val="24"/>
          <w:szCs w:val="28"/>
        </w:rPr>
        <w:t>zhi</w:t>
      </w:r>
      <w:proofErr w:type="spellEnd"/>
      <w:r>
        <w:rPr>
          <w:rFonts w:cs="Times New Roman"/>
          <w:i/>
          <w:iCs/>
          <w:sz w:val="24"/>
          <w:szCs w:val="28"/>
        </w:rPr>
        <w:t xml:space="preserve"> </w:t>
      </w:r>
      <w:r>
        <w:rPr>
          <w:rFonts w:cs="Times New Roman"/>
          <w:sz w:val="24"/>
          <w:szCs w:val="28"/>
        </w:rPr>
        <w:t>gives direction to one’s life,</w:t>
      </w:r>
      <w:r>
        <w:rPr>
          <w:rStyle w:val="FootnoteReference"/>
          <w:rFonts w:cs="Times New Roman"/>
          <w:sz w:val="24"/>
          <w:szCs w:val="28"/>
        </w:rPr>
        <w:footnoteReference w:id="8"/>
      </w:r>
      <w:r>
        <w:rPr>
          <w:rFonts w:cs="Times New Roman"/>
          <w:sz w:val="24"/>
          <w:szCs w:val="28"/>
        </w:rPr>
        <w:t xml:space="preserve"> regulates one’s conducts and practices, and reinforces self-identity. </w:t>
      </w:r>
      <w:r>
        <w:rPr>
          <w:rFonts w:cs="Times New Roman"/>
          <w:i/>
          <w:iCs/>
          <w:sz w:val="24"/>
          <w:szCs w:val="28"/>
        </w:rPr>
        <w:t xml:space="preserve">Analects </w:t>
      </w:r>
      <w:r>
        <w:rPr>
          <w:rFonts w:cs="Times New Roman"/>
          <w:sz w:val="24"/>
          <w:szCs w:val="28"/>
        </w:rPr>
        <w:t xml:space="preserve">18.8 comments that </w:t>
      </w:r>
      <w:proofErr w:type="spellStart"/>
      <w:r>
        <w:rPr>
          <w:rFonts w:cs="Times New Roman"/>
          <w:sz w:val="24"/>
          <w:szCs w:val="28"/>
        </w:rPr>
        <w:t>Boyi</w:t>
      </w:r>
      <w:proofErr w:type="spellEnd"/>
      <w:r>
        <w:rPr>
          <w:rFonts w:cs="Times New Roman"/>
          <w:sz w:val="24"/>
          <w:szCs w:val="28"/>
        </w:rPr>
        <w:t xml:space="preserve"> </w:t>
      </w:r>
      <w:proofErr w:type="spellStart"/>
      <w:r>
        <w:rPr>
          <w:rFonts w:ascii="MS Gothic" w:eastAsia="MS Gothic" w:hAnsi="MS Gothic" w:cs="MS Gothic" w:hint="eastAsia"/>
          <w:sz w:val="24"/>
          <w:szCs w:val="28"/>
        </w:rPr>
        <w:t>伯夷</w:t>
      </w:r>
      <w:proofErr w:type="spellEnd"/>
      <w:r>
        <w:rPr>
          <w:rFonts w:cs="Times New Roman"/>
          <w:sz w:val="24"/>
          <w:szCs w:val="28"/>
        </w:rPr>
        <w:t xml:space="preserve"> and </w:t>
      </w:r>
      <w:proofErr w:type="spellStart"/>
      <w:r>
        <w:rPr>
          <w:rFonts w:cs="Times New Roman"/>
          <w:sz w:val="24"/>
          <w:szCs w:val="28"/>
        </w:rPr>
        <w:t>Shuqi</w:t>
      </w:r>
      <w:proofErr w:type="spellEnd"/>
      <w:r>
        <w:rPr>
          <w:rFonts w:cs="Times New Roman"/>
          <w:sz w:val="24"/>
          <w:szCs w:val="28"/>
        </w:rPr>
        <w:t xml:space="preserve"> </w:t>
      </w:r>
      <w:proofErr w:type="spellStart"/>
      <w:r>
        <w:rPr>
          <w:rFonts w:ascii="MS Gothic" w:eastAsia="MS Gothic" w:hAnsi="MS Gothic" w:cs="MS Gothic" w:hint="eastAsia"/>
          <w:sz w:val="24"/>
          <w:szCs w:val="28"/>
        </w:rPr>
        <w:t>叔</w:t>
      </w:r>
      <w:r>
        <w:rPr>
          <w:rFonts w:ascii="Microsoft JhengHei" w:eastAsia="Microsoft JhengHei" w:hAnsi="Microsoft JhengHei" w:cs="Microsoft JhengHei" w:hint="eastAsia"/>
          <w:sz w:val="24"/>
          <w:szCs w:val="28"/>
        </w:rPr>
        <w:t>齐</w:t>
      </w:r>
      <w:r>
        <w:rPr>
          <w:rFonts w:cs="Times New Roman"/>
          <w:sz w:val="24"/>
          <w:szCs w:val="28"/>
        </w:rPr>
        <w:t>belong</w:t>
      </w:r>
      <w:proofErr w:type="spellEnd"/>
      <w:r>
        <w:rPr>
          <w:rFonts w:cs="Times New Roman"/>
          <w:sz w:val="24"/>
          <w:szCs w:val="28"/>
        </w:rPr>
        <w:t xml:space="preserve"> to those who “do not taint their </w:t>
      </w:r>
      <w:proofErr w:type="spellStart"/>
      <w:r>
        <w:rPr>
          <w:rFonts w:cs="Times New Roman"/>
          <w:i/>
          <w:iCs/>
          <w:sz w:val="24"/>
          <w:szCs w:val="28"/>
        </w:rPr>
        <w:t>zhi</w:t>
      </w:r>
      <w:proofErr w:type="spellEnd"/>
      <w:r>
        <w:rPr>
          <w:rFonts w:cs="Times New Roman"/>
          <w:i/>
          <w:iCs/>
          <w:sz w:val="24"/>
          <w:szCs w:val="28"/>
        </w:rPr>
        <w:t xml:space="preserve"> </w:t>
      </w:r>
      <w:r>
        <w:rPr>
          <w:rFonts w:cs="Times New Roman"/>
          <w:sz w:val="24"/>
          <w:szCs w:val="28"/>
        </w:rPr>
        <w:t xml:space="preserve">nor bring indignity to themselves </w:t>
      </w:r>
      <w:proofErr w:type="spellStart"/>
      <w:r>
        <w:rPr>
          <w:rFonts w:ascii="MS Gothic" w:eastAsia="MS Gothic" w:hAnsi="MS Gothic" w:cs="MS Gothic" w:hint="eastAsia"/>
          <w:sz w:val="24"/>
          <w:szCs w:val="28"/>
        </w:rPr>
        <w:t>不降其志</w:t>
      </w:r>
      <w:proofErr w:type="spellEnd"/>
      <w:r>
        <w:rPr>
          <w:rFonts w:cs="Times New Roman"/>
          <w:sz w:val="24"/>
          <w:szCs w:val="28"/>
        </w:rPr>
        <w:t xml:space="preserve">, </w:t>
      </w:r>
      <w:proofErr w:type="spellStart"/>
      <w:r>
        <w:rPr>
          <w:rFonts w:ascii="MS Gothic" w:eastAsia="MS Gothic" w:hAnsi="MS Gothic" w:cs="MS Gothic" w:hint="eastAsia"/>
          <w:sz w:val="24"/>
          <w:szCs w:val="28"/>
        </w:rPr>
        <w:t>不辱其身</w:t>
      </w:r>
      <w:proofErr w:type="spellEnd"/>
      <w:r>
        <w:rPr>
          <w:rFonts w:cs="Times New Roman"/>
          <w:sz w:val="24"/>
          <w:szCs w:val="28"/>
        </w:rPr>
        <w:t xml:space="preserve">.” Protecting one’s </w:t>
      </w:r>
      <w:proofErr w:type="spellStart"/>
      <w:r>
        <w:rPr>
          <w:rFonts w:cs="Times New Roman"/>
          <w:i/>
          <w:iCs/>
          <w:sz w:val="24"/>
          <w:szCs w:val="28"/>
        </w:rPr>
        <w:t>zhi</w:t>
      </w:r>
      <w:proofErr w:type="spellEnd"/>
      <w:r>
        <w:rPr>
          <w:rFonts w:cs="Times New Roman"/>
          <w:i/>
          <w:iCs/>
          <w:sz w:val="24"/>
          <w:szCs w:val="28"/>
        </w:rPr>
        <w:t xml:space="preserve"> </w:t>
      </w:r>
      <w:r>
        <w:rPr>
          <w:rFonts w:cs="Times New Roman"/>
          <w:sz w:val="24"/>
          <w:szCs w:val="28"/>
        </w:rPr>
        <w:t xml:space="preserve">amounts to protecting one’s integrity and self-identity. Similarly, in 5.26 and 11.26, </w:t>
      </w:r>
      <w:proofErr w:type="spellStart"/>
      <w:r>
        <w:rPr>
          <w:rFonts w:cs="Times New Roman"/>
          <w:sz w:val="24"/>
          <w:szCs w:val="28"/>
        </w:rPr>
        <w:t>Kongzi</w:t>
      </w:r>
      <w:proofErr w:type="spellEnd"/>
      <w:r>
        <w:rPr>
          <w:rFonts w:cs="Times New Roman"/>
          <w:sz w:val="24"/>
          <w:szCs w:val="28"/>
        </w:rPr>
        <w:t xml:space="preserve"> asks his students to speak of their </w:t>
      </w:r>
      <w:proofErr w:type="spellStart"/>
      <w:r>
        <w:rPr>
          <w:rFonts w:cs="Times New Roman"/>
          <w:i/>
          <w:iCs/>
          <w:sz w:val="24"/>
          <w:szCs w:val="28"/>
        </w:rPr>
        <w:t>zhi</w:t>
      </w:r>
      <w:proofErr w:type="spellEnd"/>
      <w:r>
        <w:rPr>
          <w:rFonts w:cs="Times New Roman"/>
          <w:sz w:val="24"/>
          <w:szCs w:val="28"/>
        </w:rPr>
        <w:t xml:space="preserve">-s. He receives answers that are about what the students want to become. This indicates that </w:t>
      </w:r>
      <w:proofErr w:type="spellStart"/>
      <w:r>
        <w:rPr>
          <w:rFonts w:cs="Times New Roman"/>
          <w:i/>
          <w:iCs/>
          <w:sz w:val="24"/>
          <w:szCs w:val="28"/>
        </w:rPr>
        <w:t>zhi</w:t>
      </w:r>
      <w:proofErr w:type="spellEnd"/>
      <w:r>
        <w:rPr>
          <w:rFonts w:cs="Times New Roman"/>
          <w:sz w:val="24"/>
          <w:szCs w:val="28"/>
        </w:rPr>
        <w:t xml:space="preserve"> relates to self-identity in terms of a self-image </w:t>
      </w:r>
      <w:r>
        <w:rPr>
          <w:rFonts w:cs="Times New Roman"/>
          <w:sz w:val="24"/>
          <w:szCs w:val="28"/>
        </w:rPr>
        <w:lastRenderedPageBreak/>
        <w:t xml:space="preserve">that one wants to protect or to become. In summary, a </w:t>
      </w:r>
      <w:proofErr w:type="spellStart"/>
      <w:r>
        <w:rPr>
          <w:rFonts w:cs="Times New Roman"/>
          <w:i/>
          <w:iCs/>
          <w:sz w:val="24"/>
          <w:szCs w:val="28"/>
        </w:rPr>
        <w:t>zhi</w:t>
      </w:r>
      <w:proofErr w:type="spellEnd"/>
      <w:r>
        <w:rPr>
          <w:rFonts w:cs="Times New Roman"/>
          <w:sz w:val="24"/>
          <w:szCs w:val="28"/>
        </w:rPr>
        <w:t xml:space="preserve"> is a self-endorsed view of who one is that the agent either wants to hold dear and </w:t>
      </w:r>
      <w:proofErr w:type="gramStart"/>
      <w:r>
        <w:rPr>
          <w:rFonts w:cs="Times New Roman"/>
          <w:sz w:val="24"/>
          <w:szCs w:val="28"/>
        </w:rPr>
        <w:t>protect, or</w:t>
      </w:r>
      <w:proofErr w:type="gramEnd"/>
      <w:r>
        <w:rPr>
          <w:rFonts w:cs="Times New Roman"/>
          <w:sz w:val="24"/>
          <w:szCs w:val="28"/>
        </w:rPr>
        <w:t xml:space="preserve"> work upon and become. </w:t>
      </w:r>
    </w:p>
    <w:p w14:paraId="36C92B3C" w14:textId="77777777" w:rsidR="00830739" w:rsidRDefault="00830739" w:rsidP="00830739">
      <w:pPr>
        <w:spacing w:line="480" w:lineRule="auto"/>
        <w:ind w:firstLine="420"/>
        <w:rPr>
          <w:rFonts w:cs="Times New Roman"/>
          <w:sz w:val="24"/>
          <w:szCs w:val="28"/>
        </w:rPr>
      </w:pPr>
      <w:r>
        <w:rPr>
          <w:rFonts w:cs="Times New Roman"/>
          <w:sz w:val="24"/>
          <w:szCs w:val="28"/>
        </w:rPr>
        <w:t xml:space="preserve">While </w:t>
      </w:r>
      <w:proofErr w:type="spellStart"/>
      <w:r>
        <w:rPr>
          <w:rFonts w:cs="Times New Roman"/>
          <w:i/>
          <w:iCs/>
          <w:sz w:val="24"/>
          <w:szCs w:val="28"/>
        </w:rPr>
        <w:t>zhi</w:t>
      </w:r>
      <w:proofErr w:type="spellEnd"/>
      <w:r>
        <w:rPr>
          <w:rFonts w:cs="Times New Roman"/>
          <w:sz w:val="24"/>
          <w:szCs w:val="28"/>
        </w:rPr>
        <w:t xml:space="preserve"> has other important features - for instance, </w:t>
      </w:r>
      <w:proofErr w:type="spellStart"/>
      <w:r>
        <w:rPr>
          <w:rFonts w:cs="Times New Roman"/>
          <w:i/>
          <w:iCs/>
          <w:sz w:val="24"/>
          <w:szCs w:val="28"/>
        </w:rPr>
        <w:t>zhi</w:t>
      </w:r>
      <w:proofErr w:type="spellEnd"/>
      <w:r>
        <w:rPr>
          <w:rFonts w:cs="Times New Roman"/>
          <w:sz w:val="24"/>
          <w:szCs w:val="28"/>
        </w:rPr>
        <w:t xml:space="preserve"> requires corresponding effort, dedication, and certain sacrifices to differentiate it from an aspiration of the same content, it is this personal nature of </w:t>
      </w:r>
      <w:proofErr w:type="spellStart"/>
      <w:r>
        <w:rPr>
          <w:rFonts w:cs="Times New Roman"/>
          <w:i/>
          <w:iCs/>
          <w:sz w:val="24"/>
          <w:szCs w:val="28"/>
        </w:rPr>
        <w:t>zhi</w:t>
      </w:r>
      <w:proofErr w:type="spellEnd"/>
      <w:r>
        <w:rPr>
          <w:rFonts w:cs="Times New Roman"/>
          <w:sz w:val="24"/>
          <w:szCs w:val="28"/>
        </w:rPr>
        <w:t xml:space="preserve"> that makes it lie within an agent’s control. The agent can be uncertain about certain goals, vacillate between goals, have no </w:t>
      </w:r>
      <w:proofErr w:type="gramStart"/>
      <w:r>
        <w:rPr>
          <w:rFonts w:cs="Times New Roman"/>
          <w:sz w:val="24"/>
          <w:szCs w:val="28"/>
        </w:rPr>
        <w:t>goals</w:t>
      </w:r>
      <w:proofErr w:type="gramEnd"/>
      <w:r>
        <w:rPr>
          <w:rFonts w:cs="Times New Roman"/>
          <w:sz w:val="24"/>
          <w:szCs w:val="28"/>
        </w:rPr>
        <w:t xml:space="preserve"> or give up on certain goals. Others can greatly encourage or frustrate one’s </w:t>
      </w:r>
      <w:proofErr w:type="spellStart"/>
      <w:r>
        <w:rPr>
          <w:rFonts w:cs="Times New Roman"/>
          <w:i/>
          <w:iCs/>
          <w:sz w:val="24"/>
          <w:szCs w:val="28"/>
        </w:rPr>
        <w:t>zhi</w:t>
      </w:r>
      <w:proofErr w:type="spellEnd"/>
      <w:r>
        <w:rPr>
          <w:rFonts w:cs="Times New Roman"/>
          <w:sz w:val="24"/>
          <w:szCs w:val="28"/>
        </w:rPr>
        <w:t xml:space="preserve">. However, nobody can make an agent endorse and identify with certain goals, regardless of how strong the force is. The agent can verbally express endorsement and identification under great pressure but does not change her mind despite verbal concession. This is because genuine endorsement and identification are psychological activities that cannot be forced by others, but only initiated by the agent. This is one reason why </w:t>
      </w:r>
      <w:proofErr w:type="spellStart"/>
      <w:r>
        <w:rPr>
          <w:rFonts w:cs="Times New Roman"/>
          <w:sz w:val="24"/>
          <w:szCs w:val="28"/>
        </w:rPr>
        <w:t>Kongzi</w:t>
      </w:r>
      <w:proofErr w:type="spellEnd"/>
      <w:r>
        <w:rPr>
          <w:rFonts w:cs="Times New Roman"/>
          <w:sz w:val="24"/>
          <w:szCs w:val="28"/>
        </w:rPr>
        <w:t xml:space="preserve"> says “The arrays of armies can have their general taken away. A commoner cannot have his </w:t>
      </w:r>
      <w:proofErr w:type="spellStart"/>
      <w:r>
        <w:rPr>
          <w:rFonts w:cs="Times New Roman"/>
          <w:i/>
          <w:iCs/>
          <w:sz w:val="24"/>
          <w:szCs w:val="28"/>
        </w:rPr>
        <w:t>zhi</w:t>
      </w:r>
      <w:proofErr w:type="spellEnd"/>
      <w:r>
        <w:rPr>
          <w:rFonts w:cs="Times New Roman"/>
          <w:sz w:val="24"/>
          <w:szCs w:val="28"/>
        </w:rPr>
        <w:t xml:space="preserve"> taken away. </w:t>
      </w:r>
      <w:proofErr w:type="spellStart"/>
      <w:r>
        <w:rPr>
          <w:rFonts w:ascii="MS Gothic" w:eastAsia="MS Gothic" w:hAnsi="MS Gothic" w:cs="MS Gothic" w:hint="eastAsia"/>
          <w:sz w:val="24"/>
          <w:szCs w:val="28"/>
        </w:rPr>
        <w:t>三軍奪帥也，匹夫不可奪志也</w:t>
      </w:r>
      <w:proofErr w:type="spellEnd"/>
      <w:r>
        <w:rPr>
          <w:rFonts w:cs="Times New Roman"/>
          <w:sz w:val="24"/>
          <w:szCs w:val="28"/>
        </w:rPr>
        <w:t xml:space="preserve">” (9.26). While commentators point out the significance of cultivation for guarding one’s </w:t>
      </w:r>
      <w:proofErr w:type="spellStart"/>
      <w:r>
        <w:rPr>
          <w:rFonts w:cs="Times New Roman"/>
          <w:i/>
          <w:iCs/>
          <w:sz w:val="24"/>
          <w:szCs w:val="28"/>
        </w:rPr>
        <w:t>zhi</w:t>
      </w:r>
      <w:proofErr w:type="spellEnd"/>
      <w:r>
        <w:rPr>
          <w:rFonts w:cs="Times New Roman"/>
          <w:sz w:val="24"/>
          <w:szCs w:val="28"/>
        </w:rPr>
        <w:t>, this passage can be read as speaking about the nature of endorsement and identification.</w:t>
      </w:r>
      <w:r>
        <w:rPr>
          <w:rStyle w:val="FootnoteReference"/>
          <w:rFonts w:cs="Times New Roman"/>
          <w:sz w:val="24"/>
          <w:szCs w:val="28"/>
        </w:rPr>
        <w:footnoteReference w:id="9"/>
      </w:r>
      <w:r>
        <w:rPr>
          <w:rFonts w:cs="Times New Roman"/>
          <w:sz w:val="24"/>
          <w:szCs w:val="28"/>
        </w:rPr>
        <w:t xml:space="preserve"> Once a </w:t>
      </w:r>
      <w:proofErr w:type="spellStart"/>
      <w:r>
        <w:rPr>
          <w:rFonts w:cs="Times New Roman"/>
          <w:i/>
          <w:iCs/>
          <w:sz w:val="24"/>
          <w:szCs w:val="28"/>
        </w:rPr>
        <w:t>zhi</w:t>
      </w:r>
      <w:proofErr w:type="spellEnd"/>
      <w:r>
        <w:rPr>
          <w:rFonts w:cs="Times New Roman"/>
          <w:i/>
          <w:iCs/>
          <w:sz w:val="24"/>
          <w:szCs w:val="28"/>
        </w:rPr>
        <w:t xml:space="preserve"> </w:t>
      </w:r>
      <w:r>
        <w:rPr>
          <w:rFonts w:cs="Times New Roman"/>
          <w:sz w:val="24"/>
          <w:szCs w:val="28"/>
        </w:rPr>
        <w:t xml:space="preserve">is established, it takes root in one’s motivation and self-identity and becomes one’s own. It cannot be taken away by a command, an order or by pressure, unless the agent gives up on it and thereby, loses a part of who she is. This </w:t>
      </w:r>
      <w:r>
        <w:rPr>
          <w:rFonts w:cs="Times New Roman"/>
          <w:sz w:val="24"/>
          <w:szCs w:val="28"/>
        </w:rPr>
        <w:lastRenderedPageBreak/>
        <w:t xml:space="preserve">psychological weight and mechanism under which </w:t>
      </w:r>
      <w:proofErr w:type="spellStart"/>
      <w:r>
        <w:rPr>
          <w:rFonts w:cs="Times New Roman"/>
          <w:i/>
          <w:iCs/>
          <w:sz w:val="24"/>
          <w:szCs w:val="28"/>
        </w:rPr>
        <w:t>zhi</w:t>
      </w:r>
      <w:proofErr w:type="spellEnd"/>
      <w:r>
        <w:rPr>
          <w:rFonts w:cs="Times New Roman"/>
          <w:sz w:val="24"/>
          <w:szCs w:val="28"/>
        </w:rPr>
        <w:t xml:space="preserve"> operates make it a matter of one’s control, or at least, one of the better examples there is.</w:t>
      </w:r>
      <w:r>
        <w:rPr>
          <w:rStyle w:val="FootnoteReference"/>
          <w:rFonts w:cs="Times New Roman"/>
          <w:sz w:val="24"/>
          <w:szCs w:val="28"/>
        </w:rPr>
        <w:footnoteReference w:id="10"/>
      </w:r>
      <w:r>
        <w:rPr>
          <w:rFonts w:cs="Times New Roman"/>
          <w:sz w:val="24"/>
          <w:szCs w:val="28"/>
        </w:rPr>
        <w:t xml:space="preserve"> </w:t>
      </w:r>
    </w:p>
    <w:p w14:paraId="5E8C6088" w14:textId="77777777" w:rsidR="00830739" w:rsidRDefault="00830739" w:rsidP="00830739">
      <w:pPr>
        <w:spacing w:line="480" w:lineRule="auto"/>
        <w:ind w:firstLine="420"/>
        <w:rPr>
          <w:rFonts w:cs="Times New Roman"/>
          <w:sz w:val="24"/>
          <w:szCs w:val="28"/>
        </w:rPr>
      </w:pPr>
      <w:r>
        <w:rPr>
          <w:rFonts w:cs="Times New Roman"/>
          <w:sz w:val="24"/>
          <w:szCs w:val="28"/>
        </w:rPr>
        <w:t xml:space="preserve">The discussion so far has shown why the dichotomy between what falls in and out of my control is commonly used – it organizes the </w:t>
      </w:r>
      <w:r>
        <w:rPr>
          <w:rFonts w:cs="Times New Roman"/>
          <w:i/>
          <w:iCs/>
          <w:sz w:val="24"/>
          <w:szCs w:val="28"/>
        </w:rPr>
        <w:t xml:space="preserve">Analects </w:t>
      </w:r>
      <w:r>
        <w:rPr>
          <w:rFonts w:cs="Times New Roman"/>
          <w:sz w:val="24"/>
          <w:szCs w:val="28"/>
        </w:rPr>
        <w:t xml:space="preserve">in a way that usefully highlights some important aspects of the </w:t>
      </w:r>
      <w:r>
        <w:rPr>
          <w:rFonts w:cs="Times New Roman"/>
          <w:i/>
          <w:iCs/>
          <w:sz w:val="24"/>
          <w:szCs w:val="28"/>
        </w:rPr>
        <w:t xml:space="preserve">Analects. </w:t>
      </w:r>
      <w:r>
        <w:rPr>
          <w:rFonts w:cs="Times New Roman"/>
          <w:sz w:val="24"/>
          <w:szCs w:val="28"/>
        </w:rPr>
        <w:t>My disagreement, therefore, is not that there is no textual support for this interpretation. Rather, my disagreement centers on how exhaustive and useful the dichotomy is in organizing the whole text. It seems to me that the text contains cases that fall into the middle area between the extremes of having and lacking (</w:t>
      </w:r>
      <w:proofErr w:type="gramStart"/>
      <w:r>
        <w:rPr>
          <w:rFonts w:cs="Times New Roman"/>
          <w:sz w:val="24"/>
          <w:szCs w:val="28"/>
        </w:rPr>
        <w:t>more or less complete</w:t>
      </w:r>
      <w:proofErr w:type="gramEnd"/>
      <w:r>
        <w:rPr>
          <w:rFonts w:cs="Times New Roman"/>
          <w:sz w:val="24"/>
          <w:szCs w:val="28"/>
        </w:rPr>
        <w:t xml:space="preserve">) control. In this middle area, humans have an indeterminate amount of control. This means that there are situations in life where we indeed have control, but only to a degree that cannot be clearly determined and remains deeply uncertain. If I am right, the dichotomy should be replaced by a continuum of control, for the latter retains what the former offers yet better captures content of the text that does not fit the former. Having said this, allow me to elaborate on one prominent set of middle-ground cases in the </w:t>
      </w:r>
      <w:r>
        <w:rPr>
          <w:rFonts w:cs="Times New Roman"/>
          <w:i/>
          <w:iCs/>
          <w:sz w:val="24"/>
          <w:szCs w:val="28"/>
        </w:rPr>
        <w:t>Analects</w:t>
      </w:r>
      <w:r>
        <w:rPr>
          <w:rFonts w:cs="Times New Roman"/>
          <w:sz w:val="24"/>
          <w:szCs w:val="28"/>
        </w:rPr>
        <w:t xml:space="preserve">, the interactions between </w:t>
      </w:r>
      <w:proofErr w:type="spellStart"/>
      <w:r>
        <w:rPr>
          <w:rFonts w:cs="Times New Roman"/>
          <w:sz w:val="24"/>
          <w:szCs w:val="28"/>
        </w:rPr>
        <w:t>Kongzi</w:t>
      </w:r>
      <w:proofErr w:type="spellEnd"/>
      <w:r>
        <w:rPr>
          <w:rFonts w:cs="Times New Roman"/>
          <w:sz w:val="24"/>
          <w:szCs w:val="28"/>
        </w:rPr>
        <w:t xml:space="preserve"> and his students. </w:t>
      </w:r>
    </w:p>
    <w:p w14:paraId="4A60230A" w14:textId="77777777" w:rsidR="00830739" w:rsidRDefault="00830739" w:rsidP="00830739">
      <w:pPr>
        <w:spacing w:line="480" w:lineRule="auto"/>
        <w:ind w:firstLine="420"/>
        <w:rPr>
          <w:rFonts w:cs="Times New Roman"/>
          <w:sz w:val="24"/>
          <w:szCs w:val="28"/>
        </w:rPr>
      </w:pPr>
      <w:proofErr w:type="spellStart"/>
      <w:r>
        <w:rPr>
          <w:rFonts w:cs="Times New Roman"/>
          <w:sz w:val="24"/>
          <w:szCs w:val="28"/>
        </w:rPr>
        <w:t>Kongzi</w:t>
      </w:r>
      <w:proofErr w:type="spellEnd"/>
      <w:r>
        <w:rPr>
          <w:rFonts w:cs="Times New Roman"/>
          <w:sz w:val="24"/>
          <w:szCs w:val="28"/>
        </w:rPr>
        <w:t xml:space="preserve"> has a certain level of control over his students in multiple areas of their lives. This does not mean that </w:t>
      </w:r>
      <w:proofErr w:type="spellStart"/>
      <w:r>
        <w:rPr>
          <w:rFonts w:cs="Times New Roman"/>
          <w:sz w:val="24"/>
          <w:szCs w:val="28"/>
        </w:rPr>
        <w:t>Kongzi</w:t>
      </w:r>
      <w:proofErr w:type="spellEnd"/>
      <w:r>
        <w:rPr>
          <w:rFonts w:cs="Times New Roman"/>
          <w:sz w:val="24"/>
          <w:szCs w:val="28"/>
        </w:rPr>
        <w:t xml:space="preserve"> absolutely dictates what his students do. Nonetheless, he clearly exerts significant influence on his students’ behavior, cultivation of characters and even (political) careers. Students would consult </w:t>
      </w:r>
      <w:proofErr w:type="spellStart"/>
      <w:r>
        <w:rPr>
          <w:rFonts w:cs="Times New Roman"/>
          <w:sz w:val="24"/>
          <w:szCs w:val="28"/>
        </w:rPr>
        <w:t>Kongzi’s</w:t>
      </w:r>
      <w:proofErr w:type="spellEnd"/>
      <w:r>
        <w:rPr>
          <w:rFonts w:cs="Times New Roman"/>
          <w:sz w:val="24"/>
          <w:szCs w:val="28"/>
        </w:rPr>
        <w:t xml:space="preserve"> opinion before they take actions (11.22). They also receive guidance on cultivation (6.30), comments on their characters (5.12, 9.27), and recommendations to rulers (5.8). One dramatic example speaks about </w:t>
      </w:r>
      <w:proofErr w:type="spellStart"/>
      <w:r>
        <w:rPr>
          <w:rFonts w:cs="Times New Roman"/>
          <w:sz w:val="24"/>
          <w:szCs w:val="28"/>
        </w:rPr>
        <w:t>Kongzi’s</w:t>
      </w:r>
      <w:proofErr w:type="spellEnd"/>
      <w:r>
        <w:rPr>
          <w:rFonts w:cs="Times New Roman"/>
          <w:sz w:val="24"/>
          <w:szCs w:val="28"/>
        </w:rPr>
        <w:t xml:space="preserve"> severe criticism </w:t>
      </w:r>
      <w:r>
        <w:rPr>
          <w:rFonts w:cs="Times New Roman"/>
          <w:sz w:val="24"/>
          <w:szCs w:val="28"/>
        </w:rPr>
        <w:lastRenderedPageBreak/>
        <w:t xml:space="preserve">of </w:t>
      </w:r>
      <w:proofErr w:type="spellStart"/>
      <w:r>
        <w:rPr>
          <w:rFonts w:cs="Times New Roman"/>
          <w:sz w:val="24"/>
          <w:szCs w:val="28"/>
        </w:rPr>
        <w:t>Zaiyu</w:t>
      </w:r>
      <w:proofErr w:type="spellEnd"/>
      <w:r>
        <w:rPr>
          <w:rFonts w:cs="Times New Roman"/>
          <w:sz w:val="24"/>
          <w:szCs w:val="28"/>
        </w:rPr>
        <w:t xml:space="preserve"> </w:t>
      </w:r>
      <w:proofErr w:type="spellStart"/>
      <w:r>
        <w:rPr>
          <w:rFonts w:ascii="MS Gothic" w:eastAsia="MS Gothic" w:hAnsi="MS Gothic" w:cs="MS Gothic" w:hint="eastAsia"/>
          <w:sz w:val="24"/>
          <w:szCs w:val="28"/>
        </w:rPr>
        <w:t>宰予</w:t>
      </w:r>
      <w:r>
        <w:rPr>
          <w:rFonts w:cs="Times New Roman"/>
          <w:sz w:val="24"/>
          <w:szCs w:val="28"/>
        </w:rPr>
        <w:t>for</w:t>
      </w:r>
      <w:proofErr w:type="spellEnd"/>
      <w:r>
        <w:rPr>
          <w:rFonts w:cs="Times New Roman"/>
          <w:sz w:val="24"/>
          <w:szCs w:val="28"/>
        </w:rPr>
        <w:t xml:space="preserve"> sleeping in the daytime, a behavior that is not only trivial, but highly personal in a way that makes </w:t>
      </w:r>
      <w:proofErr w:type="spellStart"/>
      <w:r>
        <w:rPr>
          <w:rFonts w:cs="Times New Roman"/>
          <w:sz w:val="24"/>
          <w:szCs w:val="28"/>
        </w:rPr>
        <w:t>Kongzi’s</w:t>
      </w:r>
      <w:proofErr w:type="spellEnd"/>
      <w:r>
        <w:rPr>
          <w:rFonts w:cs="Times New Roman"/>
          <w:sz w:val="24"/>
          <w:szCs w:val="28"/>
        </w:rPr>
        <w:t xml:space="preserve"> anger and criticism seem bizarre and jarring (at least on the surface). Another dramatic example shows that </w:t>
      </w:r>
      <w:proofErr w:type="spellStart"/>
      <w:r>
        <w:rPr>
          <w:rFonts w:cs="Times New Roman"/>
          <w:sz w:val="24"/>
          <w:szCs w:val="28"/>
        </w:rPr>
        <w:t>Kongzi</w:t>
      </w:r>
      <w:proofErr w:type="spellEnd"/>
      <w:r>
        <w:rPr>
          <w:rFonts w:cs="Times New Roman"/>
          <w:sz w:val="24"/>
          <w:szCs w:val="28"/>
        </w:rPr>
        <w:t xml:space="preserve"> ostracizes </w:t>
      </w:r>
      <w:proofErr w:type="spellStart"/>
      <w:r>
        <w:rPr>
          <w:rFonts w:cs="Times New Roman"/>
          <w:sz w:val="24"/>
          <w:szCs w:val="28"/>
        </w:rPr>
        <w:t>Ranqiu</w:t>
      </w:r>
      <w:proofErr w:type="spellEnd"/>
      <w:r>
        <w:rPr>
          <w:rFonts w:cs="Times New Roman"/>
          <w:sz w:val="24"/>
          <w:szCs w:val="28"/>
        </w:rPr>
        <w:t xml:space="preserve"> </w:t>
      </w:r>
      <w:proofErr w:type="spellStart"/>
      <w:r>
        <w:rPr>
          <w:rFonts w:ascii="MS Gothic" w:eastAsia="MS Gothic" w:hAnsi="MS Gothic" w:cs="MS Gothic" w:hint="eastAsia"/>
          <w:sz w:val="24"/>
          <w:szCs w:val="28"/>
        </w:rPr>
        <w:t>冉求</w:t>
      </w:r>
      <w:proofErr w:type="spellEnd"/>
      <w:r>
        <w:rPr>
          <w:rFonts w:cs="Times New Roman"/>
          <w:sz w:val="24"/>
          <w:szCs w:val="28"/>
        </w:rPr>
        <w:t xml:space="preserve">, a student who has already found his own career (11.17). Indeed, to our modern eyes, </w:t>
      </w:r>
      <w:proofErr w:type="spellStart"/>
      <w:r>
        <w:rPr>
          <w:rFonts w:cs="Times New Roman"/>
          <w:sz w:val="24"/>
          <w:szCs w:val="28"/>
        </w:rPr>
        <w:t>Kongzi’s</w:t>
      </w:r>
      <w:proofErr w:type="spellEnd"/>
      <w:r>
        <w:rPr>
          <w:rFonts w:cs="Times New Roman"/>
          <w:sz w:val="24"/>
          <w:szCs w:val="28"/>
        </w:rPr>
        <w:t xml:space="preserve"> involvement in students’ lives may appear overly intimate and his influence overbearing. </w:t>
      </w:r>
    </w:p>
    <w:p w14:paraId="652D041B" w14:textId="77777777" w:rsidR="00830739" w:rsidRDefault="00830739" w:rsidP="00830739">
      <w:pPr>
        <w:spacing w:line="480" w:lineRule="auto"/>
        <w:ind w:firstLine="420"/>
        <w:rPr>
          <w:rFonts w:cs="Times New Roman"/>
          <w:sz w:val="24"/>
          <w:szCs w:val="28"/>
        </w:rPr>
      </w:pPr>
      <w:r>
        <w:rPr>
          <w:rFonts w:cs="Times New Roman"/>
          <w:sz w:val="24"/>
          <w:szCs w:val="28"/>
        </w:rPr>
        <w:t xml:space="preserve">However, the control </w:t>
      </w:r>
      <w:proofErr w:type="spellStart"/>
      <w:r>
        <w:rPr>
          <w:rFonts w:cs="Times New Roman"/>
          <w:sz w:val="24"/>
          <w:szCs w:val="28"/>
        </w:rPr>
        <w:t>Kongzi</w:t>
      </w:r>
      <w:proofErr w:type="spellEnd"/>
      <w:r>
        <w:rPr>
          <w:rFonts w:cs="Times New Roman"/>
          <w:sz w:val="24"/>
          <w:szCs w:val="28"/>
        </w:rPr>
        <w:t xml:space="preserve"> has over his students </w:t>
      </w:r>
      <w:proofErr w:type="gramStart"/>
      <w:r>
        <w:rPr>
          <w:rFonts w:cs="Times New Roman"/>
          <w:sz w:val="24"/>
          <w:szCs w:val="28"/>
        </w:rPr>
        <w:t>is</w:t>
      </w:r>
      <w:proofErr w:type="gramEnd"/>
      <w:r>
        <w:rPr>
          <w:rFonts w:cs="Times New Roman"/>
          <w:sz w:val="24"/>
          <w:szCs w:val="28"/>
        </w:rPr>
        <w:t xml:space="preserve"> also limited. The true intended object of </w:t>
      </w:r>
      <w:proofErr w:type="spellStart"/>
      <w:r>
        <w:rPr>
          <w:rFonts w:cs="Times New Roman"/>
          <w:sz w:val="24"/>
          <w:szCs w:val="28"/>
        </w:rPr>
        <w:t>Kongzi’s</w:t>
      </w:r>
      <w:proofErr w:type="spellEnd"/>
      <w:r>
        <w:rPr>
          <w:rFonts w:cs="Times New Roman"/>
          <w:sz w:val="24"/>
          <w:szCs w:val="28"/>
        </w:rPr>
        <w:t xml:space="preserve"> control and influence is nothing less than cultivating the characters of his students. Genuine improvement of character, however, requires initiation and personal engagement from students and cannot be made to happen by external forces of any kind. While both </w:t>
      </w:r>
      <w:proofErr w:type="spellStart"/>
      <w:r>
        <w:rPr>
          <w:rFonts w:cs="Times New Roman"/>
          <w:sz w:val="24"/>
          <w:szCs w:val="28"/>
        </w:rPr>
        <w:t>Kongzi</w:t>
      </w:r>
      <w:proofErr w:type="spellEnd"/>
      <w:r>
        <w:rPr>
          <w:rFonts w:cs="Times New Roman"/>
          <w:sz w:val="24"/>
          <w:szCs w:val="28"/>
        </w:rPr>
        <w:t xml:space="preserve"> and his students are involved in this matter of character development, the project, after all, is a personal project of the students. As great and caring a teacher as </w:t>
      </w:r>
      <w:proofErr w:type="spellStart"/>
      <w:r>
        <w:rPr>
          <w:rFonts w:cs="Times New Roman"/>
          <w:sz w:val="24"/>
          <w:szCs w:val="28"/>
        </w:rPr>
        <w:t>Kongzi</w:t>
      </w:r>
      <w:proofErr w:type="spellEnd"/>
      <w:r>
        <w:rPr>
          <w:rFonts w:cs="Times New Roman"/>
          <w:sz w:val="24"/>
          <w:szCs w:val="28"/>
        </w:rPr>
        <w:t xml:space="preserve"> can be, he cannot make personal improvements on behalf of his students. This sets an unbreachable limit to </w:t>
      </w:r>
      <w:proofErr w:type="spellStart"/>
      <w:r>
        <w:rPr>
          <w:rFonts w:cs="Times New Roman"/>
          <w:sz w:val="24"/>
          <w:szCs w:val="28"/>
        </w:rPr>
        <w:t>Kongzi</w:t>
      </w:r>
      <w:proofErr w:type="spellEnd"/>
      <w:r>
        <w:rPr>
          <w:rFonts w:cs="Times New Roman"/>
          <w:sz w:val="24"/>
          <w:szCs w:val="28"/>
        </w:rPr>
        <w:t xml:space="preserve">’ s influence on his students. </w:t>
      </w:r>
    </w:p>
    <w:p w14:paraId="0B0378F9" w14:textId="77777777" w:rsidR="00830739" w:rsidRDefault="00830739" w:rsidP="00830739">
      <w:pPr>
        <w:spacing w:line="480" w:lineRule="auto"/>
        <w:ind w:firstLine="420"/>
        <w:rPr>
          <w:rFonts w:cs="Times New Roman"/>
          <w:sz w:val="24"/>
          <w:szCs w:val="28"/>
        </w:rPr>
      </w:pPr>
      <w:r>
        <w:rPr>
          <w:rFonts w:cs="Times New Roman"/>
          <w:sz w:val="24"/>
          <w:szCs w:val="28"/>
        </w:rPr>
        <w:t xml:space="preserve">In this set of cases, neither </w:t>
      </w:r>
      <w:proofErr w:type="spellStart"/>
      <w:r>
        <w:rPr>
          <w:rFonts w:cs="Times New Roman"/>
          <w:sz w:val="24"/>
          <w:szCs w:val="28"/>
        </w:rPr>
        <w:t>Kongzi</w:t>
      </w:r>
      <w:proofErr w:type="spellEnd"/>
      <w:r>
        <w:rPr>
          <w:rFonts w:cs="Times New Roman"/>
          <w:sz w:val="24"/>
          <w:szCs w:val="28"/>
        </w:rPr>
        <w:t xml:space="preserve"> nor his students have full control. On the one hand, </w:t>
      </w:r>
      <w:proofErr w:type="spellStart"/>
      <w:r>
        <w:rPr>
          <w:rFonts w:cs="Times New Roman"/>
          <w:sz w:val="24"/>
          <w:szCs w:val="28"/>
        </w:rPr>
        <w:t>Kongzi</w:t>
      </w:r>
      <w:proofErr w:type="spellEnd"/>
      <w:r>
        <w:rPr>
          <w:rFonts w:cs="Times New Roman"/>
          <w:sz w:val="24"/>
          <w:szCs w:val="28"/>
        </w:rPr>
        <w:t xml:space="preserve"> offers guidance that shapes the course of students’ character development. From behavior to basic values to the life direction of </w:t>
      </w:r>
      <w:proofErr w:type="spellStart"/>
      <w:r>
        <w:rPr>
          <w:rFonts w:cs="Times New Roman"/>
          <w:i/>
          <w:iCs/>
          <w:sz w:val="24"/>
          <w:szCs w:val="28"/>
        </w:rPr>
        <w:t>zhi</w:t>
      </w:r>
      <w:proofErr w:type="spellEnd"/>
      <w:r>
        <w:rPr>
          <w:rFonts w:cs="Times New Roman"/>
          <w:sz w:val="24"/>
          <w:szCs w:val="28"/>
        </w:rPr>
        <w:t xml:space="preserve">, </w:t>
      </w:r>
      <w:proofErr w:type="spellStart"/>
      <w:r>
        <w:rPr>
          <w:rFonts w:cs="Times New Roman"/>
          <w:sz w:val="24"/>
          <w:szCs w:val="28"/>
        </w:rPr>
        <w:t>Kongzi</w:t>
      </w:r>
      <w:proofErr w:type="spellEnd"/>
      <w:r>
        <w:rPr>
          <w:rFonts w:cs="Times New Roman"/>
          <w:sz w:val="24"/>
          <w:szCs w:val="28"/>
        </w:rPr>
        <w:t xml:space="preserve"> influences all these aspects of his students. On the other hand, it falls upon the students to take initiative and make improvements. If they do not take on the project, no one can do anything about it. Thus, even though the project is character improvement of </w:t>
      </w:r>
      <w:r>
        <w:rPr>
          <w:rFonts w:cs="Times New Roman"/>
          <w:i/>
          <w:iCs/>
          <w:sz w:val="24"/>
          <w:szCs w:val="28"/>
        </w:rPr>
        <w:t>students</w:t>
      </w:r>
      <w:r>
        <w:rPr>
          <w:rFonts w:cs="Times New Roman"/>
          <w:sz w:val="24"/>
          <w:szCs w:val="28"/>
        </w:rPr>
        <w:t xml:space="preserve">, it is a project where both </w:t>
      </w:r>
      <w:proofErr w:type="spellStart"/>
      <w:r>
        <w:rPr>
          <w:rFonts w:cs="Times New Roman"/>
          <w:sz w:val="24"/>
          <w:szCs w:val="28"/>
        </w:rPr>
        <w:t>Kongzi</w:t>
      </w:r>
      <w:proofErr w:type="spellEnd"/>
      <w:r>
        <w:rPr>
          <w:rFonts w:cs="Times New Roman"/>
          <w:sz w:val="24"/>
          <w:szCs w:val="28"/>
        </w:rPr>
        <w:t xml:space="preserve"> and his </w:t>
      </w:r>
      <w:proofErr w:type="gramStart"/>
      <w:r>
        <w:rPr>
          <w:rFonts w:cs="Times New Roman"/>
          <w:sz w:val="24"/>
          <w:szCs w:val="28"/>
        </w:rPr>
        <w:t>students</w:t>
      </w:r>
      <w:proofErr w:type="gramEnd"/>
      <w:r>
        <w:rPr>
          <w:rFonts w:cs="Times New Roman"/>
          <w:sz w:val="24"/>
          <w:szCs w:val="28"/>
        </w:rPr>
        <w:t xml:space="preserve"> participant and neither has full control over it. </w:t>
      </w:r>
    </w:p>
    <w:p w14:paraId="1F4490EC" w14:textId="77777777" w:rsidR="00830739" w:rsidRDefault="00830739" w:rsidP="00830739">
      <w:pPr>
        <w:spacing w:line="480" w:lineRule="auto"/>
        <w:ind w:firstLine="420"/>
        <w:rPr>
          <w:rFonts w:cs="Times New Roman"/>
          <w:sz w:val="24"/>
          <w:szCs w:val="28"/>
        </w:rPr>
      </w:pPr>
      <w:r>
        <w:rPr>
          <w:rFonts w:cs="Times New Roman"/>
          <w:sz w:val="24"/>
          <w:szCs w:val="28"/>
        </w:rPr>
        <w:t xml:space="preserve">Nor is it clear the level of control each party can have. </w:t>
      </w:r>
      <w:proofErr w:type="spellStart"/>
      <w:r>
        <w:rPr>
          <w:rFonts w:cs="Times New Roman"/>
          <w:sz w:val="24"/>
          <w:szCs w:val="28"/>
        </w:rPr>
        <w:t>Kongzi</w:t>
      </w:r>
      <w:proofErr w:type="spellEnd"/>
      <w:r>
        <w:rPr>
          <w:rFonts w:cs="Times New Roman"/>
          <w:sz w:val="24"/>
          <w:szCs w:val="28"/>
        </w:rPr>
        <w:t xml:space="preserve"> clearly cannot develop students’ character for themselves. But it remains a live question as to whether doing more can </w:t>
      </w:r>
      <w:r>
        <w:rPr>
          <w:rFonts w:cs="Times New Roman"/>
          <w:sz w:val="24"/>
          <w:szCs w:val="28"/>
        </w:rPr>
        <w:lastRenderedPageBreak/>
        <w:t xml:space="preserve">help or whether his influence is already too prominent. </w:t>
      </w:r>
      <w:r>
        <w:rPr>
          <w:rFonts w:cs="Times New Roman"/>
          <w:i/>
          <w:iCs/>
          <w:sz w:val="24"/>
          <w:szCs w:val="28"/>
        </w:rPr>
        <w:t xml:space="preserve">Analects </w:t>
      </w:r>
      <w:r>
        <w:rPr>
          <w:rFonts w:cs="Times New Roman"/>
          <w:sz w:val="24"/>
          <w:szCs w:val="28"/>
        </w:rPr>
        <w:t xml:space="preserve">9.27 depicts such a scenario. </w:t>
      </w:r>
      <w:proofErr w:type="spellStart"/>
      <w:r>
        <w:rPr>
          <w:rFonts w:cs="Times New Roman"/>
          <w:sz w:val="24"/>
          <w:szCs w:val="28"/>
        </w:rPr>
        <w:t>Kongzi</w:t>
      </w:r>
      <w:proofErr w:type="spellEnd"/>
      <w:r>
        <w:rPr>
          <w:rFonts w:cs="Times New Roman"/>
          <w:sz w:val="24"/>
          <w:szCs w:val="28"/>
        </w:rPr>
        <w:t xml:space="preserve"> praises </w:t>
      </w:r>
      <w:proofErr w:type="spellStart"/>
      <w:r>
        <w:rPr>
          <w:rFonts w:cs="Times New Roman"/>
          <w:sz w:val="24"/>
          <w:szCs w:val="28"/>
        </w:rPr>
        <w:t>Zilu</w:t>
      </w:r>
      <w:proofErr w:type="spellEnd"/>
      <w:r>
        <w:rPr>
          <w:rFonts w:cs="Times New Roman"/>
          <w:sz w:val="24"/>
          <w:szCs w:val="28"/>
        </w:rPr>
        <w:t xml:space="preserve"> as someone who, dressed in shabby gown, does not feel shame when standing next to someone dressed in furs. </w:t>
      </w:r>
      <w:proofErr w:type="spellStart"/>
      <w:r>
        <w:rPr>
          <w:rFonts w:cs="Times New Roman"/>
          <w:sz w:val="24"/>
          <w:szCs w:val="28"/>
        </w:rPr>
        <w:t>Zilu</w:t>
      </w:r>
      <w:proofErr w:type="spellEnd"/>
      <w:r>
        <w:rPr>
          <w:rFonts w:cs="Times New Roman"/>
          <w:sz w:val="24"/>
          <w:szCs w:val="28"/>
        </w:rPr>
        <w:t xml:space="preserve"> takes the praise and repeats it </w:t>
      </w:r>
      <w:proofErr w:type="gramStart"/>
      <w:r>
        <w:rPr>
          <w:rFonts w:cs="Times New Roman"/>
          <w:sz w:val="24"/>
          <w:szCs w:val="28"/>
        </w:rPr>
        <w:t>over and over again</w:t>
      </w:r>
      <w:proofErr w:type="gramEnd"/>
      <w:r>
        <w:rPr>
          <w:rFonts w:cs="Times New Roman"/>
          <w:sz w:val="24"/>
          <w:szCs w:val="28"/>
        </w:rPr>
        <w:t xml:space="preserve"> (</w:t>
      </w:r>
      <w:proofErr w:type="spellStart"/>
      <w:r>
        <w:rPr>
          <w:rFonts w:ascii="MS Gothic" w:eastAsia="MS Gothic" w:hAnsi="MS Gothic" w:cs="MS Gothic" w:hint="eastAsia"/>
          <w:sz w:val="24"/>
          <w:szCs w:val="28"/>
        </w:rPr>
        <w:t>終身誦之</w:t>
      </w:r>
      <w:proofErr w:type="spellEnd"/>
      <w:r>
        <w:rPr>
          <w:rFonts w:cs="Times New Roman"/>
          <w:sz w:val="24"/>
          <w:szCs w:val="28"/>
        </w:rPr>
        <w:t xml:space="preserve">), to which point </w:t>
      </w:r>
      <w:proofErr w:type="spellStart"/>
      <w:r>
        <w:rPr>
          <w:rFonts w:cs="Times New Roman"/>
          <w:sz w:val="24"/>
          <w:szCs w:val="28"/>
        </w:rPr>
        <w:t>Kongzi</w:t>
      </w:r>
      <w:proofErr w:type="spellEnd"/>
      <w:r>
        <w:rPr>
          <w:rFonts w:cs="Times New Roman"/>
          <w:sz w:val="24"/>
          <w:szCs w:val="28"/>
        </w:rPr>
        <w:t xml:space="preserve"> responds that the praise should not be treasured as such. Presumably, it is a moment of delight </w:t>
      </w:r>
      <w:r>
        <w:rPr>
          <w:rFonts w:cs="Times New Roman"/>
          <w:i/>
          <w:iCs/>
          <w:sz w:val="24"/>
          <w:szCs w:val="28"/>
        </w:rPr>
        <w:t>and</w:t>
      </w:r>
      <w:r>
        <w:rPr>
          <w:rFonts w:cs="Times New Roman"/>
          <w:sz w:val="24"/>
          <w:szCs w:val="28"/>
        </w:rPr>
        <w:t xml:space="preserve"> lament for </w:t>
      </w:r>
      <w:proofErr w:type="spellStart"/>
      <w:r>
        <w:rPr>
          <w:rFonts w:cs="Times New Roman"/>
          <w:sz w:val="24"/>
          <w:szCs w:val="28"/>
        </w:rPr>
        <w:t>Kongzi</w:t>
      </w:r>
      <w:proofErr w:type="spellEnd"/>
      <w:r>
        <w:rPr>
          <w:rFonts w:cs="Times New Roman"/>
          <w:sz w:val="24"/>
          <w:szCs w:val="28"/>
        </w:rPr>
        <w:t xml:space="preserve">: While it is a source of great joy to see a student who has developed a robust value structure that guides his sense of shame and worthiness, it is a pity to see the student hold on to the teacher’s praise, treasure it, and not let it go. The possible lament goes deeper and invites a reflection on </w:t>
      </w:r>
      <w:proofErr w:type="spellStart"/>
      <w:r>
        <w:rPr>
          <w:rFonts w:cs="Times New Roman"/>
          <w:sz w:val="24"/>
          <w:szCs w:val="28"/>
        </w:rPr>
        <w:t>Kongzi’s</w:t>
      </w:r>
      <w:proofErr w:type="spellEnd"/>
      <w:r>
        <w:rPr>
          <w:rFonts w:cs="Times New Roman"/>
          <w:sz w:val="24"/>
          <w:szCs w:val="28"/>
        </w:rPr>
        <w:t xml:space="preserve"> influence as a teacher. </w:t>
      </w:r>
      <w:proofErr w:type="spellStart"/>
      <w:r>
        <w:rPr>
          <w:rFonts w:cs="Times New Roman"/>
          <w:sz w:val="24"/>
          <w:szCs w:val="28"/>
        </w:rPr>
        <w:t>Kongzi</w:t>
      </w:r>
      <w:proofErr w:type="spellEnd"/>
      <w:r>
        <w:rPr>
          <w:rFonts w:cs="Times New Roman"/>
          <w:sz w:val="24"/>
          <w:szCs w:val="28"/>
        </w:rPr>
        <w:t xml:space="preserve"> clearly has a profound influence on </w:t>
      </w:r>
      <w:proofErr w:type="spellStart"/>
      <w:r>
        <w:rPr>
          <w:rFonts w:cs="Times New Roman"/>
          <w:sz w:val="24"/>
          <w:szCs w:val="28"/>
        </w:rPr>
        <w:t>Zilu</w:t>
      </w:r>
      <w:proofErr w:type="spellEnd"/>
      <w:r>
        <w:rPr>
          <w:rFonts w:cs="Times New Roman"/>
          <w:sz w:val="24"/>
          <w:szCs w:val="28"/>
        </w:rPr>
        <w:t xml:space="preserve">. If the praise were given by someone else, it is doubtful that </w:t>
      </w:r>
      <w:proofErr w:type="spellStart"/>
      <w:r>
        <w:rPr>
          <w:rFonts w:cs="Times New Roman"/>
          <w:sz w:val="24"/>
          <w:szCs w:val="28"/>
        </w:rPr>
        <w:t>Zilu</w:t>
      </w:r>
      <w:proofErr w:type="spellEnd"/>
      <w:r>
        <w:rPr>
          <w:rFonts w:cs="Times New Roman"/>
          <w:sz w:val="24"/>
          <w:szCs w:val="28"/>
        </w:rPr>
        <w:t xml:space="preserve"> would treasure it to a similar extent. </w:t>
      </w:r>
      <w:proofErr w:type="spellStart"/>
      <w:r>
        <w:rPr>
          <w:rFonts w:cs="Times New Roman"/>
          <w:sz w:val="24"/>
          <w:szCs w:val="28"/>
        </w:rPr>
        <w:t>Kongzi’s</w:t>
      </w:r>
      <w:proofErr w:type="spellEnd"/>
      <w:r>
        <w:rPr>
          <w:rFonts w:cs="Times New Roman"/>
          <w:sz w:val="24"/>
          <w:szCs w:val="28"/>
        </w:rPr>
        <w:t xml:space="preserve"> response indicates that he is aware of the negative impact his influence has on </w:t>
      </w:r>
      <w:proofErr w:type="spellStart"/>
      <w:r>
        <w:rPr>
          <w:rFonts w:cs="Times New Roman"/>
          <w:sz w:val="24"/>
          <w:szCs w:val="28"/>
        </w:rPr>
        <w:t>Zilu</w:t>
      </w:r>
      <w:proofErr w:type="spellEnd"/>
      <w:r>
        <w:rPr>
          <w:rFonts w:cs="Times New Roman"/>
          <w:sz w:val="24"/>
          <w:szCs w:val="28"/>
        </w:rPr>
        <w:t xml:space="preserve"> and is sufficiently troubled by it that he ends up commenting about it. The text does not offer further details on why </w:t>
      </w:r>
      <w:proofErr w:type="spellStart"/>
      <w:r>
        <w:rPr>
          <w:rFonts w:cs="Times New Roman"/>
          <w:sz w:val="24"/>
          <w:szCs w:val="28"/>
        </w:rPr>
        <w:t>Kongzi</w:t>
      </w:r>
      <w:proofErr w:type="spellEnd"/>
      <w:r>
        <w:rPr>
          <w:rFonts w:cs="Times New Roman"/>
          <w:sz w:val="24"/>
          <w:szCs w:val="28"/>
        </w:rPr>
        <w:t xml:space="preserve"> feels the need to expressly comment on </w:t>
      </w:r>
      <w:proofErr w:type="spellStart"/>
      <w:r>
        <w:rPr>
          <w:rFonts w:cs="Times New Roman"/>
          <w:sz w:val="24"/>
          <w:szCs w:val="28"/>
        </w:rPr>
        <w:t>Zilu’s</w:t>
      </w:r>
      <w:proofErr w:type="spellEnd"/>
      <w:r>
        <w:rPr>
          <w:rFonts w:cs="Times New Roman"/>
          <w:sz w:val="24"/>
          <w:szCs w:val="28"/>
        </w:rPr>
        <w:t xml:space="preserve"> obsession. We may guess that perhaps </w:t>
      </w:r>
      <w:proofErr w:type="spellStart"/>
      <w:r>
        <w:rPr>
          <w:rFonts w:cs="Times New Roman"/>
          <w:sz w:val="24"/>
          <w:szCs w:val="28"/>
        </w:rPr>
        <w:t>Zilu</w:t>
      </w:r>
      <w:proofErr w:type="spellEnd"/>
      <w:r>
        <w:rPr>
          <w:rFonts w:cs="Times New Roman"/>
          <w:sz w:val="24"/>
          <w:szCs w:val="28"/>
        </w:rPr>
        <w:t xml:space="preserve"> gets “hung up” on </w:t>
      </w:r>
      <w:proofErr w:type="spellStart"/>
      <w:r>
        <w:rPr>
          <w:rFonts w:cs="Times New Roman"/>
          <w:sz w:val="24"/>
          <w:szCs w:val="28"/>
        </w:rPr>
        <w:t>Kongzi’s</w:t>
      </w:r>
      <w:proofErr w:type="spellEnd"/>
      <w:r>
        <w:rPr>
          <w:rFonts w:cs="Times New Roman"/>
          <w:sz w:val="24"/>
          <w:szCs w:val="28"/>
        </w:rPr>
        <w:t xml:space="preserve"> praise. Perhaps he continues to behave in ways that align with </w:t>
      </w:r>
      <w:proofErr w:type="spellStart"/>
      <w:r>
        <w:rPr>
          <w:rFonts w:cs="Times New Roman"/>
          <w:sz w:val="24"/>
          <w:szCs w:val="28"/>
        </w:rPr>
        <w:t>Kongzi’s</w:t>
      </w:r>
      <w:proofErr w:type="spellEnd"/>
      <w:r>
        <w:rPr>
          <w:rFonts w:cs="Times New Roman"/>
          <w:sz w:val="24"/>
          <w:szCs w:val="28"/>
        </w:rPr>
        <w:t xml:space="preserve"> praise, forgetting that the praise is supposed to be encouragement for further development, rather than setting some authoritative constraints on what to do. Perhaps </w:t>
      </w:r>
      <w:proofErr w:type="spellStart"/>
      <w:r>
        <w:rPr>
          <w:rFonts w:cs="Times New Roman"/>
          <w:sz w:val="24"/>
          <w:szCs w:val="28"/>
        </w:rPr>
        <w:t>Zilu</w:t>
      </w:r>
      <w:proofErr w:type="spellEnd"/>
      <w:r>
        <w:rPr>
          <w:rFonts w:cs="Times New Roman"/>
          <w:sz w:val="24"/>
          <w:szCs w:val="28"/>
        </w:rPr>
        <w:t xml:space="preserve"> starts seeking </w:t>
      </w:r>
      <w:proofErr w:type="spellStart"/>
      <w:r>
        <w:rPr>
          <w:rFonts w:cs="Times New Roman"/>
          <w:sz w:val="24"/>
          <w:szCs w:val="28"/>
        </w:rPr>
        <w:t>Kongzi’s</w:t>
      </w:r>
      <w:proofErr w:type="spellEnd"/>
      <w:r>
        <w:rPr>
          <w:rFonts w:cs="Times New Roman"/>
          <w:sz w:val="24"/>
          <w:szCs w:val="28"/>
        </w:rPr>
        <w:t xml:space="preserve"> praise and forgets that the goal should not be getting praise from a dear teacher, but to improve oneself. This passage, therefore, bespeaks a struggle that </w:t>
      </w:r>
      <w:proofErr w:type="spellStart"/>
      <w:r>
        <w:rPr>
          <w:rFonts w:cs="Times New Roman"/>
          <w:sz w:val="24"/>
          <w:szCs w:val="28"/>
        </w:rPr>
        <w:t>Kongzi</w:t>
      </w:r>
      <w:proofErr w:type="spellEnd"/>
      <w:r>
        <w:rPr>
          <w:rFonts w:cs="Times New Roman"/>
          <w:sz w:val="24"/>
          <w:szCs w:val="28"/>
        </w:rPr>
        <w:t xml:space="preserve"> has in teaching his students – that it is not always clear how much he should exert his influence and control. More importantly, it is not always clear to what degree his influence indeed makes a positive difference (rather than impeding student’s improvement). While he could try his best to give encouragement when appropriate and offer </w:t>
      </w:r>
      <w:proofErr w:type="gramStart"/>
      <w:r>
        <w:rPr>
          <w:rFonts w:cs="Times New Roman"/>
          <w:sz w:val="24"/>
          <w:szCs w:val="28"/>
        </w:rPr>
        <w:t>criticisms</w:t>
      </w:r>
      <w:proofErr w:type="gramEnd"/>
      <w:r>
        <w:rPr>
          <w:rFonts w:cs="Times New Roman"/>
          <w:sz w:val="24"/>
          <w:szCs w:val="28"/>
        </w:rPr>
        <w:t xml:space="preserve"> when necessary, he has no way of controlling how his students </w:t>
      </w:r>
      <w:r>
        <w:rPr>
          <w:rFonts w:cs="Times New Roman"/>
          <w:sz w:val="24"/>
          <w:szCs w:val="28"/>
        </w:rPr>
        <w:lastRenderedPageBreak/>
        <w:t xml:space="preserve">will respond to his encouragement or criticisms. Therefore, in terms of making a genuine positive influence, it is perplexing and uncertain how much control </w:t>
      </w:r>
      <w:proofErr w:type="spellStart"/>
      <w:r>
        <w:rPr>
          <w:rFonts w:cs="Times New Roman"/>
          <w:sz w:val="24"/>
          <w:szCs w:val="28"/>
        </w:rPr>
        <w:t>Kongzi</w:t>
      </w:r>
      <w:proofErr w:type="spellEnd"/>
      <w:r>
        <w:rPr>
          <w:rFonts w:cs="Times New Roman"/>
          <w:sz w:val="24"/>
          <w:szCs w:val="28"/>
        </w:rPr>
        <w:t xml:space="preserve"> has.</w:t>
      </w:r>
    </w:p>
    <w:p w14:paraId="24786482" w14:textId="348CEDEB" w:rsidR="00830739" w:rsidRDefault="00830739" w:rsidP="00830739">
      <w:pPr>
        <w:spacing w:line="480" w:lineRule="auto"/>
        <w:ind w:firstLine="420"/>
        <w:rPr>
          <w:rFonts w:cs="Times New Roman"/>
          <w:sz w:val="24"/>
          <w:szCs w:val="28"/>
        </w:rPr>
      </w:pPr>
      <w:r>
        <w:rPr>
          <w:rFonts w:cs="Times New Roman"/>
          <w:sz w:val="24"/>
          <w:szCs w:val="28"/>
        </w:rPr>
        <w:t xml:space="preserve">A similar uncertainty is present in terms of the students, but for different reasons. While the project concerns the character development of the students, students also lack a clear sense of control over their own character development. One reason is that on their own, it is very difficult for them to see their own problems. </w:t>
      </w:r>
      <w:proofErr w:type="gramStart"/>
      <w:r>
        <w:rPr>
          <w:rFonts w:cs="Times New Roman"/>
          <w:sz w:val="24"/>
          <w:szCs w:val="28"/>
        </w:rPr>
        <w:t>Assuming that</w:t>
      </w:r>
      <w:proofErr w:type="gramEnd"/>
      <w:r>
        <w:rPr>
          <w:rFonts w:cs="Times New Roman"/>
          <w:sz w:val="24"/>
          <w:szCs w:val="28"/>
        </w:rPr>
        <w:t xml:space="preserve"> the effort and desire to improve oneself are present, there remains a high possibility of repeating one’s own problems when one is left to learn alone. In fact, it is hard to truly see one’s problem even with criticisms from a teacher. A case in point is Zigong </w:t>
      </w:r>
      <w:proofErr w:type="spellStart"/>
      <w:r>
        <w:rPr>
          <w:rFonts w:ascii="MS Gothic" w:eastAsia="MS Gothic" w:hAnsi="MS Gothic" w:cs="MS Gothic" w:hint="eastAsia"/>
          <w:sz w:val="24"/>
          <w:szCs w:val="28"/>
        </w:rPr>
        <w:t>子貢</w:t>
      </w:r>
      <w:proofErr w:type="spellEnd"/>
      <w:r>
        <w:rPr>
          <w:rFonts w:cs="Times New Roman"/>
          <w:sz w:val="24"/>
          <w:szCs w:val="28"/>
        </w:rPr>
        <w:t xml:space="preserve">. Zigong is criticized by </w:t>
      </w:r>
      <w:proofErr w:type="spellStart"/>
      <w:r>
        <w:rPr>
          <w:rFonts w:cs="Times New Roman"/>
          <w:sz w:val="24"/>
          <w:szCs w:val="28"/>
        </w:rPr>
        <w:t>Kongzi</w:t>
      </w:r>
      <w:proofErr w:type="spellEnd"/>
      <w:r>
        <w:rPr>
          <w:rFonts w:cs="Times New Roman"/>
          <w:sz w:val="24"/>
          <w:szCs w:val="28"/>
        </w:rPr>
        <w:t xml:space="preserve"> for making judgments of others (14.29). </w:t>
      </w:r>
      <w:proofErr w:type="spellStart"/>
      <w:r>
        <w:rPr>
          <w:rFonts w:cs="Times New Roman"/>
          <w:sz w:val="24"/>
          <w:szCs w:val="24"/>
        </w:rPr>
        <w:t>Kongzi</w:t>
      </w:r>
      <w:proofErr w:type="spellEnd"/>
      <w:r>
        <w:rPr>
          <w:rFonts w:cs="Times New Roman"/>
          <w:sz w:val="24"/>
          <w:szCs w:val="24"/>
        </w:rPr>
        <w:t xml:space="preserve"> says that that Zigong must be a worthy gentleman, for he himself has no time for judging others (14.29).</w:t>
      </w:r>
      <w:r>
        <w:rPr>
          <w:rFonts w:ascii="Calibri" w:hAnsi="Calibri" w:cs="Calibri"/>
        </w:rPr>
        <w:t xml:space="preserve"> </w:t>
      </w:r>
      <w:r>
        <w:rPr>
          <w:rFonts w:cs="Times New Roman"/>
          <w:sz w:val="24"/>
          <w:szCs w:val="28"/>
        </w:rPr>
        <w:t xml:space="preserve">It is easy to miss where the criticism lies. Making judgments of other people is but a common practice that is recorded throughout the text. The mistake that Zigong commits, therefore, is not about the practice of judging others, but a failure to keep in mind that the point of judging others is to learn from others rather than, say, looking down upon others. Judging others may just be one manifestation of a deeper issue, that Zigong is less fond of learning than appearing to be learned. We may further postulate that if Zigong does not recognize and rectify this deeper problem regarding the attitude of learning, stopping the practice of judging others is merely a surface level fix and does not make a genuine improvement. While he may stop judging others, he commits other mistakes rooted in a problematic learning attitude, such as ostentatious display of oneself through language (5.12). In short, even though any progress of character development can only be made by the students, students do not achieve significant development on their own.  </w:t>
      </w:r>
    </w:p>
    <w:p w14:paraId="39B4A099" w14:textId="77777777" w:rsidR="00830739" w:rsidRDefault="00830739" w:rsidP="00830739">
      <w:pPr>
        <w:spacing w:line="480" w:lineRule="auto"/>
        <w:ind w:firstLine="420"/>
        <w:rPr>
          <w:rFonts w:cs="Times New Roman"/>
          <w:sz w:val="24"/>
          <w:szCs w:val="28"/>
        </w:rPr>
      </w:pPr>
      <w:r>
        <w:rPr>
          <w:rFonts w:cs="Times New Roman"/>
          <w:sz w:val="24"/>
          <w:szCs w:val="28"/>
        </w:rPr>
        <w:lastRenderedPageBreak/>
        <w:t xml:space="preserve">In summary, regarding the set of cases where </w:t>
      </w:r>
      <w:proofErr w:type="spellStart"/>
      <w:r>
        <w:rPr>
          <w:rFonts w:cs="Times New Roman"/>
          <w:sz w:val="24"/>
          <w:szCs w:val="28"/>
        </w:rPr>
        <w:t>Kongzi</w:t>
      </w:r>
      <w:proofErr w:type="spellEnd"/>
      <w:r>
        <w:rPr>
          <w:rFonts w:cs="Times New Roman"/>
          <w:sz w:val="24"/>
          <w:szCs w:val="28"/>
        </w:rPr>
        <w:t xml:space="preserve"> interacts with his students with a goal of helping students cultivate their characters, both parties have certain levels of control. Yet the project is by its nature dependent upon both parties and neither have the full, determining influence as if one of them alone can “complete” the project in any relevant sense. If my analysis so far is on the right track, it shows that there are cases where, focusing on individuals, no one has full control or lack full control. Rather, both </w:t>
      </w:r>
      <w:proofErr w:type="spellStart"/>
      <w:r>
        <w:rPr>
          <w:rFonts w:cs="Times New Roman"/>
          <w:sz w:val="24"/>
          <w:szCs w:val="28"/>
        </w:rPr>
        <w:t>Kongzi</w:t>
      </w:r>
      <w:proofErr w:type="spellEnd"/>
      <w:r>
        <w:rPr>
          <w:rFonts w:cs="Times New Roman"/>
          <w:sz w:val="24"/>
          <w:szCs w:val="28"/>
        </w:rPr>
        <w:t xml:space="preserve"> and his students have degrees of control that cannot be clearly demarcated. Furthermore, there are many more cases where individuals lie between in and out of control. To identify other cases, it is important to extract one key feature from the cases above, namely, interdependence.</w:t>
      </w:r>
    </w:p>
    <w:p w14:paraId="6181F176" w14:textId="0BA3CA98" w:rsidR="00830739" w:rsidRDefault="00830739" w:rsidP="00830739">
      <w:pPr>
        <w:spacing w:line="480" w:lineRule="auto"/>
        <w:ind w:firstLine="420"/>
        <w:rPr>
          <w:rFonts w:cs="Times New Roman"/>
          <w:sz w:val="24"/>
          <w:szCs w:val="28"/>
        </w:rPr>
      </w:pPr>
      <w:r>
        <w:rPr>
          <w:rFonts w:cs="Times New Roman"/>
          <w:sz w:val="24"/>
          <w:szCs w:val="28"/>
        </w:rPr>
        <w:t>Interdependence exists in situations where progress, success, or failure of the matter at hand rely on contributions of more than one party in some significant way</w:t>
      </w:r>
      <w:r w:rsidR="006A082C">
        <w:rPr>
          <w:rFonts w:cs="Times New Roman"/>
          <w:sz w:val="24"/>
          <w:szCs w:val="28"/>
        </w:rPr>
        <w:t>. In such situations</w:t>
      </w:r>
      <w:r>
        <w:rPr>
          <w:rFonts w:cs="Times New Roman"/>
          <w:sz w:val="24"/>
          <w:szCs w:val="28"/>
        </w:rPr>
        <w:t xml:space="preserve">, each party has a degree of meaningful influence on how the matter will turn out. So long as no single party has dominating, deciding influence, everyone depends on others for carrying the project forward. Even if the matter at hand is highly personal, such as character cultivation, to the extent that one needs and relies on others, to that extent one lacks full control. Put succinctly, wherever interdependence is present, individuals have but limited amount of control. </w:t>
      </w:r>
    </w:p>
    <w:p w14:paraId="51191A93" w14:textId="77777777" w:rsidR="00830739" w:rsidRDefault="00830739" w:rsidP="00830739">
      <w:pPr>
        <w:spacing w:line="480" w:lineRule="auto"/>
        <w:ind w:firstLine="420"/>
        <w:rPr>
          <w:rFonts w:cs="Times New Roman"/>
          <w:sz w:val="24"/>
          <w:szCs w:val="28"/>
        </w:rPr>
      </w:pPr>
      <w:r>
        <w:rPr>
          <w:rFonts w:cs="Times New Roman"/>
          <w:sz w:val="24"/>
          <w:szCs w:val="28"/>
        </w:rPr>
        <w:t xml:space="preserve">The </w:t>
      </w:r>
      <w:r>
        <w:rPr>
          <w:rFonts w:cs="Times New Roman"/>
          <w:i/>
          <w:iCs/>
          <w:sz w:val="24"/>
          <w:szCs w:val="28"/>
        </w:rPr>
        <w:t>Analects</w:t>
      </w:r>
      <w:r>
        <w:rPr>
          <w:rFonts w:cs="Times New Roman"/>
          <w:sz w:val="24"/>
          <w:szCs w:val="28"/>
        </w:rPr>
        <w:t xml:space="preserve"> pays attention to interdependence and to cases that lie between fully in and out of agent’s control. If this is on the right track, using the dichotomy of control to interpret the </w:t>
      </w:r>
      <w:proofErr w:type="spellStart"/>
      <w:r>
        <w:rPr>
          <w:rFonts w:cs="Times New Roman"/>
          <w:i/>
          <w:iCs/>
          <w:sz w:val="24"/>
          <w:szCs w:val="28"/>
        </w:rPr>
        <w:t>Anlaects</w:t>
      </w:r>
      <w:proofErr w:type="spellEnd"/>
      <w:r>
        <w:rPr>
          <w:rFonts w:cs="Times New Roman"/>
          <w:i/>
          <w:iCs/>
          <w:sz w:val="24"/>
          <w:szCs w:val="28"/>
        </w:rPr>
        <w:t xml:space="preserve"> </w:t>
      </w:r>
      <w:r>
        <w:rPr>
          <w:rFonts w:cs="Times New Roman"/>
          <w:sz w:val="24"/>
          <w:szCs w:val="28"/>
        </w:rPr>
        <w:t xml:space="preserve">is a much less useful categorization than it has been taken to be. Instead, I contend that we should replace the dichotomy between what falls in and out of agent’s control with a continuum of control to analyze the </w:t>
      </w:r>
      <w:r>
        <w:rPr>
          <w:rFonts w:cs="Times New Roman"/>
          <w:i/>
          <w:iCs/>
          <w:sz w:val="24"/>
          <w:szCs w:val="28"/>
        </w:rPr>
        <w:t>Analects</w:t>
      </w:r>
      <w:r>
        <w:rPr>
          <w:rFonts w:cs="Times New Roman"/>
          <w:sz w:val="24"/>
          <w:szCs w:val="28"/>
        </w:rPr>
        <w:t>.</w:t>
      </w:r>
    </w:p>
    <w:p w14:paraId="4B1D6A05" w14:textId="77777777" w:rsidR="00830739" w:rsidRDefault="00830739" w:rsidP="00830739">
      <w:pPr>
        <w:spacing w:line="480" w:lineRule="auto"/>
        <w:ind w:firstLine="420"/>
        <w:rPr>
          <w:rFonts w:cs="Times New Roman"/>
          <w:sz w:val="24"/>
          <w:szCs w:val="28"/>
        </w:rPr>
      </w:pPr>
      <w:r>
        <w:rPr>
          <w:rFonts w:cs="Times New Roman"/>
          <w:sz w:val="24"/>
          <w:szCs w:val="28"/>
        </w:rPr>
        <w:t xml:space="preserve">There are at least two levels of implications following from this interpretive shift and modified analytical tool for understanding the </w:t>
      </w:r>
      <w:r>
        <w:rPr>
          <w:rFonts w:cs="Times New Roman"/>
          <w:i/>
          <w:iCs/>
          <w:sz w:val="24"/>
          <w:szCs w:val="28"/>
        </w:rPr>
        <w:t>Analects</w:t>
      </w:r>
      <w:r>
        <w:rPr>
          <w:rFonts w:cs="Times New Roman"/>
          <w:sz w:val="24"/>
          <w:szCs w:val="28"/>
        </w:rPr>
        <w:t xml:space="preserve">. Note that the traditional dichotomy </w:t>
      </w:r>
      <w:r>
        <w:rPr>
          <w:rFonts w:cs="Times New Roman"/>
          <w:sz w:val="24"/>
          <w:szCs w:val="28"/>
        </w:rPr>
        <w:lastRenderedPageBreak/>
        <w:t xml:space="preserve">presents a neat story at both the descriptive and normative level. Not only can we categorize all events in the two contrasting categories of “control” and “lack of control,” we also have a clear normative message that we should pay attention to the “control” category. One implication of my modified analytic tool is descriptive. As the above discussion shows, a continuum of control allows us to have a more nuanced understanding of what the text offers. The </w:t>
      </w:r>
      <w:r>
        <w:rPr>
          <w:rFonts w:cs="Times New Roman"/>
          <w:i/>
          <w:iCs/>
          <w:sz w:val="24"/>
          <w:szCs w:val="28"/>
        </w:rPr>
        <w:t>Analects</w:t>
      </w:r>
      <w:r>
        <w:rPr>
          <w:rFonts w:cs="Times New Roman"/>
          <w:sz w:val="24"/>
          <w:szCs w:val="28"/>
        </w:rPr>
        <w:t xml:space="preserve"> presents examples in the middle ground where agents have a limited yet indeterminate amount of control. </w:t>
      </w:r>
    </w:p>
    <w:p w14:paraId="42791BE1" w14:textId="77777777" w:rsidR="00830739" w:rsidRDefault="00830739" w:rsidP="00830739">
      <w:pPr>
        <w:spacing w:line="480" w:lineRule="auto"/>
        <w:ind w:firstLine="420"/>
        <w:rPr>
          <w:rFonts w:cs="Times New Roman"/>
          <w:sz w:val="24"/>
          <w:szCs w:val="28"/>
        </w:rPr>
      </w:pPr>
      <w:r>
        <w:rPr>
          <w:rFonts w:cs="Times New Roman"/>
          <w:sz w:val="24"/>
          <w:szCs w:val="28"/>
        </w:rPr>
        <w:t xml:space="preserve">The other implication is normative, and the story becomes messy and unclear. The three papers I offer here present initial steps in elaborating some of the normative implications. </w:t>
      </w:r>
    </w:p>
    <w:p w14:paraId="3B2F6D51" w14:textId="77777777" w:rsidR="00830739" w:rsidRDefault="00830739" w:rsidP="00830739">
      <w:pPr>
        <w:pStyle w:val="Heading2"/>
        <w:rPr>
          <w:sz w:val="32"/>
          <w:szCs w:val="32"/>
        </w:rPr>
      </w:pPr>
      <w:bookmarkStart w:id="4" w:name="_Toc102412719"/>
      <w:r>
        <w:t>Dissertation Papers</w:t>
      </w:r>
      <w:bookmarkEnd w:id="4"/>
    </w:p>
    <w:p w14:paraId="25818974" w14:textId="77777777" w:rsidR="00830739" w:rsidRDefault="00830739" w:rsidP="00830739">
      <w:pPr>
        <w:spacing w:line="480" w:lineRule="auto"/>
        <w:ind w:firstLine="420"/>
        <w:rPr>
          <w:rFonts w:cs="Times New Roman"/>
          <w:sz w:val="24"/>
          <w:szCs w:val="24"/>
        </w:rPr>
      </w:pPr>
      <w:r>
        <w:rPr>
          <w:rFonts w:cs="Times New Roman"/>
          <w:sz w:val="24"/>
          <w:szCs w:val="24"/>
        </w:rPr>
        <w:t xml:space="preserve">One of the more direct normative implications for replacing the dichotomy of control with a continuum of control is an expansion of what needs to be taken into consideration. The old story suggests that we only need to consider and care about the (quite) limited </w:t>
      </w:r>
      <w:proofErr w:type="gramStart"/>
      <w:r>
        <w:rPr>
          <w:rFonts w:cs="Times New Roman"/>
          <w:sz w:val="24"/>
          <w:szCs w:val="24"/>
        </w:rPr>
        <w:t>amount</w:t>
      </w:r>
      <w:proofErr w:type="gramEnd"/>
      <w:r>
        <w:rPr>
          <w:rFonts w:cs="Times New Roman"/>
          <w:sz w:val="24"/>
          <w:szCs w:val="24"/>
        </w:rPr>
        <w:t xml:space="preserve"> of things what we can control and leave aside all that we cannot control. The new story suggests that we have a lot more control over a lot more things, although our control is most often partial. This means that we need to care about a lot more things than what is suggested by the old story, and how we care about them is also quite different. Relatedly, the old story suggests a relatively clear picture of sage-hood, where sages would, through their dedicated focus on what falls within their power and a lack of concern and worry over all that they cannot control, attain a kind of equanimity that allows them to live through the turmoil of life unscathed. What would the new story say about sage-hood, if sages are not the kind who psychologically retreat to a small citadel of secured control, but care about a great many things for which they are partially, but only partially, responsible? What would their emotional life look like in terms of worries and joy? In the first paper, I take a small step in beginning to answer these and related questions, telling a story about </w:t>
      </w:r>
      <w:r>
        <w:rPr>
          <w:rFonts w:cs="Times New Roman"/>
          <w:sz w:val="24"/>
          <w:szCs w:val="24"/>
        </w:rPr>
        <w:lastRenderedPageBreak/>
        <w:t xml:space="preserve">the emotion of worry. I argue that for Confucian cultivation, learning to worry well is a core part of the development program, which includes two general directions of learning to worry broadly and deeply. </w:t>
      </w:r>
    </w:p>
    <w:p w14:paraId="7582F67D" w14:textId="77777777" w:rsidR="00830739" w:rsidRDefault="00830739" w:rsidP="00830739">
      <w:pPr>
        <w:spacing w:line="480" w:lineRule="auto"/>
        <w:ind w:firstLine="420"/>
        <w:rPr>
          <w:rFonts w:cs="Times New Roman"/>
          <w:sz w:val="24"/>
          <w:szCs w:val="24"/>
        </w:rPr>
      </w:pPr>
      <w:r>
        <w:rPr>
          <w:rFonts w:cs="Times New Roman"/>
          <w:sz w:val="24"/>
          <w:szCs w:val="24"/>
        </w:rPr>
        <w:t xml:space="preserve">Another issue that arises from the replacement of the old analytical apparatus is a sense of humility. Humility is the topic of the second paper. Already present in the discussion of the middle area of the control continuum is an understanding that attaining any serious improvement of oneself is hard, and we are highly limited on our own for even improving ourselves. The more serious one becomes about self-improvement, the more one sees one’s limitations and need for support from others. This is one strand of humility. Another strand of humility stems from an acknowledgement of our indebtedness to others and our capacity to influence others. Seeing how much we depend upon and owe others (especially to those who come before and benefited us), not only humbles us, but also gives us a sense of responsibility to behave in similar ways so that in our influence on others, we do not become a source of misanthropy. These two strands of humility form what I see as the “substance” of Confucian humility that is conveyed through the “form” of ritual. Together – namely, the two strands plus their expression through ritual, they consist of what I argue to be Confucian humility in the </w:t>
      </w:r>
      <w:r>
        <w:rPr>
          <w:rFonts w:cs="Times New Roman"/>
          <w:i/>
          <w:iCs/>
          <w:sz w:val="24"/>
          <w:szCs w:val="24"/>
        </w:rPr>
        <w:t>Analects</w:t>
      </w:r>
      <w:r>
        <w:rPr>
          <w:rFonts w:cs="Times New Roman"/>
          <w:sz w:val="24"/>
          <w:szCs w:val="24"/>
        </w:rPr>
        <w:t xml:space="preserve">. </w:t>
      </w:r>
    </w:p>
    <w:p w14:paraId="4E6AD0D7" w14:textId="48F3AD8B" w:rsidR="0092467A" w:rsidRPr="0092467A" w:rsidRDefault="00830739" w:rsidP="0092467A">
      <w:pPr>
        <w:spacing w:line="480" w:lineRule="auto"/>
        <w:ind w:firstLine="420"/>
        <w:rPr>
          <w:rFonts w:cs="Times New Roman"/>
          <w:sz w:val="24"/>
          <w:szCs w:val="24"/>
        </w:rPr>
        <w:sectPr w:rsidR="0092467A" w:rsidRPr="0092467A" w:rsidSect="00041FC6">
          <w:footerReference w:type="first" r:id="rId15"/>
          <w:pgSz w:w="12240" w:h="15840"/>
          <w:pgMar w:top="1440" w:right="1440" w:bottom="1440" w:left="1440" w:header="720" w:footer="720" w:gutter="0"/>
          <w:pgNumType w:start="1"/>
          <w:cols w:space="720"/>
          <w:titlePg/>
          <w:docGrid w:linePitch="360"/>
        </w:sectPr>
      </w:pPr>
      <w:r>
        <w:rPr>
          <w:rFonts w:cs="Times New Roman"/>
          <w:sz w:val="24"/>
          <w:szCs w:val="24"/>
        </w:rPr>
        <w:t xml:space="preserve">While the first two papers are historical, the third paper engages with one contemporary debate. The issue for the third paper is about relational virtue. In contemporary discussions, virtue, both the cultivation and especially the cumulative achievement of possessing the virtue, has a tendency of being treated as an individualistic matter. If an agent is said to have fully cultivated herself, her virtue is supposed to be fully her own. Some scholars have argued that relational virtue – virtues that make agents excellent participants in relationships – is the same, that it is a sub-category of virtue owned by the agent. This general way of thinking sits poorly </w:t>
      </w:r>
      <w:r>
        <w:rPr>
          <w:rFonts w:cs="Times New Roman"/>
          <w:sz w:val="24"/>
          <w:szCs w:val="24"/>
        </w:rPr>
        <w:lastRenderedPageBreak/>
        <w:t>with our living experience of being involved in relationships, which seems a prime example that falls in the middle of the control continuum. The intuition is simple. If I tell someone that I am a good friend of Kim and Kim denies it, the third person can reasonably question my claim (</w:t>
      </w:r>
      <w:proofErr w:type="gramStart"/>
      <w:r>
        <w:rPr>
          <w:rFonts w:cs="Times New Roman"/>
          <w:sz w:val="24"/>
          <w:szCs w:val="24"/>
        </w:rPr>
        <w:t>as long as</w:t>
      </w:r>
      <w:proofErr w:type="gramEnd"/>
      <w:r>
        <w:rPr>
          <w:rFonts w:cs="Times New Roman"/>
          <w:sz w:val="24"/>
          <w:szCs w:val="24"/>
        </w:rPr>
        <w:t xml:space="preserve"> Kim is an overall trustworthy person). This kind of example proliferates in considering relationships, because we all intuitively know and agree that the other person or people involved in a relationship have a legitimate say in determining whether we have been good relationship participants or not. How to spell out the implications of this intuition in terms of relational virtue is the project of the third paper. I argue that relational virtue requires more than an agent’s disposition, but acknowledgement from bonded or related others, and in some extreme cases, the participation of public evaluation</w:t>
      </w:r>
    </w:p>
    <w:p w14:paraId="29404A74" w14:textId="1D0A6966" w:rsidR="00830739" w:rsidRPr="00830739" w:rsidRDefault="00CF3053" w:rsidP="00830739">
      <w:pPr>
        <w:pStyle w:val="Heading1"/>
        <w:rPr>
          <w:rFonts w:ascii="Times New Roman" w:hAnsi="Times New Roman" w:cs="Times New Roman"/>
        </w:rPr>
      </w:pPr>
      <w:bookmarkStart w:id="5" w:name="_Toc102412720"/>
      <w:r>
        <w:rPr>
          <w:rFonts w:ascii="Times New Roman" w:hAnsi="Times New Roman" w:cs="Times New Roman"/>
        </w:rPr>
        <w:lastRenderedPageBreak/>
        <w:t xml:space="preserve">Paper 1: </w:t>
      </w:r>
      <w:r w:rsidR="00830739" w:rsidRPr="00830739">
        <w:rPr>
          <w:rFonts w:ascii="Times New Roman" w:hAnsi="Times New Roman" w:cs="Times New Roman"/>
        </w:rPr>
        <w:t xml:space="preserve">Worries in My Heart: Defending the Significance of You </w:t>
      </w:r>
      <w:r w:rsidR="00830739" w:rsidRPr="00830739">
        <w:rPr>
          <w:rFonts w:ascii="Times New Roman" w:eastAsia="MS Mincho" w:hAnsi="Times New Roman" w:cs="Times New Roman"/>
        </w:rPr>
        <w:t>憂</w:t>
      </w:r>
      <w:r w:rsidR="00830739" w:rsidRPr="00830739">
        <w:rPr>
          <w:rFonts w:ascii="Times New Roman" w:hAnsi="Times New Roman" w:cs="Times New Roman"/>
        </w:rPr>
        <w:t xml:space="preserve"> for Confucian Moral Cultivation</w:t>
      </w:r>
      <w:bookmarkEnd w:id="5"/>
    </w:p>
    <w:p w14:paraId="64C2F9B3" w14:textId="77777777" w:rsidR="00830739" w:rsidRDefault="00830739" w:rsidP="00830739">
      <w:pPr>
        <w:rPr>
          <w:rFonts w:eastAsiaTheme="minorEastAsia" w:cs="Times New Roman"/>
        </w:rPr>
      </w:pPr>
      <w:bookmarkStart w:id="6" w:name="_Hlk45548917"/>
    </w:p>
    <w:p w14:paraId="26F22ECB" w14:textId="77777777" w:rsidR="00830739" w:rsidRPr="009819CE" w:rsidRDefault="00830739" w:rsidP="009819CE">
      <w:pPr>
        <w:pStyle w:val="Heading2"/>
      </w:pPr>
      <w:bookmarkStart w:id="7" w:name="_Toc102412721"/>
      <w:r w:rsidRPr="009819CE">
        <w:t>Abstract</w:t>
      </w:r>
      <w:bookmarkEnd w:id="7"/>
      <w:r w:rsidRPr="009819CE">
        <w:t xml:space="preserve"> </w:t>
      </w:r>
    </w:p>
    <w:p w14:paraId="33F9ECFA" w14:textId="7F095638" w:rsidR="00830739" w:rsidRDefault="00830739" w:rsidP="009819CE">
      <w:pPr>
        <w:spacing w:line="480" w:lineRule="auto"/>
        <w:ind w:firstLine="720"/>
        <w:rPr>
          <w:rFonts w:cs="Times New Roman"/>
          <w:i/>
          <w:iCs/>
          <w:sz w:val="24"/>
          <w:szCs w:val="24"/>
        </w:rPr>
      </w:pPr>
      <w:r w:rsidRPr="009819CE">
        <w:rPr>
          <w:rFonts w:cs="Times New Roman"/>
          <w:sz w:val="24"/>
          <w:szCs w:val="24"/>
        </w:rPr>
        <w:t xml:space="preserve">While the conversations surrounding moral cultivation in Confucianism often focus on the debate regarding the starting point of moral learning (and corresponding features of the learning process) that is inspired by the disagreements between the </w:t>
      </w:r>
      <w:r w:rsidRPr="009819CE">
        <w:rPr>
          <w:rFonts w:cs="Times New Roman"/>
          <w:i/>
          <w:iCs/>
          <w:sz w:val="24"/>
          <w:szCs w:val="24"/>
        </w:rPr>
        <w:t>Mengzi</w:t>
      </w:r>
      <w:r w:rsidRPr="009819CE">
        <w:rPr>
          <w:rFonts w:cs="Times New Roman"/>
          <w:sz w:val="24"/>
          <w:szCs w:val="24"/>
        </w:rPr>
        <w:t xml:space="preserve"> and the </w:t>
      </w:r>
      <w:r w:rsidRPr="009819CE">
        <w:rPr>
          <w:rFonts w:cs="Times New Roman"/>
          <w:i/>
          <w:iCs/>
          <w:sz w:val="24"/>
          <w:szCs w:val="24"/>
        </w:rPr>
        <w:t>Xunzi</w:t>
      </w:r>
      <w:r w:rsidRPr="009819CE">
        <w:rPr>
          <w:rFonts w:cs="Times New Roman"/>
          <w:sz w:val="24"/>
          <w:szCs w:val="24"/>
        </w:rPr>
        <w:t>,</w:t>
      </w:r>
      <w:r w:rsidRPr="009819CE">
        <w:rPr>
          <w:rStyle w:val="FootnoteReference"/>
          <w:rFonts w:cs="Times New Roman"/>
          <w:sz w:val="24"/>
          <w:szCs w:val="24"/>
        </w:rPr>
        <w:footnoteReference w:id="11"/>
      </w:r>
      <w:r w:rsidRPr="009819CE">
        <w:rPr>
          <w:rFonts w:cs="Times New Roman"/>
          <w:sz w:val="24"/>
          <w:szCs w:val="24"/>
        </w:rPr>
        <w:t xml:space="preserve"> there is another group of scholarship on moral cultivation which tends to the experiential qualities felt by the learning agents.</w:t>
      </w:r>
      <w:r w:rsidRPr="009819CE">
        <w:rPr>
          <w:rStyle w:val="FootnoteReference"/>
          <w:rFonts w:cs="Times New Roman"/>
          <w:sz w:val="24"/>
          <w:szCs w:val="24"/>
        </w:rPr>
        <w:footnoteReference w:id="12"/>
      </w:r>
      <w:r w:rsidRPr="009819CE">
        <w:rPr>
          <w:rFonts w:cs="Times New Roman"/>
          <w:sz w:val="24"/>
          <w:szCs w:val="24"/>
        </w:rPr>
        <w:t xml:space="preserve"> This paper participates in the latter group of scholarship. </w:t>
      </w:r>
      <w:proofErr w:type="gramStart"/>
      <w:r w:rsidRPr="009819CE">
        <w:rPr>
          <w:rFonts w:cs="Times New Roman"/>
          <w:sz w:val="24"/>
          <w:szCs w:val="24"/>
        </w:rPr>
        <w:t>The majority of</w:t>
      </w:r>
      <w:proofErr w:type="gramEnd"/>
      <w:r w:rsidRPr="009819CE">
        <w:rPr>
          <w:rFonts w:cs="Times New Roman"/>
          <w:sz w:val="24"/>
          <w:szCs w:val="24"/>
        </w:rPr>
        <w:t xml:space="preserve"> discussions regarding the learning experience centers around mental states such as </w:t>
      </w:r>
      <w:r w:rsidRPr="009819CE">
        <w:rPr>
          <w:rFonts w:cs="Times New Roman"/>
          <w:i/>
          <w:iCs/>
          <w:sz w:val="24"/>
          <w:szCs w:val="24"/>
        </w:rPr>
        <w:t>an</w:t>
      </w:r>
      <w:r w:rsidRPr="009819CE">
        <w:rPr>
          <w:rFonts w:cs="Times New Roman"/>
          <w:sz w:val="24"/>
          <w:szCs w:val="24"/>
        </w:rPr>
        <w:t xml:space="preserve"> </w:t>
      </w:r>
      <w:r w:rsidRPr="009819CE">
        <w:rPr>
          <w:rFonts w:eastAsia="MS Mincho" w:cs="Times New Roman"/>
          <w:sz w:val="24"/>
          <w:szCs w:val="24"/>
        </w:rPr>
        <w:t>安</w:t>
      </w:r>
      <w:r w:rsidRPr="009819CE">
        <w:rPr>
          <w:rFonts w:cs="Times New Roman"/>
          <w:sz w:val="24"/>
          <w:szCs w:val="24"/>
        </w:rPr>
        <w:t xml:space="preserve">/tranquility or equanimity and </w:t>
      </w:r>
      <w:r w:rsidRPr="009819CE">
        <w:rPr>
          <w:rFonts w:cs="Times New Roman"/>
          <w:i/>
          <w:iCs/>
          <w:sz w:val="24"/>
          <w:szCs w:val="24"/>
        </w:rPr>
        <w:t xml:space="preserve">le </w:t>
      </w:r>
      <w:r w:rsidRPr="009819CE">
        <w:rPr>
          <w:rFonts w:eastAsia="MS Mincho" w:cs="Times New Roman"/>
          <w:sz w:val="24"/>
          <w:szCs w:val="24"/>
        </w:rPr>
        <w:t>樂</w:t>
      </w:r>
      <w:r w:rsidRPr="009819CE">
        <w:rPr>
          <w:rFonts w:cs="Times New Roman"/>
          <w:sz w:val="24"/>
          <w:szCs w:val="24"/>
        </w:rPr>
        <w:t xml:space="preserve">/happiness, joy, or pleasure of a special kind. There is, nonetheless, a minor trend that emphasizes the significance of </w:t>
      </w:r>
      <w:r w:rsidRPr="009819CE">
        <w:rPr>
          <w:rFonts w:cs="Times New Roman"/>
          <w:i/>
          <w:iCs/>
          <w:sz w:val="24"/>
          <w:szCs w:val="24"/>
        </w:rPr>
        <w:t xml:space="preserve">you </w:t>
      </w:r>
      <w:r w:rsidRPr="009819CE">
        <w:rPr>
          <w:rFonts w:eastAsia="MS Mincho" w:cs="Times New Roman"/>
          <w:sz w:val="24"/>
          <w:szCs w:val="24"/>
        </w:rPr>
        <w:t>憂</w:t>
      </w:r>
      <w:r w:rsidRPr="009819CE">
        <w:rPr>
          <w:rFonts w:cs="Times New Roman"/>
          <w:sz w:val="24"/>
          <w:szCs w:val="24"/>
        </w:rPr>
        <w:t xml:space="preserve">/worry or distress. In this paper, I raise attention to the significance of </w:t>
      </w:r>
      <w:r w:rsidRPr="009819CE">
        <w:rPr>
          <w:rFonts w:cs="Times New Roman"/>
          <w:i/>
          <w:iCs/>
          <w:sz w:val="24"/>
          <w:szCs w:val="24"/>
        </w:rPr>
        <w:t xml:space="preserve">you </w:t>
      </w:r>
      <w:r w:rsidRPr="009819CE">
        <w:rPr>
          <w:rFonts w:cs="Times New Roman"/>
          <w:sz w:val="24"/>
          <w:szCs w:val="24"/>
        </w:rPr>
        <w:t xml:space="preserve">and argue that in the </w:t>
      </w:r>
      <w:r w:rsidRPr="009819CE">
        <w:rPr>
          <w:rFonts w:cs="Times New Roman"/>
          <w:i/>
          <w:iCs/>
          <w:sz w:val="24"/>
          <w:szCs w:val="24"/>
        </w:rPr>
        <w:t>Analects</w:t>
      </w:r>
      <w:r w:rsidRPr="009819CE">
        <w:rPr>
          <w:rFonts w:cs="Times New Roman"/>
          <w:sz w:val="24"/>
          <w:szCs w:val="24"/>
        </w:rPr>
        <w:t xml:space="preserve">, an indispensable and significant part of Confucian moral cultivation is to learn to worry well, which involves learning to worry broadly about society in general, and to worry deeply about </w:t>
      </w:r>
      <w:proofErr w:type="gramStart"/>
      <w:r w:rsidRPr="009819CE">
        <w:rPr>
          <w:rFonts w:cs="Times New Roman"/>
          <w:sz w:val="24"/>
          <w:szCs w:val="24"/>
        </w:rPr>
        <w:t>particular individuals</w:t>
      </w:r>
      <w:proofErr w:type="gramEnd"/>
      <w:r w:rsidRPr="009819CE">
        <w:rPr>
          <w:rFonts w:cs="Times New Roman"/>
          <w:sz w:val="24"/>
          <w:szCs w:val="24"/>
        </w:rPr>
        <w:t xml:space="preserve"> standing in important relationship to us</w:t>
      </w:r>
      <w:r w:rsidRPr="009819CE">
        <w:rPr>
          <w:rFonts w:cs="Times New Roman"/>
          <w:i/>
          <w:iCs/>
          <w:sz w:val="24"/>
          <w:szCs w:val="24"/>
        </w:rPr>
        <w:t xml:space="preserve">. </w:t>
      </w:r>
    </w:p>
    <w:p w14:paraId="243DA04D" w14:textId="77777777" w:rsidR="009819CE" w:rsidRPr="009819CE" w:rsidRDefault="009819CE" w:rsidP="00830739">
      <w:pPr>
        <w:ind w:firstLine="720"/>
        <w:rPr>
          <w:rFonts w:cs="Times New Roman"/>
          <w:i/>
          <w:iCs/>
          <w:sz w:val="24"/>
          <w:szCs w:val="24"/>
        </w:rPr>
      </w:pPr>
    </w:p>
    <w:p w14:paraId="1A16FD8A" w14:textId="77777777" w:rsidR="009819CE" w:rsidRDefault="009819CE" w:rsidP="009819CE">
      <w:pPr>
        <w:spacing w:line="480" w:lineRule="auto"/>
      </w:pPr>
      <w:r>
        <w:rPr>
          <w:sz w:val="26"/>
          <w:szCs w:val="26"/>
        </w:rPr>
        <w:t xml:space="preserve">Keyword: </w:t>
      </w:r>
      <w:r w:rsidRPr="009819CE">
        <w:rPr>
          <w:rFonts w:cs="Times New Roman"/>
          <w:i/>
          <w:iCs/>
          <w:sz w:val="24"/>
          <w:szCs w:val="24"/>
          <w:lang w:eastAsia="zh-TW"/>
        </w:rPr>
        <w:t>Analects</w:t>
      </w:r>
      <w:r w:rsidRPr="009819CE">
        <w:rPr>
          <w:rFonts w:cs="Times New Roman"/>
          <w:sz w:val="24"/>
          <w:szCs w:val="24"/>
          <w:lang w:eastAsia="zh-TW"/>
        </w:rPr>
        <w:t>,</w:t>
      </w:r>
      <w:r w:rsidRPr="009819CE">
        <w:rPr>
          <w:sz w:val="28"/>
          <w:szCs w:val="28"/>
          <w:lang w:eastAsia="zh-TW"/>
        </w:rPr>
        <w:t xml:space="preserve"> </w:t>
      </w:r>
      <w:r w:rsidRPr="009819CE">
        <w:rPr>
          <w:rFonts w:cs="Times New Roman"/>
          <w:i/>
          <w:iCs/>
          <w:sz w:val="24"/>
          <w:szCs w:val="24"/>
        </w:rPr>
        <w:t>you</w:t>
      </w:r>
      <w:r w:rsidRPr="009819CE">
        <w:rPr>
          <w:rFonts w:cs="Times New Roman"/>
          <w:sz w:val="24"/>
          <w:szCs w:val="24"/>
        </w:rPr>
        <w:t xml:space="preserve"> </w:t>
      </w:r>
      <w:r w:rsidRPr="009819CE">
        <w:rPr>
          <w:rFonts w:ascii="MS Mincho" w:eastAsia="MS Mincho" w:hAnsi="MS Mincho" w:cs="MS Mincho" w:hint="eastAsia"/>
          <w:sz w:val="24"/>
          <w:szCs w:val="24"/>
        </w:rPr>
        <w:t>憂</w:t>
      </w:r>
      <w:r w:rsidRPr="009819CE">
        <w:rPr>
          <w:rFonts w:cs="Times New Roman"/>
          <w:sz w:val="24"/>
          <w:szCs w:val="24"/>
        </w:rPr>
        <w:t>/worry, Confucian moral cultivation, the method of extension, the method of intensification</w:t>
      </w:r>
      <w:r w:rsidRPr="009819CE">
        <w:rPr>
          <w:sz w:val="28"/>
          <w:szCs w:val="28"/>
        </w:rPr>
        <w:t xml:space="preserve"> </w:t>
      </w:r>
    </w:p>
    <w:p w14:paraId="2023F3D6" w14:textId="2E3749CD" w:rsidR="009819CE" w:rsidRDefault="009819CE" w:rsidP="009819CE">
      <w:r>
        <w:br w:type="page"/>
      </w:r>
    </w:p>
    <w:p w14:paraId="6699E363" w14:textId="1E4E142A" w:rsidR="009819CE" w:rsidRPr="009819CE" w:rsidRDefault="009819CE" w:rsidP="009819CE">
      <w:pPr>
        <w:rPr>
          <w:rFonts w:cs="Times New Roman"/>
          <w:sz w:val="20"/>
          <w:szCs w:val="20"/>
        </w:rPr>
      </w:pPr>
    </w:p>
    <w:p w14:paraId="57C61BC6" w14:textId="77777777" w:rsidR="00830739" w:rsidRPr="00830739" w:rsidRDefault="00830739" w:rsidP="00830739">
      <w:pPr>
        <w:pStyle w:val="Heading2"/>
        <w:rPr>
          <w:rFonts w:cs="Times New Roman"/>
        </w:rPr>
      </w:pPr>
      <w:bookmarkStart w:id="8" w:name="_Toc102412722"/>
      <w:r w:rsidRPr="00830739">
        <w:rPr>
          <w:rFonts w:cs="Times New Roman"/>
        </w:rPr>
        <w:t>1: Introduction</w:t>
      </w:r>
      <w:bookmarkEnd w:id="8"/>
    </w:p>
    <w:p w14:paraId="662462B4" w14:textId="77777777" w:rsidR="00830739" w:rsidRPr="009819CE" w:rsidRDefault="00830739" w:rsidP="009819CE">
      <w:pPr>
        <w:spacing w:line="480" w:lineRule="auto"/>
        <w:ind w:firstLine="720"/>
        <w:rPr>
          <w:rFonts w:cs="Times New Roman"/>
          <w:sz w:val="24"/>
          <w:szCs w:val="24"/>
          <w:lang w:eastAsia="zh-CN"/>
        </w:rPr>
      </w:pPr>
      <w:r w:rsidRPr="009819CE">
        <w:rPr>
          <w:rFonts w:cs="Times New Roman"/>
          <w:sz w:val="24"/>
          <w:szCs w:val="24"/>
          <w:lang w:eastAsia="zh-TW"/>
        </w:rPr>
        <w:t xml:space="preserve">The scholarship on moral cultivation unanimously agree that the experiential qualities felt by a virtuous person is that of </w:t>
      </w:r>
      <w:r w:rsidRPr="009819CE">
        <w:rPr>
          <w:rFonts w:cs="Times New Roman"/>
          <w:i/>
          <w:iCs/>
          <w:sz w:val="24"/>
          <w:szCs w:val="24"/>
        </w:rPr>
        <w:t>an</w:t>
      </w:r>
      <w:r w:rsidRPr="009819CE">
        <w:rPr>
          <w:rFonts w:cs="Times New Roman"/>
          <w:i/>
          <w:iCs/>
          <w:sz w:val="24"/>
          <w:szCs w:val="24"/>
          <w:lang w:eastAsia="zh-TW"/>
        </w:rPr>
        <w:t xml:space="preserve"> </w:t>
      </w:r>
      <w:r w:rsidRPr="009819CE">
        <w:rPr>
          <w:rFonts w:ascii="MS Mincho" w:eastAsia="MS Mincho" w:hAnsi="MS Mincho" w:cs="MS Mincho" w:hint="eastAsia"/>
          <w:sz w:val="24"/>
          <w:szCs w:val="24"/>
          <w:lang w:eastAsia="zh-TW"/>
        </w:rPr>
        <w:t>安</w:t>
      </w:r>
      <w:r w:rsidRPr="009819CE">
        <w:rPr>
          <w:rFonts w:cs="Times New Roman"/>
          <w:sz w:val="24"/>
          <w:szCs w:val="24"/>
        </w:rPr>
        <w:t xml:space="preserve"> and </w:t>
      </w:r>
      <w:r w:rsidRPr="009819CE">
        <w:rPr>
          <w:rFonts w:cs="Times New Roman"/>
          <w:i/>
          <w:iCs/>
          <w:sz w:val="24"/>
          <w:szCs w:val="24"/>
        </w:rPr>
        <w:t xml:space="preserve">le </w:t>
      </w:r>
      <w:r w:rsidRPr="009819CE">
        <w:rPr>
          <w:rFonts w:ascii="MS Mincho" w:eastAsia="MS Mincho" w:hAnsi="MS Mincho" w:cs="MS Mincho" w:hint="eastAsia"/>
          <w:sz w:val="24"/>
          <w:szCs w:val="24"/>
        </w:rPr>
        <w:t>樂</w:t>
      </w:r>
      <w:r w:rsidRPr="009819CE">
        <w:rPr>
          <w:rFonts w:cs="Times New Roman"/>
          <w:sz w:val="24"/>
          <w:szCs w:val="24"/>
          <w:lang w:eastAsia="zh-TW"/>
        </w:rPr>
        <w:t xml:space="preserve">. She is capable of remaining steadfast and equanimous </w:t>
      </w:r>
      <w:r w:rsidRPr="009819CE">
        <w:rPr>
          <w:rFonts w:cs="Times New Roman"/>
          <w:sz w:val="24"/>
          <w:szCs w:val="24"/>
        </w:rPr>
        <w:t>when</w:t>
      </w:r>
      <w:r w:rsidRPr="009819CE">
        <w:rPr>
          <w:rFonts w:cs="Times New Roman"/>
          <w:sz w:val="24"/>
          <w:szCs w:val="24"/>
          <w:lang w:eastAsia="zh-TW"/>
        </w:rPr>
        <w:t xml:space="preserve"> facing great moral challenges</w:t>
      </w:r>
      <w:r w:rsidRPr="009819CE">
        <w:rPr>
          <w:rFonts w:cs="Times New Roman"/>
          <w:sz w:val="24"/>
          <w:szCs w:val="24"/>
        </w:rPr>
        <w:t xml:space="preserve"> and</w:t>
      </w:r>
      <w:r w:rsidRPr="009819CE">
        <w:rPr>
          <w:rFonts w:cs="Times New Roman"/>
          <w:sz w:val="24"/>
          <w:szCs w:val="24"/>
          <w:lang w:eastAsia="zh-TW"/>
        </w:rPr>
        <w:t xml:space="preserve"> experiencing joy and profound happiness with what life has to offer. The learning process, therefore, attends to ways that allow learners to remain composed against challenges, and develop nuanced senses of pleasure. This much is and ends the consensus. Questions such as how the end state of </w:t>
      </w:r>
      <w:r w:rsidRPr="009819CE">
        <w:rPr>
          <w:rFonts w:cs="Times New Roman"/>
          <w:i/>
          <w:iCs/>
          <w:sz w:val="24"/>
          <w:szCs w:val="24"/>
        </w:rPr>
        <w:t>an</w:t>
      </w:r>
      <w:r w:rsidRPr="009819CE">
        <w:rPr>
          <w:rFonts w:cs="Times New Roman"/>
          <w:i/>
          <w:iCs/>
          <w:sz w:val="24"/>
          <w:szCs w:val="24"/>
          <w:lang w:eastAsia="zh-TW"/>
        </w:rPr>
        <w:t xml:space="preserve"> </w:t>
      </w:r>
      <w:r w:rsidRPr="009819CE">
        <w:rPr>
          <w:rFonts w:ascii="MS Mincho" w:eastAsia="MS Mincho" w:hAnsi="MS Mincho" w:cs="MS Mincho" w:hint="eastAsia"/>
          <w:sz w:val="24"/>
          <w:szCs w:val="24"/>
          <w:lang w:eastAsia="zh-TW"/>
        </w:rPr>
        <w:t>安</w:t>
      </w:r>
      <w:r w:rsidRPr="009819CE">
        <w:rPr>
          <w:rFonts w:cs="Times New Roman"/>
          <w:sz w:val="24"/>
          <w:szCs w:val="24"/>
        </w:rPr>
        <w:t xml:space="preserve"> and </w:t>
      </w:r>
      <w:r w:rsidRPr="009819CE">
        <w:rPr>
          <w:rFonts w:cs="Times New Roman"/>
          <w:i/>
          <w:iCs/>
          <w:sz w:val="24"/>
          <w:szCs w:val="24"/>
        </w:rPr>
        <w:t xml:space="preserve">le </w:t>
      </w:r>
      <w:r w:rsidRPr="009819CE">
        <w:rPr>
          <w:rFonts w:ascii="MS Mincho" w:eastAsia="MS Mincho" w:hAnsi="MS Mincho" w:cs="MS Mincho" w:hint="eastAsia"/>
          <w:sz w:val="24"/>
          <w:szCs w:val="24"/>
        </w:rPr>
        <w:t>樂</w:t>
      </w:r>
      <w:r w:rsidRPr="009819CE">
        <w:rPr>
          <w:rFonts w:cs="Times New Roman"/>
          <w:sz w:val="24"/>
          <w:szCs w:val="24"/>
        </w:rPr>
        <w:t xml:space="preserve"> can be achieved, whether there are other important elements in addition to </w:t>
      </w:r>
      <w:r w:rsidRPr="009819CE">
        <w:rPr>
          <w:rFonts w:cs="Times New Roman"/>
          <w:i/>
          <w:iCs/>
          <w:sz w:val="24"/>
          <w:szCs w:val="24"/>
        </w:rPr>
        <w:t>an</w:t>
      </w:r>
      <w:r w:rsidRPr="009819CE">
        <w:rPr>
          <w:rFonts w:cs="Times New Roman"/>
          <w:i/>
          <w:iCs/>
          <w:sz w:val="24"/>
          <w:szCs w:val="24"/>
          <w:lang w:eastAsia="zh-TW"/>
        </w:rPr>
        <w:t xml:space="preserve"> </w:t>
      </w:r>
      <w:r w:rsidRPr="009819CE">
        <w:rPr>
          <w:rFonts w:ascii="MS Mincho" w:eastAsia="MS Mincho" w:hAnsi="MS Mincho" w:cs="MS Mincho" w:hint="eastAsia"/>
          <w:sz w:val="24"/>
          <w:szCs w:val="24"/>
          <w:lang w:eastAsia="zh-TW"/>
        </w:rPr>
        <w:t>安</w:t>
      </w:r>
      <w:r w:rsidRPr="009819CE">
        <w:rPr>
          <w:rFonts w:cs="Times New Roman"/>
          <w:sz w:val="24"/>
          <w:szCs w:val="24"/>
        </w:rPr>
        <w:t xml:space="preserve"> and </w:t>
      </w:r>
      <w:r w:rsidRPr="009819CE">
        <w:rPr>
          <w:rFonts w:cs="Times New Roman"/>
          <w:i/>
          <w:iCs/>
          <w:sz w:val="24"/>
          <w:szCs w:val="24"/>
        </w:rPr>
        <w:t xml:space="preserve">le </w:t>
      </w:r>
      <w:r w:rsidRPr="009819CE">
        <w:rPr>
          <w:rFonts w:ascii="MS Mincho" w:eastAsia="MS Mincho" w:hAnsi="MS Mincho" w:cs="MS Mincho" w:hint="eastAsia"/>
          <w:sz w:val="24"/>
          <w:szCs w:val="24"/>
        </w:rPr>
        <w:t>樂</w:t>
      </w:r>
      <w:r w:rsidRPr="009819CE">
        <w:rPr>
          <w:rFonts w:cs="Times New Roman"/>
          <w:sz w:val="24"/>
          <w:szCs w:val="24"/>
        </w:rPr>
        <w:t xml:space="preserve">, and what the process of moral cultivation is like continue to attract debates. </w:t>
      </w:r>
    </w:p>
    <w:p w14:paraId="1CEB8EA6"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 xml:space="preserve">Focusing on the </w:t>
      </w:r>
      <w:r w:rsidRPr="009819CE">
        <w:rPr>
          <w:rFonts w:cs="Times New Roman"/>
          <w:i/>
          <w:iCs/>
          <w:sz w:val="24"/>
          <w:szCs w:val="24"/>
        </w:rPr>
        <w:t>Analects</w:t>
      </w:r>
      <w:r w:rsidRPr="009819CE">
        <w:rPr>
          <w:rFonts w:cs="Times New Roman"/>
          <w:sz w:val="24"/>
          <w:szCs w:val="24"/>
        </w:rPr>
        <w:t xml:space="preserve">, one group of the experiential qualities that is conspicuously absent is the “negative” emotions. </w:t>
      </w:r>
      <w:r w:rsidRPr="009819CE">
        <w:rPr>
          <w:rFonts w:eastAsia="DengXian" w:cs="Times New Roman"/>
          <w:sz w:val="24"/>
          <w:szCs w:val="24"/>
        </w:rPr>
        <w:t>In contrast to an</w:t>
      </w:r>
      <w:r w:rsidRPr="009819CE">
        <w:rPr>
          <w:rFonts w:cs="Times New Roman"/>
          <w:i/>
          <w:iCs/>
          <w:sz w:val="24"/>
          <w:szCs w:val="24"/>
          <w:lang w:eastAsia="zh-TW"/>
        </w:rPr>
        <w:t xml:space="preserve"> </w:t>
      </w:r>
      <w:r w:rsidRPr="009819CE">
        <w:rPr>
          <w:rFonts w:ascii="MS Mincho" w:eastAsia="MS Mincho" w:hAnsi="MS Mincho" w:cs="MS Mincho" w:hint="eastAsia"/>
          <w:sz w:val="24"/>
          <w:szCs w:val="24"/>
          <w:lang w:eastAsia="zh-TW"/>
        </w:rPr>
        <w:t>安</w:t>
      </w:r>
      <w:r w:rsidRPr="009819CE">
        <w:rPr>
          <w:rFonts w:cs="Times New Roman"/>
          <w:sz w:val="24"/>
          <w:szCs w:val="24"/>
        </w:rPr>
        <w:t xml:space="preserve"> and </w:t>
      </w:r>
      <w:r w:rsidRPr="009819CE">
        <w:rPr>
          <w:rFonts w:cs="Times New Roman"/>
          <w:i/>
          <w:iCs/>
          <w:sz w:val="24"/>
          <w:szCs w:val="24"/>
        </w:rPr>
        <w:t xml:space="preserve">le </w:t>
      </w:r>
      <w:r w:rsidRPr="009819CE">
        <w:rPr>
          <w:rFonts w:ascii="MS Mincho" w:eastAsia="MS Mincho" w:hAnsi="MS Mincho" w:cs="MS Mincho" w:hint="eastAsia"/>
          <w:sz w:val="24"/>
          <w:szCs w:val="24"/>
        </w:rPr>
        <w:t>樂</w:t>
      </w:r>
      <w:r w:rsidRPr="009819CE">
        <w:rPr>
          <w:rFonts w:cs="Times New Roman"/>
          <w:sz w:val="24"/>
          <w:szCs w:val="24"/>
        </w:rPr>
        <w:t xml:space="preserve">, these emotions invoke sensations that are unpleasant in various ways. They include </w:t>
      </w:r>
      <w:proofErr w:type="spellStart"/>
      <w:r w:rsidRPr="009819CE">
        <w:rPr>
          <w:rFonts w:cs="Times New Roman"/>
          <w:i/>
          <w:iCs/>
          <w:sz w:val="24"/>
          <w:szCs w:val="24"/>
        </w:rPr>
        <w:t>you</w:t>
      </w:r>
      <w:r w:rsidRPr="009819CE">
        <w:rPr>
          <w:rFonts w:ascii="MS Gothic" w:eastAsia="MS Gothic" w:hAnsi="MS Gothic" w:cs="MS Gothic" w:hint="eastAsia"/>
          <w:sz w:val="24"/>
          <w:szCs w:val="24"/>
        </w:rPr>
        <w:t>憂</w:t>
      </w:r>
      <w:proofErr w:type="spellEnd"/>
      <w:r w:rsidRPr="009819CE">
        <w:rPr>
          <w:rFonts w:eastAsia="DengXian" w:cs="Times New Roman"/>
          <w:sz w:val="24"/>
          <w:szCs w:val="24"/>
        </w:rPr>
        <w:t xml:space="preserve">/worry (2.6, 6.11, 7.3, 7.19, 9.29, 12.4, 12.5, 14.28, 15.12, 15.32), </w:t>
      </w:r>
      <w:proofErr w:type="spellStart"/>
      <w:r w:rsidRPr="009819CE">
        <w:rPr>
          <w:rFonts w:eastAsia="DengXian" w:cs="Times New Roman"/>
          <w:i/>
          <w:iCs/>
          <w:sz w:val="24"/>
          <w:szCs w:val="24"/>
        </w:rPr>
        <w:t>yuan</w:t>
      </w:r>
      <w:r w:rsidRPr="009819CE">
        <w:rPr>
          <w:rFonts w:ascii="MS Gothic" w:eastAsia="MS Gothic" w:hAnsi="MS Gothic" w:cs="MS Gothic" w:hint="eastAsia"/>
          <w:sz w:val="24"/>
          <w:szCs w:val="24"/>
        </w:rPr>
        <w:t>怨</w:t>
      </w:r>
      <w:proofErr w:type="spellEnd"/>
      <w:r w:rsidRPr="009819CE">
        <w:rPr>
          <w:rFonts w:eastAsia="DengXian" w:cs="Times New Roman"/>
          <w:sz w:val="24"/>
          <w:szCs w:val="24"/>
        </w:rPr>
        <w:t xml:space="preserve">/ill will (4.12, 4.18, 5.23, 5.25, 7.15, 12.2, 14.1, 14.9, 14.10, 14.34, 14.35, 15.15), </w:t>
      </w:r>
      <w:r w:rsidRPr="009819CE">
        <w:rPr>
          <w:rFonts w:eastAsia="DengXian" w:cs="Times New Roman"/>
          <w:i/>
          <w:iCs/>
          <w:sz w:val="24"/>
          <w:szCs w:val="24"/>
        </w:rPr>
        <w:t xml:space="preserve">qi </w:t>
      </w:r>
      <w:r w:rsidRPr="009819CE">
        <w:rPr>
          <w:rFonts w:ascii="MS Gothic" w:eastAsia="MS Gothic" w:hAnsi="MS Gothic" w:cs="MS Gothic" w:hint="eastAsia"/>
          <w:sz w:val="24"/>
          <w:szCs w:val="24"/>
        </w:rPr>
        <w:t>戚</w:t>
      </w:r>
      <w:r w:rsidRPr="009819CE">
        <w:rPr>
          <w:rFonts w:eastAsia="DengXian" w:cs="Times New Roman"/>
          <w:sz w:val="24"/>
          <w:szCs w:val="24"/>
        </w:rPr>
        <w:t xml:space="preserve">/grief or deep worry (3.4, 7.37), </w:t>
      </w:r>
      <w:proofErr w:type="spellStart"/>
      <w:r w:rsidRPr="009819CE">
        <w:rPr>
          <w:rFonts w:eastAsia="DengXian" w:cs="Times New Roman"/>
          <w:i/>
          <w:iCs/>
          <w:sz w:val="24"/>
          <w:szCs w:val="24"/>
        </w:rPr>
        <w:t>chi</w:t>
      </w:r>
      <w:r w:rsidRPr="009819CE">
        <w:rPr>
          <w:rFonts w:ascii="MS Gothic" w:eastAsia="MS Gothic" w:hAnsi="MS Gothic" w:cs="MS Gothic" w:hint="eastAsia"/>
          <w:sz w:val="24"/>
          <w:szCs w:val="24"/>
        </w:rPr>
        <w:t>恥</w:t>
      </w:r>
      <w:proofErr w:type="spellEnd"/>
      <w:r w:rsidRPr="009819CE">
        <w:rPr>
          <w:rFonts w:eastAsia="DengXian" w:cs="Times New Roman"/>
          <w:sz w:val="24"/>
          <w:szCs w:val="24"/>
        </w:rPr>
        <w:t xml:space="preserve"> /shame (1.13, 2.3, 4.9, 4.22, 5.15, 5.25, 8.13, 9.27, 13.20, 14.1, 14.27), </w:t>
      </w:r>
      <w:proofErr w:type="spellStart"/>
      <w:r w:rsidRPr="009819CE">
        <w:rPr>
          <w:rFonts w:eastAsia="DengXian" w:cs="Times New Roman"/>
          <w:i/>
          <w:iCs/>
          <w:sz w:val="24"/>
          <w:szCs w:val="24"/>
        </w:rPr>
        <w:t>ru</w:t>
      </w:r>
      <w:proofErr w:type="spellEnd"/>
      <w:r w:rsidRPr="009819CE">
        <w:rPr>
          <w:rFonts w:eastAsia="DengXian" w:cs="Times New Roman"/>
          <w:sz w:val="24"/>
          <w:szCs w:val="24"/>
        </w:rPr>
        <w:t xml:space="preserve"> </w:t>
      </w:r>
      <w:r w:rsidRPr="009819CE">
        <w:rPr>
          <w:rFonts w:ascii="MS Gothic" w:eastAsia="MS Gothic" w:hAnsi="MS Gothic" w:cs="MS Gothic" w:hint="eastAsia"/>
          <w:sz w:val="24"/>
          <w:szCs w:val="24"/>
        </w:rPr>
        <w:t>辱</w:t>
      </w:r>
      <w:r w:rsidRPr="009819CE">
        <w:rPr>
          <w:rFonts w:eastAsia="DengXian" w:cs="Times New Roman"/>
          <w:sz w:val="24"/>
          <w:szCs w:val="24"/>
        </w:rPr>
        <w:t xml:space="preserve">/disgrace (1.13, 4.26, 12.23, 13.20), </w:t>
      </w:r>
      <w:proofErr w:type="spellStart"/>
      <w:r w:rsidRPr="009819CE">
        <w:rPr>
          <w:rFonts w:eastAsia="DengXian" w:cs="Times New Roman"/>
          <w:i/>
          <w:iCs/>
          <w:sz w:val="24"/>
          <w:szCs w:val="24"/>
        </w:rPr>
        <w:t>ai</w:t>
      </w:r>
      <w:r w:rsidRPr="009819CE">
        <w:rPr>
          <w:rFonts w:ascii="MS Gothic" w:eastAsia="MS Gothic" w:hAnsi="MS Gothic" w:cs="MS Gothic" w:hint="eastAsia"/>
          <w:sz w:val="24"/>
          <w:szCs w:val="24"/>
        </w:rPr>
        <w:t>哀</w:t>
      </w:r>
      <w:proofErr w:type="spellEnd"/>
      <w:r w:rsidRPr="009819CE">
        <w:rPr>
          <w:rFonts w:eastAsia="DengXian" w:cs="Times New Roman"/>
          <w:sz w:val="24"/>
          <w:szCs w:val="24"/>
        </w:rPr>
        <w:t xml:space="preserve">/sorrow (3.20, 3.26, 8.4), </w:t>
      </w:r>
      <w:proofErr w:type="spellStart"/>
      <w:r w:rsidRPr="009819CE">
        <w:rPr>
          <w:rFonts w:eastAsia="DengXian" w:cs="Times New Roman"/>
          <w:i/>
          <w:iCs/>
          <w:sz w:val="24"/>
          <w:szCs w:val="24"/>
        </w:rPr>
        <w:t>lü</w:t>
      </w:r>
      <w:r w:rsidRPr="009819CE">
        <w:rPr>
          <w:rFonts w:ascii="MS Gothic" w:eastAsia="MS Gothic" w:hAnsi="MS Gothic" w:cs="MS Gothic" w:hint="eastAsia"/>
          <w:sz w:val="24"/>
          <w:szCs w:val="24"/>
        </w:rPr>
        <w:t>慮</w:t>
      </w:r>
      <w:proofErr w:type="spellEnd"/>
      <w:r w:rsidRPr="009819CE">
        <w:rPr>
          <w:rFonts w:eastAsia="DengXian" w:cs="Times New Roman"/>
          <w:sz w:val="24"/>
          <w:szCs w:val="24"/>
        </w:rPr>
        <w:t xml:space="preserve">/concerns (15.12), </w:t>
      </w:r>
      <w:proofErr w:type="spellStart"/>
      <w:r w:rsidRPr="009819CE">
        <w:rPr>
          <w:rFonts w:eastAsia="DengXian" w:cs="Times New Roman"/>
          <w:i/>
          <w:iCs/>
          <w:sz w:val="24"/>
          <w:szCs w:val="24"/>
        </w:rPr>
        <w:t>ji</w:t>
      </w:r>
      <w:r w:rsidRPr="009819CE">
        <w:rPr>
          <w:rFonts w:ascii="MS Gothic" w:eastAsia="MS Gothic" w:hAnsi="MS Gothic" w:cs="MS Gothic" w:hint="eastAsia"/>
          <w:sz w:val="24"/>
          <w:szCs w:val="24"/>
        </w:rPr>
        <w:t>疾</w:t>
      </w:r>
      <w:proofErr w:type="spellEnd"/>
      <w:r w:rsidRPr="009819CE">
        <w:rPr>
          <w:rFonts w:eastAsia="DengXian" w:cs="Times New Roman"/>
          <w:sz w:val="24"/>
          <w:szCs w:val="24"/>
        </w:rPr>
        <w:t>/despise (8.10, 14.20, 15.20).</w:t>
      </w:r>
      <w:r w:rsidRPr="009819CE">
        <w:rPr>
          <w:rStyle w:val="FootnoteReference"/>
          <w:rFonts w:eastAsia="DengXian" w:cs="Times New Roman"/>
          <w:sz w:val="24"/>
          <w:szCs w:val="24"/>
        </w:rPr>
        <w:footnoteReference w:id="13"/>
      </w:r>
      <w:r w:rsidRPr="009819CE">
        <w:rPr>
          <w:rFonts w:eastAsia="DengXian" w:cs="Times New Roman"/>
          <w:sz w:val="24"/>
          <w:szCs w:val="24"/>
        </w:rPr>
        <w:t xml:space="preserve"> </w:t>
      </w:r>
      <w:r w:rsidRPr="009819CE">
        <w:rPr>
          <w:rFonts w:cs="Times New Roman"/>
          <w:sz w:val="24"/>
          <w:szCs w:val="24"/>
        </w:rPr>
        <w:t xml:space="preserve">More importantly, these emotions matter to moral cultivation. Confucius is said to have worries (7.3). A </w:t>
      </w:r>
      <w:r w:rsidRPr="009819CE">
        <w:rPr>
          <w:rFonts w:cs="Times New Roman"/>
          <w:i/>
          <w:iCs/>
          <w:sz w:val="24"/>
          <w:szCs w:val="24"/>
        </w:rPr>
        <w:t>junzi</w:t>
      </w:r>
      <w:r w:rsidRPr="009819CE">
        <w:rPr>
          <w:rFonts w:cs="Times New Roman"/>
          <w:sz w:val="24"/>
          <w:szCs w:val="24"/>
        </w:rPr>
        <w:t xml:space="preserve"> </w:t>
      </w:r>
      <w:proofErr w:type="spellStart"/>
      <w:r w:rsidRPr="009819CE">
        <w:rPr>
          <w:rFonts w:ascii="MS Gothic" w:eastAsia="MS Gothic" w:hAnsi="MS Gothic" w:cs="MS Gothic" w:hint="eastAsia"/>
          <w:sz w:val="24"/>
          <w:szCs w:val="24"/>
        </w:rPr>
        <w:t>君</w:t>
      </w:r>
      <w:r w:rsidRPr="009819CE">
        <w:rPr>
          <w:rFonts w:ascii="MS Mincho" w:eastAsia="MS Mincho" w:hAnsi="MS Mincho" w:cs="MS Mincho" w:hint="eastAsia"/>
          <w:sz w:val="24"/>
          <w:szCs w:val="24"/>
        </w:rPr>
        <w:t>子</w:t>
      </w:r>
      <w:proofErr w:type="spellEnd"/>
      <w:r w:rsidRPr="009819CE">
        <w:rPr>
          <w:rFonts w:cs="Times New Roman"/>
          <w:sz w:val="24"/>
          <w:szCs w:val="24"/>
        </w:rPr>
        <w:t xml:space="preserve">/exemplary person is supposed to have a sense of shame (13.20). Experiencing grief is appropriate and important for mourning (3.4). These characters and passages, therefore, give readers a warranted impression that negative emotions are important for moral cultivation in a </w:t>
      </w:r>
      <w:r w:rsidRPr="009819CE">
        <w:rPr>
          <w:rFonts w:cs="Times New Roman"/>
          <w:sz w:val="24"/>
          <w:szCs w:val="24"/>
        </w:rPr>
        <w:lastRenderedPageBreak/>
        <w:t xml:space="preserve">certain way. In what way exactly are these emotions important to moral cultivation? Focusing on </w:t>
      </w:r>
      <w:r w:rsidRPr="009819CE">
        <w:rPr>
          <w:rFonts w:cs="Times New Roman"/>
          <w:i/>
          <w:iCs/>
          <w:sz w:val="24"/>
          <w:szCs w:val="24"/>
        </w:rPr>
        <w:t>you</w:t>
      </w:r>
      <w:r w:rsidRPr="009819CE">
        <w:rPr>
          <w:rFonts w:cs="Times New Roman"/>
          <w:sz w:val="24"/>
          <w:szCs w:val="24"/>
        </w:rPr>
        <w:t xml:space="preserve"> </w:t>
      </w:r>
      <w:r w:rsidRPr="009819CE">
        <w:rPr>
          <w:rFonts w:ascii="MS Mincho" w:eastAsia="MS Mincho" w:hAnsi="MS Mincho" w:cs="MS Mincho" w:hint="eastAsia"/>
          <w:sz w:val="24"/>
          <w:szCs w:val="24"/>
        </w:rPr>
        <w:t>憂</w:t>
      </w:r>
      <w:r w:rsidRPr="009819CE">
        <w:rPr>
          <w:rFonts w:cs="Times New Roman"/>
          <w:sz w:val="24"/>
          <w:szCs w:val="24"/>
        </w:rPr>
        <w:t xml:space="preserve">/worry, I argue that worry is an indispensable part of Confucian moral cultivation, because developing oneself in the Confucian way implies learning to worry well, which involves learning to worry broadly about society in general, and to worry deeply about </w:t>
      </w:r>
      <w:proofErr w:type="gramStart"/>
      <w:r w:rsidRPr="009819CE">
        <w:rPr>
          <w:rFonts w:cs="Times New Roman"/>
          <w:sz w:val="24"/>
          <w:szCs w:val="24"/>
        </w:rPr>
        <w:t>particular individuals</w:t>
      </w:r>
      <w:proofErr w:type="gramEnd"/>
      <w:r w:rsidRPr="009819CE">
        <w:rPr>
          <w:rFonts w:cs="Times New Roman"/>
          <w:sz w:val="24"/>
          <w:szCs w:val="24"/>
        </w:rPr>
        <w:t xml:space="preserve"> standing in important relationship to us</w:t>
      </w:r>
      <w:r w:rsidRPr="009819CE">
        <w:rPr>
          <w:rFonts w:cs="Times New Roman"/>
          <w:i/>
          <w:iCs/>
          <w:sz w:val="24"/>
          <w:szCs w:val="24"/>
        </w:rPr>
        <w:t>.</w:t>
      </w:r>
    </w:p>
    <w:p w14:paraId="13CC486E"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 xml:space="preserve">In what follows, I first introduce the scholarly debate in which I participate. Regarding this debate, I discuss what I call the standard view and the minor view. Then, I argue for the significance of worry through analyzing the process of moral cultivation and two methods of moral cultivation, namely, extension and intensification. Lastly, I discuss implications of my view. </w:t>
      </w:r>
    </w:p>
    <w:p w14:paraId="1F035A70" w14:textId="77777777" w:rsidR="00830739" w:rsidRDefault="00830739" w:rsidP="00830739">
      <w:pPr>
        <w:pStyle w:val="Heading2"/>
        <w:rPr>
          <w:sz w:val="32"/>
          <w:szCs w:val="32"/>
        </w:rPr>
      </w:pPr>
      <w:bookmarkStart w:id="9" w:name="_Toc102412723"/>
      <w:r>
        <w:t>2: Scholarly Debates</w:t>
      </w:r>
      <w:bookmarkEnd w:id="9"/>
    </w:p>
    <w:p w14:paraId="5EB1302F" w14:textId="77777777" w:rsidR="00830739" w:rsidRPr="009819CE" w:rsidRDefault="00830739" w:rsidP="009819CE">
      <w:pPr>
        <w:spacing w:line="480" w:lineRule="auto"/>
        <w:ind w:firstLine="720"/>
        <w:rPr>
          <w:rFonts w:cs="Times New Roman"/>
          <w:sz w:val="24"/>
          <w:szCs w:val="24"/>
          <w:lang w:eastAsia="zh-CN"/>
        </w:rPr>
      </w:pPr>
      <w:r w:rsidRPr="009819CE">
        <w:rPr>
          <w:rFonts w:cs="Times New Roman"/>
          <w:sz w:val="24"/>
          <w:szCs w:val="24"/>
          <w:lang w:eastAsia="zh-TW"/>
        </w:rPr>
        <w:t xml:space="preserve">The scholarship on moral cultivation unanimously agree that the experiential qualities felt by a virtuous person is that of </w:t>
      </w:r>
      <w:r w:rsidRPr="009819CE">
        <w:rPr>
          <w:rFonts w:cs="Times New Roman"/>
          <w:i/>
          <w:iCs/>
          <w:sz w:val="24"/>
          <w:szCs w:val="24"/>
        </w:rPr>
        <w:t>an</w:t>
      </w:r>
      <w:r w:rsidRPr="009819CE">
        <w:rPr>
          <w:rFonts w:cs="Times New Roman"/>
          <w:i/>
          <w:iCs/>
          <w:sz w:val="24"/>
          <w:szCs w:val="24"/>
          <w:lang w:eastAsia="zh-TW"/>
        </w:rPr>
        <w:t xml:space="preserve"> </w:t>
      </w:r>
      <w:r w:rsidRPr="009819CE">
        <w:rPr>
          <w:rFonts w:ascii="MS Mincho" w:eastAsia="MS Mincho" w:hAnsi="MS Mincho" w:cs="MS Mincho" w:hint="eastAsia"/>
          <w:sz w:val="24"/>
          <w:szCs w:val="24"/>
          <w:lang w:eastAsia="zh-TW"/>
        </w:rPr>
        <w:t>安</w:t>
      </w:r>
      <w:r w:rsidRPr="009819CE">
        <w:rPr>
          <w:rFonts w:cs="Times New Roman"/>
          <w:sz w:val="24"/>
          <w:szCs w:val="24"/>
        </w:rPr>
        <w:t xml:space="preserve"> and </w:t>
      </w:r>
      <w:r w:rsidRPr="009819CE">
        <w:rPr>
          <w:rFonts w:cs="Times New Roman"/>
          <w:i/>
          <w:iCs/>
          <w:sz w:val="24"/>
          <w:szCs w:val="24"/>
        </w:rPr>
        <w:t xml:space="preserve">le </w:t>
      </w:r>
      <w:r w:rsidRPr="009819CE">
        <w:rPr>
          <w:rFonts w:ascii="MS Mincho" w:eastAsia="MS Mincho" w:hAnsi="MS Mincho" w:cs="MS Mincho" w:hint="eastAsia"/>
          <w:sz w:val="24"/>
          <w:szCs w:val="24"/>
        </w:rPr>
        <w:t>樂</w:t>
      </w:r>
      <w:r w:rsidRPr="009819CE">
        <w:rPr>
          <w:rFonts w:cs="Times New Roman"/>
          <w:sz w:val="24"/>
          <w:szCs w:val="24"/>
          <w:lang w:eastAsia="zh-TW"/>
        </w:rPr>
        <w:t xml:space="preserve">. She is capable of remaining steadfast and equanimous </w:t>
      </w:r>
      <w:r w:rsidRPr="009819CE">
        <w:rPr>
          <w:rFonts w:cs="Times New Roman"/>
          <w:sz w:val="24"/>
          <w:szCs w:val="24"/>
        </w:rPr>
        <w:t>when</w:t>
      </w:r>
      <w:r w:rsidRPr="009819CE">
        <w:rPr>
          <w:rFonts w:cs="Times New Roman"/>
          <w:sz w:val="24"/>
          <w:szCs w:val="24"/>
          <w:lang w:eastAsia="zh-TW"/>
        </w:rPr>
        <w:t xml:space="preserve"> facing great moral challenges</w:t>
      </w:r>
      <w:r w:rsidRPr="009819CE">
        <w:rPr>
          <w:rFonts w:cs="Times New Roman"/>
          <w:sz w:val="24"/>
          <w:szCs w:val="24"/>
        </w:rPr>
        <w:t xml:space="preserve"> and</w:t>
      </w:r>
      <w:r w:rsidRPr="009819CE">
        <w:rPr>
          <w:rFonts w:cs="Times New Roman"/>
          <w:sz w:val="24"/>
          <w:szCs w:val="24"/>
          <w:lang w:eastAsia="zh-TW"/>
        </w:rPr>
        <w:t xml:space="preserve"> experiencing joy and profound happiness with what life has to offer. The learning process, therefore, attends to ways that allow learners to remain composed against challenges, and develop nuanced senses of pleasure. This much is and ends the consensus. Questions such as how the end state of </w:t>
      </w:r>
      <w:r w:rsidRPr="009819CE">
        <w:rPr>
          <w:rFonts w:cs="Times New Roman"/>
          <w:i/>
          <w:iCs/>
          <w:sz w:val="24"/>
          <w:szCs w:val="24"/>
        </w:rPr>
        <w:t>an</w:t>
      </w:r>
      <w:r w:rsidRPr="009819CE">
        <w:rPr>
          <w:rFonts w:cs="Times New Roman"/>
          <w:i/>
          <w:iCs/>
          <w:sz w:val="24"/>
          <w:szCs w:val="24"/>
          <w:lang w:eastAsia="zh-TW"/>
        </w:rPr>
        <w:t xml:space="preserve"> </w:t>
      </w:r>
      <w:r w:rsidRPr="009819CE">
        <w:rPr>
          <w:rFonts w:ascii="MS Mincho" w:eastAsia="MS Mincho" w:hAnsi="MS Mincho" w:cs="MS Mincho" w:hint="eastAsia"/>
          <w:sz w:val="24"/>
          <w:szCs w:val="24"/>
          <w:lang w:eastAsia="zh-TW"/>
        </w:rPr>
        <w:t>安</w:t>
      </w:r>
      <w:r w:rsidRPr="009819CE">
        <w:rPr>
          <w:rFonts w:cs="Times New Roman"/>
          <w:sz w:val="24"/>
          <w:szCs w:val="24"/>
        </w:rPr>
        <w:t xml:space="preserve"> and </w:t>
      </w:r>
      <w:r w:rsidRPr="009819CE">
        <w:rPr>
          <w:rFonts w:cs="Times New Roman"/>
          <w:i/>
          <w:iCs/>
          <w:sz w:val="24"/>
          <w:szCs w:val="24"/>
        </w:rPr>
        <w:t xml:space="preserve">le </w:t>
      </w:r>
      <w:r w:rsidRPr="009819CE">
        <w:rPr>
          <w:rFonts w:ascii="MS Mincho" w:eastAsia="MS Mincho" w:hAnsi="MS Mincho" w:cs="MS Mincho" w:hint="eastAsia"/>
          <w:sz w:val="24"/>
          <w:szCs w:val="24"/>
        </w:rPr>
        <w:t>樂</w:t>
      </w:r>
      <w:r w:rsidRPr="009819CE">
        <w:rPr>
          <w:rFonts w:cs="Times New Roman"/>
          <w:sz w:val="24"/>
          <w:szCs w:val="24"/>
        </w:rPr>
        <w:t xml:space="preserve"> can be achieved, whether there are other important elements in addition to </w:t>
      </w:r>
      <w:r w:rsidRPr="009819CE">
        <w:rPr>
          <w:rFonts w:cs="Times New Roman"/>
          <w:i/>
          <w:iCs/>
          <w:sz w:val="24"/>
          <w:szCs w:val="24"/>
        </w:rPr>
        <w:t>an</w:t>
      </w:r>
      <w:r w:rsidRPr="009819CE">
        <w:rPr>
          <w:rFonts w:cs="Times New Roman"/>
          <w:i/>
          <w:iCs/>
          <w:sz w:val="24"/>
          <w:szCs w:val="24"/>
          <w:lang w:eastAsia="zh-TW"/>
        </w:rPr>
        <w:t xml:space="preserve"> </w:t>
      </w:r>
      <w:r w:rsidRPr="009819CE">
        <w:rPr>
          <w:rFonts w:ascii="MS Mincho" w:eastAsia="MS Mincho" w:hAnsi="MS Mincho" w:cs="MS Mincho" w:hint="eastAsia"/>
          <w:sz w:val="24"/>
          <w:szCs w:val="24"/>
          <w:lang w:eastAsia="zh-TW"/>
        </w:rPr>
        <w:t>安</w:t>
      </w:r>
      <w:r w:rsidRPr="009819CE">
        <w:rPr>
          <w:rFonts w:cs="Times New Roman"/>
          <w:sz w:val="24"/>
          <w:szCs w:val="24"/>
        </w:rPr>
        <w:t xml:space="preserve"> and </w:t>
      </w:r>
      <w:r w:rsidRPr="009819CE">
        <w:rPr>
          <w:rFonts w:cs="Times New Roman"/>
          <w:i/>
          <w:iCs/>
          <w:sz w:val="24"/>
          <w:szCs w:val="24"/>
        </w:rPr>
        <w:t xml:space="preserve">le </w:t>
      </w:r>
      <w:r w:rsidRPr="009819CE">
        <w:rPr>
          <w:rFonts w:ascii="MS Mincho" w:eastAsia="MS Mincho" w:hAnsi="MS Mincho" w:cs="MS Mincho" w:hint="eastAsia"/>
          <w:sz w:val="24"/>
          <w:szCs w:val="24"/>
        </w:rPr>
        <w:t>樂</w:t>
      </w:r>
      <w:r w:rsidRPr="009819CE">
        <w:rPr>
          <w:rFonts w:cs="Times New Roman"/>
          <w:sz w:val="24"/>
          <w:szCs w:val="24"/>
        </w:rPr>
        <w:t xml:space="preserve">, what the process of moral cultivation is like, and to the relevant degree, the details of the end state of moral cultivation continue to attract debates. </w:t>
      </w:r>
    </w:p>
    <w:p w14:paraId="4E926F70"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lang w:eastAsia="zh-TW"/>
        </w:rPr>
        <w:t xml:space="preserve">The standard view starts with the end stage of cultivation, which </w:t>
      </w:r>
      <w:r w:rsidRPr="009819CE">
        <w:rPr>
          <w:rFonts w:eastAsia="PMingLiU" w:cs="Times New Roman"/>
          <w:sz w:val="24"/>
          <w:szCs w:val="24"/>
          <w:lang w:eastAsia="zh-TW"/>
        </w:rPr>
        <w:t xml:space="preserve">is made vivid in the self-depiction of Confucius, whose joy is remarkably powerful and makes him forget worries and the arrival of old age (7.19). </w:t>
      </w:r>
      <w:r w:rsidRPr="009819CE">
        <w:rPr>
          <w:rFonts w:cs="Times New Roman"/>
          <w:sz w:val="24"/>
          <w:szCs w:val="24"/>
          <w:lang w:eastAsia="zh-TW"/>
        </w:rPr>
        <w:t xml:space="preserve">The key aspects that make possible this kind of joy (and the overall </w:t>
      </w:r>
      <w:r w:rsidRPr="009819CE">
        <w:rPr>
          <w:rFonts w:cs="Times New Roman"/>
          <w:sz w:val="24"/>
          <w:szCs w:val="24"/>
          <w:lang w:eastAsia="zh-TW"/>
        </w:rPr>
        <w:lastRenderedPageBreak/>
        <w:t>psychology) is a hierarchy of desires and a pattern of discernment. Confucius exemplifies a clear desire hierarchy. In words (4.5, 7.12, 7.16) and in deeds (15.2), he consistently and persistently values virtue over quotidian, mundane goods such as wealth, fame, and power. This hierarchy is often explained in relation to a pattern of discernment that effectively distinguishes what lies within one’s control and can be reliably gained through personal effort, from what lies outside of one’s control and cannot be reliably gained regardless of effort. The most important thing that is within one’s control is development of character. Everything else, including wealth, status, fame, and recognition, cannot be reliably gained and therefore, should be systematically treated as less important and only cared for when the means of attainment are morally proper</w:t>
      </w:r>
      <w:r w:rsidRPr="009819CE">
        <w:rPr>
          <w:rFonts w:cs="Times New Roman"/>
          <w:sz w:val="24"/>
          <w:szCs w:val="24"/>
        </w:rPr>
        <w:t xml:space="preserve">. </w:t>
      </w:r>
      <w:r w:rsidRPr="009819CE">
        <w:rPr>
          <w:rFonts w:eastAsia="PMingLiU" w:cs="Times New Roman"/>
          <w:sz w:val="24"/>
          <w:szCs w:val="24"/>
          <w:lang w:eastAsia="zh-TW"/>
        </w:rPr>
        <w:t xml:space="preserve">Moral cultivation aims to develop learners to be someone like Confucius, </w:t>
      </w:r>
      <w:proofErr w:type="gramStart"/>
      <w:r w:rsidRPr="009819CE">
        <w:rPr>
          <w:rFonts w:eastAsia="PMingLiU" w:cs="Times New Roman"/>
          <w:sz w:val="24"/>
          <w:szCs w:val="24"/>
          <w:lang w:eastAsia="zh-TW"/>
        </w:rPr>
        <w:t>and in particular, someone</w:t>
      </w:r>
      <w:proofErr w:type="gramEnd"/>
      <w:r w:rsidRPr="009819CE">
        <w:rPr>
          <w:rFonts w:eastAsia="PMingLiU" w:cs="Times New Roman"/>
          <w:sz w:val="24"/>
          <w:szCs w:val="24"/>
          <w:lang w:eastAsia="zh-TW"/>
        </w:rPr>
        <w:t xml:space="preserve"> who shares a similar evaluative outlook (i.e., both the hierarchy of desires and the pattern of discernment). Learners should be able to withstand temptations and challenges presented by the desirable-yet-morally-irrelevant goods. It is, therefore, an arduous process of aligning desires, judgment, and emotions where one gradually roots out one’s cares and worries associated with worldly, quotidian objects and redirects one’s attention to developing an excellent character. While undoubtedly difficult, learning is understood to be an overall enjoyable process the culmination of which results in a matured agent who experiences no fear nor worry, but only tranquility and joy. </w:t>
      </w:r>
    </w:p>
    <w:p w14:paraId="62C9F8E6" w14:textId="77777777" w:rsidR="00830739" w:rsidRPr="009819CE" w:rsidRDefault="00830739" w:rsidP="009819CE">
      <w:pPr>
        <w:spacing w:line="480" w:lineRule="auto"/>
        <w:ind w:firstLine="720"/>
        <w:rPr>
          <w:rFonts w:cs="Times New Roman"/>
          <w:sz w:val="24"/>
          <w:szCs w:val="24"/>
        </w:rPr>
      </w:pPr>
      <w:r w:rsidRPr="009819CE">
        <w:rPr>
          <w:rFonts w:eastAsia="PMingLiU" w:cs="Times New Roman"/>
          <w:sz w:val="24"/>
          <w:szCs w:val="24"/>
          <w:lang w:eastAsia="zh-TW"/>
        </w:rPr>
        <w:t xml:space="preserve">Many scholars, such as Edward Slingerland, Yu </w:t>
      </w:r>
      <w:proofErr w:type="spellStart"/>
      <w:r w:rsidRPr="009819CE">
        <w:rPr>
          <w:rFonts w:eastAsia="PMingLiU" w:cs="Times New Roman"/>
          <w:sz w:val="24"/>
          <w:szCs w:val="24"/>
          <w:lang w:eastAsia="zh-TW"/>
        </w:rPr>
        <w:t>Jiyuan</w:t>
      </w:r>
      <w:proofErr w:type="spellEnd"/>
      <w:r w:rsidRPr="009819CE">
        <w:rPr>
          <w:rFonts w:eastAsia="PMingLiU" w:cs="Times New Roman"/>
          <w:sz w:val="24"/>
          <w:szCs w:val="24"/>
          <w:lang w:eastAsia="zh-TW"/>
        </w:rPr>
        <w:t xml:space="preserve">, and more recently, </w:t>
      </w:r>
      <w:proofErr w:type="spellStart"/>
      <w:r w:rsidRPr="009819CE">
        <w:rPr>
          <w:rFonts w:eastAsia="PMingLiU" w:cs="Times New Roman"/>
          <w:sz w:val="24"/>
          <w:szCs w:val="24"/>
          <w:lang w:eastAsia="zh-TW"/>
        </w:rPr>
        <w:t>Yuet</w:t>
      </w:r>
      <w:proofErr w:type="spellEnd"/>
      <w:r w:rsidRPr="009819CE">
        <w:rPr>
          <w:rFonts w:eastAsia="PMingLiU" w:cs="Times New Roman"/>
          <w:sz w:val="24"/>
          <w:szCs w:val="24"/>
          <w:lang w:eastAsia="zh-TW"/>
        </w:rPr>
        <w:t xml:space="preserve"> Keung Lo and Yao </w:t>
      </w:r>
      <w:proofErr w:type="spellStart"/>
      <w:r w:rsidRPr="009819CE">
        <w:rPr>
          <w:rFonts w:eastAsia="PMingLiU" w:cs="Times New Roman"/>
          <w:sz w:val="24"/>
          <w:szCs w:val="24"/>
          <w:lang w:eastAsia="zh-TW"/>
        </w:rPr>
        <w:t>Xinzhong</w:t>
      </w:r>
      <w:proofErr w:type="spellEnd"/>
      <w:r w:rsidRPr="009819CE">
        <w:rPr>
          <w:rFonts w:eastAsia="PMingLiU" w:cs="Times New Roman"/>
          <w:sz w:val="24"/>
          <w:szCs w:val="24"/>
          <w:lang w:eastAsia="zh-TW"/>
        </w:rPr>
        <w:t xml:space="preserve"> argue for this standard line of interpretation.</w:t>
      </w:r>
      <w:r w:rsidRPr="009819CE">
        <w:rPr>
          <w:rStyle w:val="FootnoteReference"/>
          <w:rFonts w:eastAsia="PMingLiU" w:cs="Times New Roman"/>
          <w:sz w:val="24"/>
          <w:szCs w:val="24"/>
          <w:lang w:eastAsia="zh-TW"/>
        </w:rPr>
        <w:footnoteReference w:id="14"/>
      </w:r>
      <w:r w:rsidRPr="009819CE">
        <w:rPr>
          <w:rFonts w:eastAsia="PMingLiU" w:cs="Times New Roman"/>
          <w:sz w:val="24"/>
          <w:szCs w:val="24"/>
          <w:lang w:eastAsia="zh-TW"/>
        </w:rPr>
        <w:t xml:space="preserve">  Slingerland’s papers, while </w:t>
      </w:r>
      <w:r w:rsidRPr="009819CE">
        <w:rPr>
          <w:rFonts w:eastAsia="PMingLiU" w:cs="Times New Roman"/>
          <w:sz w:val="24"/>
          <w:szCs w:val="24"/>
          <w:lang w:eastAsia="zh-TW"/>
        </w:rPr>
        <w:lastRenderedPageBreak/>
        <w:t xml:space="preserve">published early, is the most thorough and thus, representative of this line of interpretation. He argues that the </w:t>
      </w:r>
      <w:r w:rsidRPr="009819CE">
        <w:rPr>
          <w:rFonts w:eastAsia="PMingLiU" w:cs="Times New Roman"/>
          <w:i/>
          <w:iCs/>
          <w:sz w:val="24"/>
          <w:szCs w:val="24"/>
          <w:lang w:eastAsia="zh-TW"/>
        </w:rPr>
        <w:t xml:space="preserve">Analects </w:t>
      </w:r>
      <w:r w:rsidRPr="009819CE">
        <w:rPr>
          <w:rFonts w:eastAsia="PMingLiU" w:cs="Times New Roman"/>
          <w:sz w:val="24"/>
          <w:szCs w:val="24"/>
          <w:lang w:eastAsia="zh-TW"/>
        </w:rPr>
        <w:t xml:space="preserve">utilizes a dichotomy of the “inner-outer” </w:t>
      </w:r>
      <w:proofErr w:type="spellStart"/>
      <w:r w:rsidRPr="009819CE">
        <w:rPr>
          <w:rFonts w:eastAsia="PMingLiU" w:cs="Times New Roman"/>
          <w:i/>
          <w:iCs/>
          <w:sz w:val="24"/>
          <w:szCs w:val="24"/>
          <w:lang w:eastAsia="zh-TW"/>
        </w:rPr>
        <w:t>nei</w:t>
      </w:r>
      <w:proofErr w:type="spellEnd"/>
      <w:r w:rsidRPr="009819CE">
        <w:rPr>
          <w:rFonts w:eastAsia="PMingLiU" w:cs="Times New Roman"/>
          <w:sz w:val="24"/>
          <w:szCs w:val="24"/>
          <w:lang w:eastAsia="zh-TW"/>
        </w:rPr>
        <w:t>/</w:t>
      </w:r>
      <w:proofErr w:type="spellStart"/>
      <w:r w:rsidRPr="009819CE">
        <w:rPr>
          <w:rFonts w:eastAsia="PMingLiU" w:cs="Times New Roman"/>
          <w:i/>
          <w:iCs/>
          <w:sz w:val="24"/>
          <w:szCs w:val="24"/>
          <w:lang w:eastAsia="zh-TW"/>
        </w:rPr>
        <w:t>wai</w:t>
      </w:r>
      <w:proofErr w:type="spellEnd"/>
      <w:r w:rsidRPr="009819CE">
        <w:rPr>
          <w:rFonts w:eastAsia="PMingLiU" w:cs="Times New Roman"/>
          <w:sz w:val="24"/>
          <w:szCs w:val="24"/>
          <w:lang w:eastAsia="zh-TW"/>
        </w:rPr>
        <w:t xml:space="preserve"> </w:t>
      </w:r>
      <w:r w:rsidRPr="009819CE">
        <w:rPr>
          <w:rFonts w:ascii="MS Gothic" w:eastAsia="MS Gothic" w:hAnsi="MS Gothic" w:cs="MS Gothic" w:hint="eastAsia"/>
          <w:sz w:val="24"/>
          <w:szCs w:val="24"/>
          <w:lang w:eastAsia="zh-TW"/>
        </w:rPr>
        <w:t>内</w:t>
      </w:r>
      <w:r w:rsidRPr="009819CE">
        <w:rPr>
          <w:rFonts w:ascii="MS Mincho" w:eastAsia="MS Mincho" w:hAnsi="MS Mincho" w:cs="MS Mincho" w:hint="eastAsia"/>
          <w:sz w:val="24"/>
          <w:szCs w:val="24"/>
          <w:lang w:eastAsia="zh-TW"/>
        </w:rPr>
        <w:t>外</w:t>
      </w:r>
      <w:r w:rsidRPr="009819CE">
        <w:rPr>
          <w:rFonts w:cs="Times New Roman"/>
          <w:sz w:val="24"/>
          <w:szCs w:val="24"/>
        </w:rPr>
        <w:t xml:space="preserve"> realm to guide learners’ attention in moral cultivation. The outer realm consists of such matters as “life and death, fame and disgrace, wealth and poverty,” all of which are subject to forces of </w:t>
      </w:r>
      <w:proofErr w:type="spellStart"/>
      <w:r w:rsidRPr="009819CE">
        <w:rPr>
          <w:rFonts w:cs="Times New Roman"/>
          <w:i/>
          <w:iCs/>
          <w:sz w:val="24"/>
          <w:szCs w:val="24"/>
        </w:rPr>
        <w:t>ming</w:t>
      </w:r>
      <w:proofErr w:type="spellEnd"/>
      <w:r w:rsidRPr="009819CE">
        <w:rPr>
          <w:rFonts w:cs="Times New Roman"/>
          <w:i/>
          <w:iCs/>
          <w:sz w:val="24"/>
          <w:szCs w:val="24"/>
        </w:rPr>
        <w:t xml:space="preserve"> </w:t>
      </w:r>
      <w:r w:rsidRPr="009819CE">
        <w:rPr>
          <w:rFonts w:ascii="MS Mincho" w:eastAsia="MS Mincho" w:hAnsi="MS Mincho" w:cs="MS Mincho" w:hint="eastAsia"/>
          <w:sz w:val="24"/>
          <w:szCs w:val="24"/>
        </w:rPr>
        <w:t>命</w:t>
      </w:r>
      <w:r w:rsidRPr="009819CE">
        <w:rPr>
          <w:rFonts w:cs="Times New Roman"/>
          <w:sz w:val="24"/>
          <w:szCs w:val="24"/>
        </w:rPr>
        <w:t>, or roughly, fate, and therefore, are “beyond the bounds of proper human endeavor.”</w:t>
      </w:r>
      <w:r w:rsidRPr="009819CE">
        <w:rPr>
          <w:rStyle w:val="FootnoteReference"/>
          <w:rFonts w:cs="Times New Roman"/>
          <w:sz w:val="24"/>
          <w:szCs w:val="24"/>
        </w:rPr>
        <w:footnoteReference w:id="15"/>
      </w:r>
      <w:r w:rsidRPr="009819CE">
        <w:rPr>
          <w:rFonts w:cs="Times New Roman"/>
          <w:sz w:val="24"/>
          <w:szCs w:val="24"/>
        </w:rPr>
        <w:t xml:space="preserve"> Dedicated learners should not be concerned about these matters because they “[divert] energy away from the process of self-cultivation, but is also pointless in a purely practical sense, since these things lie outside of human control.”</w:t>
      </w:r>
      <w:r w:rsidRPr="009819CE">
        <w:rPr>
          <w:rStyle w:val="FootnoteReference"/>
          <w:rFonts w:cs="Times New Roman"/>
          <w:sz w:val="24"/>
          <w:szCs w:val="24"/>
        </w:rPr>
        <w:footnoteReference w:id="16"/>
      </w:r>
      <w:r w:rsidRPr="009819CE">
        <w:rPr>
          <w:rFonts w:cs="Times New Roman"/>
          <w:sz w:val="24"/>
          <w:szCs w:val="24"/>
        </w:rPr>
        <w:t xml:space="preserve"> In contrast, the inner realm is the realm relating to one’s character and virtue, which lies fully within one’s control. Focusing on the inner realm and the goods obtainable only in the inner realm – such as the pleasure found in conducting virtuous activities – the agent can learn to face the capriciousness of the outside world “with no worry or fear, </w:t>
      </w:r>
      <w:proofErr w:type="spellStart"/>
      <w:r w:rsidRPr="009819CE">
        <w:rPr>
          <w:rFonts w:cs="Times New Roman"/>
          <w:sz w:val="24"/>
          <w:szCs w:val="24"/>
        </w:rPr>
        <w:t>bu</w:t>
      </w:r>
      <w:proofErr w:type="spellEnd"/>
      <w:r w:rsidRPr="009819CE">
        <w:rPr>
          <w:rFonts w:cs="Times New Roman"/>
          <w:sz w:val="24"/>
          <w:szCs w:val="24"/>
        </w:rPr>
        <w:t xml:space="preserve"> you </w:t>
      </w:r>
      <w:proofErr w:type="spellStart"/>
      <w:r w:rsidRPr="009819CE">
        <w:rPr>
          <w:rFonts w:cs="Times New Roman"/>
          <w:sz w:val="24"/>
          <w:szCs w:val="24"/>
        </w:rPr>
        <w:t>bu</w:t>
      </w:r>
      <w:proofErr w:type="spellEnd"/>
      <w:r w:rsidRPr="009819CE">
        <w:rPr>
          <w:rFonts w:cs="Times New Roman"/>
          <w:sz w:val="24"/>
          <w:szCs w:val="24"/>
        </w:rPr>
        <w:t xml:space="preserve"> </w:t>
      </w:r>
      <w:proofErr w:type="spellStart"/>
      <w:r w:rsidRPr="009819CE">
        <w:rPr>
          <w:rFonts w:cs="Times New Roman"/>
          <w:sz w:val="24"/>
          <w:szCs w:val="24"/>
        </w:rPr>
        <w:t>ju</w:t>
      </w:r>
      <w:r w:rsidRPr="009819CE">
        <w:rPr>
          <w:rFonts w:ascii="MS Gothic" w:eastAsia="MS Gothic" w:hAnsi="MS Gothic" w:cs="MS Gothic" w:hint="eastAsia"/>
          <w:sz w:val="24"/>
          <w:szCs w:val="24"/>
        </w:rPr>
        <w:t>不憂不</w:t>
      </w:r>
      <w:r w:rsidRPr="009819CE">
        <w:rPr>
          <w:rFonts w:ascii="MS Mincho" w:eastAsia="MS Mincho" w:hAnsi="MS Mincho" w:cs="MS Mincho" w:hint="eastAsia"/>
          <w:sz w:val="24"/>
          <w:szCs w:val="24"/>
        </w:rPr>
        <w:t>懼</w:t>
      </w:r>
      <w:proofErr w:type="spellEnd"/>
      <w:r w:rsidRPr="009819CE">
        <w:rPr>
          <w:rFonts w:cs="Times New Roman"/>
          <w:sz w:val="24"/>
          <w:szCs w:val="24"/>
        </w:rPr>
        <w:t>” (12.4) and be satisfied with the joy found within.</w:t>
      </w:r>
    </w:p>
    <w:p w14:paraId="795E67E4" w14:textId="77777777" w:rsidR="00830739" w:rsidRPr="009819CE" w:rsidRDefault="00830739" w:rsidP="009819CE">
      <w:pPr>
        <w:spacing w:line="480" w:lineRule="auto"/>
        <w:ind w:firstLine="720"/>
        <w:rPr>
          <w:rFonts w:eastAsia="PMingLiU" w:cs="Times New Roman"/>
          <w:sz w:val="24"/>
          <w:szCs w:val="24"/>
          <w:lang w:eastAsia="zh-TW"/>
        </w:rPr>
      </w:pPr>
      <w:r w:rsidRPr="009819CE">
        <w:rPr>
          <w:rFonts w:cs="Times New Roman"/>
          <w:sz w:val="24"/>
          <w:szCs w:val="24"/>
        </w:rPr>
        <w:t xml:space="preserve">Yu </w:t>
      </w:r>
      <w:proofErr w:type="spellStart"/>
      <w:r w:rsidRPr="009819CE">
        <w:rPr>
          <w:rFonts w:cs="Times New Roman"/>
          <w:sz w:val="24"/>
          <w:szCs w:val="24"/>
        </w:rPr>
        <w:t>Jiyuan</w:t>
      </w:r>
      <w:proofErr w:type="spellEnd"/>
      <w:r w:rsidRPr="009819CE">
        <w:rPr>
          <w:rFonts w:cs="Times New Roman"/>
          <w:sz w:val="24"/>
          <w:szCs w:val="24"/>
        </w:rPr>
        <w:t xml:space="preserve"> similarly argues that “a virtuous or excellent person should not be disturbed by the lack of external goods” because these things “could not be controlled or altered by a human agent, regardless of whether he or she is virtuous.”</w:t>
      </w:r>
      <w:r w:rsidRPr="009819CE">
        <w:rPr>
          <w:rStyle w:val="FootnoteReference"/>
          <w:rFonts w:cs="Times New Roman"/>
          <w:sz w:val="24"/>
          <w:szCs w:val="24"/>
        </w:rPr>
        <w:footnoteReference w:id="17"/>
      </w:r>
      <w:r w:rsidRPr="009819CE">
        <w:rPr>
          <w:rFonts w:cs="Times New Roman"/>
          <w:sz w:val="24"/>
          <w:szCs w:val="24"/>
        </w:rPr>
        <w:t xml:space="preserve"> Instead, she “enjoys peace of mind and experiences no worries, fear and inner conflict (A, 4:4, 12:4).”</w:t>
      </w:r>
      <w:r w:rsidRPr="009819CE">
        <w:rPr>
          <w:rStyle w:val="FootnoteReference"/>
          <w:rFonts w:cs="Times New Roman"/>
          <w:sz w:val="24"/>
          <w:szCs w:val="24"/>
        </w:rPr>
        <w:footnoteReference w:id="18"/>
      </w:r>
      <w:r w:rsidRPr="009819CE">
        <w:rPr>
          <w:rFonts w:cs="Times New Roman"/>
          <w:sz w:val="24"/>
          <w:szCs w:val="24"/>
        </w:rPr>
        <w:t xml:space="preserve"> </w:t>
      </w:r>
      <w:r w:rsidRPr="009819CE">
        <w:rPr>
          <w:rFonts w:eastAsia="PMingLiU" w:cs="Times New Roman"/>
          <w:sz w:val="24"/>
          <w:szCs w:val="24"/>
          <w:lang w:eastAsia="zh-TW"/>
        </w:rPr>
        <w:t xml:space="preserve">Yao </w:t>
      </w:r>
      <w:proofErr w:type="spellStart"/>
      <w:r w:rsidRPr="009819CE">
        <w:rPr>
          <w:rFonts w:eastAsia="PMingLiU" w:cs="Times New Roman"/>
          <w:sz w:val="24"/>
          <w:szCs w:val="24"/>
          <w:lang w:eastAsia="zh-TW"/>
        </w:rPr>
        <w:t>Xinzhong</w:t>
      </w:r>
      <w:proofErr w:type="spellEnd"/>
      <w:r w:rsidRPr="009819CE">
        <w:rPr>
          <w:rFonts w:eastAsia="PMingLiU" w:cs="Times New Roman"/>
          <w:sz w:val="24"/>
          <w:szCs w:val="24"/>
          <w:lang w:eastAsia="zh-TW"/>
        </w:rPr>
        <w:t xml:space="preserve"> cites a different passage of 16.5 and argues that Confucius makes a distinction between “beneficial joy and harmful joy” that corresponds to roughly, the joy of virtuous living and the pleasure of fulfilling material needs and desires.</w:t>
      </w:r>
      <w:r w:rsidRPr="009819CE">
        <w:rPr>
          <w:rStyle w:val="FootnoteReference"/>
          <w:rFonts w:eastAsia="PMingLiU" w:cs="Times New Roman"/>
          <w:sz w:val="24"/>
          <w:szCs w:val="24"/>
          <w:lang w:eastAsia="zh-TW"/>
        </w:rPr>
        <w:footnoteReference w:id="19"/>
      </w:r>
      <w:r w:rsidRPr="009819CE">
        <w:rPr>
          <w:rFonts w:eastAsia="PMingLiU" w:cs="Times New Roman"/>
          <w:sz w:val="24"/>
          <w:szCs w:val="24"/>
          <w:lang w:eastAsia="zh-TW"/>
        </w:rPr>
        <w:t xml:space="preserve"> Only the first kind is the true joy that is lasting and deeply </w:t>
      </w:r>
      <w:r w:rsidRPr="009819CE">
        <w:rPr>
          <w:rFonts w:eastAsia="PMingLiU" w:cs="Times New Roman"/>
          <w:sz w:val="24"/>
          <w:szCs w:val="24"/>
          <w:lang w:eastAsia="zh-TW"/>
        </w:rPr>
        <w:lastRenderedPageBreak/>
        <w:t xml:space="preserve">satisfying. </w:t>
      </w:r>
      <w:proofErr w:type="spellStart"/>
      <w:r w:rsidRPr="009819CE">
        <w:rPr>
          <w:rFonts w:cs="Times New Roman"/>
          <w:sz w:val="24"/>
          <w:szCs w:val="24"/>
        </w:rPr>
        <w:t>Yuet</w:t>
      </w:r>
      <w:proofErr w:type="spellEnd"/>
      <w:r w:rsidRPr="009819CE">
        <w:rPr>
          <w:rFonts w:cs="Times New Roman"/>
          <w:sz w:val="24"/>
          <w:szCs w:val="24"/>
        </w:rPr>
        <w:t xml:space="preserve"> Keung Lo agrees with the consensus that the text has a clear “emphasis on delight in the experience of learning,” but attends to a different set of problems that can plague learners, namely, the lack of recognition by others</w:t>
      </w:r>
      <w:r w:rsidRPr="009819CE">
        <w:rPr>
          <w:rFonts w:eastAsia="PMingLiU" w:cs="Times New Roman"/>
          <w:sz w:val="24"/>
          <w:szCs w:val="24"/>
          <w:lang w:eastAsia="zh-TW"/>
        </w:rPr>
        <w:t>. As much as community is capable of bringing joy and delight to learners through companionship and collaborative activities, it can equally dishearten learners when one’s true worth is “underappreciated, misunderstood, or simply neglected.”</w:t>
      </w:r>
      <w:r w:rsidRPr="009819CE">
        <w:rPr>
          <w:rStyle w:val="FootnoteReference"/>
          <w:rFonts w:eastAsia="PMingLiU" w:cs="Times New Roman"/>
          <w:sz w:val="24"/>
          <w:szCs w:val="24"/>
          <w:lang w:eastAsia="zh-TW"/>
        </w:rPr>
        <w:footnoteReference w:id="20"/>
      </w:r>
      <w:r w:rsidRPr="009819CE">
        <w:rPr>
          <w:rFonts w:eastAsia="PMingLiU" w:cs="Times New Roman"/>
          <w:sz w:val="24"/>
          <w:szCs w:val="24"/>
          <w:lang w:eastAsia="zh-TW"/>
        </w:rPr>
        <w:t xml:space="preserve"> Lo thinks that this presents the greatest challenge to cultivation, and learners should confront such a challenge by recognizing that they engage in the project of </w:t>
      </w:r>
      <w:r w:rsidRPr="009819CE">
        <w:rPr>
          <w:rFonts w:eastAsia="PMingLiU" w:cs="Times New Roman"/>
          <w:i/>
          <w:iCs/>
          <w:sz w:val="24"/>
          <w:szCs w:val="24"/>
          <w:lang w:eastAsia="zh-TW"/>
        </w:rPr>
        <w:t>self</w:t>
      </w:r>
      <w:r w:rsidRPr="009819CE">
        <w:rPr>
          <w:rFonts w:eastAsia="PMingLiU" w:cs="Times New Roman"/>
          <w:sz w:val="24"/>
          <w:szCs w:val="24"/>
          <w:lang w:eastAsia="zh-TW"/>
        </w:rPr>
        <w:t>-cultivation, the fulfillment and completion of which cannot be compromised by lack of recognition by others. Difficult as it can be, learners can eventually achieve “spiritual homeostasis anchored in self-fulfillment and unruffled by lack of appreciation from his community.”</w:t>
      </w:r>
      <w:r w:rsidRPr="009819CE">
        <w:rPr>
          <w:rStyle w:val="FootnoteReference"/>
          <w:rFonts w:eastAsia="PMingLiU" w:cs="Times New Roman"/>
          <w:sz w:val="24"/>
          <w:szCs w:val="24"/>
          <w:lang w:eastAsia="zh-TW"/>
        </w:rPr>
        <w:footnoteReference w:id="21"/>
      </w:r>
      <w:r w:rsidRPr="009819CE">
        <w:rPr>
          <w:rFonts w:eastAsia="PMingLiU" w:cs="Times New Roman"/>
          <w:sz w:val="24"/>
          <w:szCs w:val="24"/>
          <w:lang w:eastAsia="zh-TW"/>
        </w:rPr>
        <w:tab/>
      </w:r>
    </w:p>
    <w:p w14:paraId="35C49BF3" w14:textId="77777777" w:rsidR="00830739" w:rsidRPr="009819CE" w:rsidRDefault="00830739" w:rsidP="009819CE">
      <w:pPr>
        <w:spacing w:line="480" w:lineRule="auto"/>
        <w:ind w:firstLine="720"/>
        <w:rPr>
          <w:rFonts w:eastAsia="PMingLiU" w:cs="Times New Roman"/>
          <w:sz w:val="24"/>
          <w:szCs w:val="24"/>
          <w:lang w:eastAsia="zh-TW"/>
        </w:rPr>
      </w:pPr>
      <w:r w:rsidRPr="009819CE">
        <w:rPr>
          <w:rFonts w:eastAsia="PMingLiU" w:cs="Times New Roman"/>
          <w:sz w:val="24"/>
          <w:szCs w:val="24"/>
          <w:lang w:eastAsia="zh-TW"/>
        </w:rPr>
        <w:t xml:space="preserve">To summarize, the standard interpretation shares two characteristics: First, moral cultivation involves two key components, namely, a proper hierarchy of desires and the pattern of judgment that focuses on what one can control; and second, the agent gradually becomes worry-free and joyful through dedicated cultivation. </w:t>
      </w:r>
    </w:p>
    <w:p w14:paraId="529F9883" w14:textId="77777777" w:rsidR="00830739" w:rsidRPr="009819CE" w:rsidRDefault="00830739" w:rsidP="009819CE">
      <w:pPr>
        <w:spacing w:line="480" w:lineRule="auto"/>
        <w:ind w:firstLine="720"/>
        <w:rPr>
          <w:rFonts w:eastAsia="DengXian" w:cs="Times New Roman"/>
          <w:sz w:val="24"/>
          <w:szCs w:val="24"/>
          <w:lang w:eastAsia="zh-CN"/>
        </w:rPr>
      </w:pPr>
      <w:r w:rsidRPr="009819CE">
        <w:rPr>
          <w:rFonts w:eastAsia="PMingLiU" w:cs="Times New Roman"/>
          <w:sz w:val="24"/>
          <w:szCs w:val="24"/>
          <w:lang w:eastAsia="zh-TW"/>
        </w:rPr>
        <w:t xml:space="preserve">In contrast to the standard view, </w:t>
      </w:r>
      <w:r w:rsidRPr="009819CE">
        <w:rPr>
          <w:rFonts w:eastAsia="DengXian" w:cs="Times New Roman"/>
          <w:sz w:val="24"/>
          <w:szCs w:val="24"/>
        </w:rPr>
        <w:t xml:space="preserve">there is a minor trend in different Confucian texts and interpretations that emphasize the significance of worry, the most noticeable of which is the claim in </w:t>
      </w:r>
      <w:r w:rsidRPr="009819CE">
        <w:rPr>
          <w:rFonts w:eastAsia="DengXian" w:cs="Times New Roman"/>
          <w:i/>
          <w:iCs/>
          <w:sz w:val="24"/>
          <w:szCs w:val="24"/>
        </w:rPr>
        <w:t>Mengzi</w:t>
      </w:r>
      <w:r w:rsidRPr="009819CE">
        <w:rPr>
          <w:rFonts w:eastAsia="DengXian" w:cs="Times New Roman"/>
          <w:sz w:val="24"/>
          <w:szCs w:val="24"/>
        </w:rPr>
        <w:t xml:space="preserve"> that “gentleman has life-long worries (about moral cultivation) </w:t>
      </w:r>
      <w:proofErr w:type="spellStart"/>
      <w:r w:rsidRPr="009819CE">
        <w:rPr>
          <w:rFonts w:ascii="MS Gothic" w:eastAsia="MS Gothic" w:hAnsi="MS Gothic" w:cs="MS Gothic" w:hint="eastAsia"/>
          <w:sz w:val="24"/>
          <w:szCs w:val="24"/>
        </w:rPr>
        <w:t>君子有終生之憂</w:t>
      </w:r>
      <w:proofErr w:type="spellEnd"/>
      <w:proofErr w:type="gramStart"/>
      <w:r w:rsidRPr="009819CE">
        <w:rPr>
          <w:rFonts w:eastAsia="DengXian" w:cs="Times New Roman"/>
          <w:sz w:val="24"/>
          <w:szCs w:val="24"/>
        </w:rPr>
        <w:t>.”(</w:t>
      </w:r>
      <w:proofErr w:type="gramEnd"/>
      <w:r w:rsidRPr="009819CE">
        <w:rPr>
          <w:rFonts w:eastAsia="DengXian" w:cs="Times New Roman"/>
          <w:sz w:val="24"/>
          <w:szCs w:val="24"/>
        </w:rPr>
        <w:t xml:space="preserve">4B28) The text further elaborates that this is the worry about morally falling behind sage kings with whom one shares the same nature. The enormous difference between a learner and sage kings should register as a life-long worry that ceaselessly propels one to improve. </w:t>
      </w:r>
    </w:p>
    <w:p w14:paraId="4FAAAE42" w14:textId="77777777" w:rsidR="00830739" w:rsidRPr="009819CE" w:rsidRDefault="00830739" w:rsidP="009819CE">
      <w:pPr>
        <w:spacing w:line="480" w:lineRule="auto"/>
        <w:ind w:firstLine="720"/>
        <w:rPr>
          <w:rFonts w:eastAsiaTheme="minorEastAsia" w:cs="Times New Roman"/>
          <w:sz w:val="24"/>
          <w:szCs w:val="24"/>
        </w:rPr>
      </w:pPr>
      <w:r w:rsidRPr="009819CE">
        <w:rPr>
          <w:rFonts w:eastAsia="DengXian" w:cs="Times New Roman"/>
          <w:sz w:val="24"/>
          <w:szCs w:val="24"/>
        </w:rPr>
        <w:lastRenderedPageBreak/>
        <w:t xml:space="preserve">In terms of the </w:t>
      </w:r>
      <w:r w:rsidRPr="009819CE">
        <w:rPr>
          <w:rFonts w:eastAsia="DengXian" w:cs="Times New Roman"/>
          <w:i/>
          <w:iCs/>
          <w:sz w:val="24"/>
          <w:szCs w:val="24"/>
        </w:rPr>
        <w:t>Analects</w:t>
      </w:r>
      <w:r w:rsidRPr="009819CE">
        <w:rPr>
          <w:rFonts w:eastAsia="DengXian" w:cs="Times New Roman"/>
          <w:sz w:val="24"/>
          <w:szCs w:val="24"/>
        </w:rPr>
        <w:t>,</w:t>
      </w:r>
      <w:r w:rsidRPr="009819CE">
        <w:rPr>
          <w:rFonts w:eastAsia="DengXian" w:cs="Times New Roman"/>
          <w:i/>
          <w:iCs/>
          <w:sz w:val="24"/>
          <w:szCs w:val="24"/>
        </w:rPr>
        <w:t xml:space="preserve"> </w:t>
      </w:r>
      <w:r w:rsidRPr="009819CE">
        <w:rPr>
          <w:rFonts w:eastAsia="DengXian" w:cs="Times New Roman"/>
          <w:sz w:val="24"/>
          <w:szCs w:val="24"/>
        </w:rPr>
        <w:t xml:space="preserve">7.3 is note-worthy: “that I fail to cultivate virtue, that I fail to practice what I learn, that I fail to improve upon hearing what is appropriate, and that I fail to reform what is not good – these are my sources of worries. </w:t>
      </w:r>
      <w:proofErr w:type="spellStart"/>
      <w:r w:rsidRPr="009819CE">
        <w:rPr>
          <w:rFonts w:ascii="MS Gothic" w:eastAsia="MS Gothic" w:hAnsi="MS Gothic" w:cs="MS Gothic" w:hint="eastAsia"/>
          <w:sz w:val="24"/>
          <w:szCs w:val="24"/>
          <w:shd w:val="clear" w:color="auto" w:fill="FFFFFF"/>
        </w:rPr>
        <w:t>德之不脩，學之不講，聞義不能徙，不善不能改，是吾憂</w:t>
      </w:r>
      <w:r w:rsidRPr="009819CE">
        <w:rPr>
          <w:rFonts w:ascii="MS Mincho" w:eastAsia="MS Mincho" w:hAnsi="MS Mincho" w:cs="MS Mincho" w:hint="eastAsia"/>
          <w:sz w:val="24"/>
          <w:szCs w:val="24"/>
          <w:shd w:val="clear" w:color="auto" w:fill="FFFFFF"/>
        </w:rPr>
        <w:t>也</w:t>
      </w:r>
      <w:proofErr w:type="spellEnd"/>
      <w:r w:rsidRPr="009819CE">
        <w:rPr>
          <w:rFonts w:cs="Times New Roman"/>
          <w:sz w:val="24"/>
          <w:szCs w:val="24"/>
          <w:shd w:val="clear" w:color="auto" w:fill="FFFFFF"/>
        </w:rPr>
        <w:t>.</w:t>
      </w:r>
      <w:r w:rsidRPr="009819CE">
        <w:rPr>
          <w:rFonts w:eastAsia="DengXian" w:cs="Times New Roman"/>
          <w:sz w:val="24"/>
          <w:szCs w:val="24"/>
        </w:rPr>
        <w:t xml:space="preserve">” </w:t>
      </w:r>
      <w:r w:rsidRPr="009819CE">
        <w:rPr>
          <w:rFonts w:cs="Times New Roman"/>
          <w:sz w:val="24"/>
          <w:szCs w:val="24"/>
        </w:rPr>
        <w:t xml:space="preserve">Qing dynasty scholar Jiao </w:t>
      </w:r>
      <w:proofErr w:type="spellStart"/>
      <w:r w:rsidRPr="009819CE">
        <w:rPr>
          <w:rFonts w:cs="Times New Roman"/>
          <w:sz w:val="24"/>
          <w:szCs w:val="24"/>
        </w:rPr>
        <w:t>Yuanxi</w:t>
      </w:r>
      <w:proofErr w:type="spellEnd"/>
      <w:r w:rsidRPr="009819CE">
        <w:rPr>
          <w:rFonts w:cs="Times New Roman"/>
          <w:sz w:val="24"/>
          <w:szCs w:val="24"/>
        </w:rPr>
        <w:t xml:space="preserve"> </w:t>
      </w:r>
      <w:proofErr w:type="spellStart"/>
      <w:r w:rsidRPr="009819CE">
        <w:rPr>
          <w:rFonts w:ascii="MS Gothic" w:eastAsia="MS Gothic" w:hAnsi="MS Gothic" w:cs="MS Gothic" w:hint="eastAsia"/>
          <w:sz w:val="24"/>
          <w:szCs w:val="24"/>
        </w:rPr>
        <w:t>焦袁熹</w:t>
      </w:r>
      <w:r w:rsidRPr="009819CE">
        <w:rPr>
          <w:rFonts w:cs="Times New Roman"/>
          <w:sz w:val="24"/>
          <w:szCs w:val="24"/>
        </w:rPr>
        <w:t>comments</w:t>
      </w:r>
      <w:proofErr w:type="spellEnd"/>
      <w:r w:rsidRPr="009819CE">
        <w:rPr>
          <w:rFonts w:cs="Times New Roman"/>
          <w:sz w:val="24"/>
          <w:szCs w:val="24"/>
        </w:rPr>
        <w:t xml:space="preserve"> on this passage that the kind of worries mentioned in the passage are different from other kinds that are rooted in personal concerns (</w:t>
      </w:r>
      <w:proofErr w:type="spellStart"/>
      <w:r w:rsidRPr="009819CE">
        <w:rPr>
          <w:rFonts w:ascii="MS Gothic" w:eastAsia="MS Gothic" w:hAnsi="MS Gothic" w:cs="MS Gothic" w:hint="eastAsia"/>
          <w:sz w:val="24"/>
          <w:szCs w:val="24"/>
        </w:rPr>
        <w:t>人心之私慮</w:t>
      </w:r>
      <w:proofErr w:type="spellEnd"/>
      <w:r w:rsidRPr="009819CE">
        <w:rPr>
          <w:rFonts w:cs="Times New Roman"/>
          <w:sz w:val="24"/>
          <w:szCs w:val="24"/>
        </w:rPr>
        <w:t>). It is the kind that makes sages and the worthy become who they are (</w:t>
      </w:r>
      <w:proofErr w:type="spellStart"/>
      <w:r w:rsidRPr="009819CE">
        <w:rPr>
          <w:rFonts w:ascii="MS Gothic" w:eastAsia="MS Gothic" w:hAnsi="MS Gothic" w:cs="MS Gothic" w:hint="eastAsia"/>
          <w:sz w:val="24"/>
          <w:szCs w:val="24"/>
        </w:rPr>
        <w:t>聖賢之所以為聖賢者</w:t>
      </w:r>
      <w:proofErr w:type="spellEnd"/>
      <w:r w:rsidRPr="009819CE">
        <w:rPr>
          <w:rFonts w:eastAsia="DengXian" w:cs="Times New Roman"/>
          <w:sz w:val="24"/>
          <w:szCs w:val="24"/>
        </w:rPr>
        <w:t xml:space="preserve">, </w:t>
      </w:r>
      <w:proofErr w:type="spellStart"/>
      <w:r w:rsidRPr="009819CE">
        <w:rPr>
          <w:rFonts w:ascii="MS Gothic" w:eastAsia="MS Gothic" w:hAnsi="MS Gothic" w:cs="MS Gothic" w:hint="eastAsia"/>
          <w:sz w:val="24"/>
          <w:szCs w:val="24"/>
        </w:rPr>
        <w:t>全在乎此</w:t>
      </w:r>
      <w:proofErr w:type="spellEnd"/>
      <w:r w:rsidRPr="009819CE">
        <w:rPr>
          <w:rFonts w:cs="Times New Roman"/>
          <w:sz w:val="24"/>
          <w:szCs w:val="24"/>
        </w:rPr>
        <w:t>).</w:t>
      </w:r>
      <w:r w:rsidRPr="009819CE">
        <w:rPr>
          <w:rStyle w:val="FootnoteReference"/>
          <w:rFonts w:cs="Times New Roman"/>
          <w:sz w:val="24"/>
          <w:szCs w:val="24"/>
        </w:rPr>
        <w:footnoteReference w:id="22"/>
      </w:r>
      <w:r w:rsidRPr="009819CE">
        <w:rPr>
          <w:rFonts w:cs="Times New Roman"/>
          <w:sz w:val="24"/>
          <w:szCs w:val="24"/>
        </w:rPr>
        <w:t xml:space="preserve"> Reminiscent of the </w:t>
      </w:r>
      <w:r w:rsidRPr="009819CE">
        <w:rPr>
          <w:rFonts w:cs="Times New Roman"/>
          <w:i/>
          <w:sz w:val="24"/>
          <w:szCs w:val="24"/>
        </w:rPr>
        <w:t xml:space="preserve">Mengzi </w:t>
      </w:r>
      <w:r w:rsidRPr="009819CE">
        <w:rPr>
          <w:rFonts w:cs="Times New Roman"/>
          <w:sz w:val="24"/>
          <w:szCs w:val="24"/>
        </w:rPr>
        <w:t xml:space="preserve">passage, it strikes a different point that even sages go through the same path of having deep worries. Note that this already presents a disagreement against the standard view regarding the process of moral cultivation. Although clearly under-developed, its claim that sages follow the same path indicates that worry has indispensable significance. </w:t>
      </w:r>
    </w:p>
    <w:p w14:paraId="61EBFD8E"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 xml:space="preserve">Modern Confucian </w:t>
      </w:r>
      <w:proofErr w:type="spellStart"/>
      <w:r w:rsidRPr="009819CE">
        <w:rPr>
          <w:rFonts w:cs="Times New Roman"/>
          <w:sz w:val="24"/>
          <w:szCs w:val="24"/>
        </w:rPr>
        <w:t>Mou</w:t>
      </w:r>
      <w:proofErr w:type="spellEnd"/>
      <w:r w:rsidRPr="009819CE">
        <w:rPr>
          <w:rFonts w:cs="Times New Roman"/>
          <w:sz w:val="24"/>
          <w:szCs w:val="24"/>
        </w:rPr>
        <w:t xml:space="preserve"> </w:t>
      </w:r>
      <w:proofErr w:type="spellStart"/>
      <w:r w:rsidRPr="009819CE">
        <w:rPr>
          <w:rFonts w:cs="Times New Roman"/>
          <w:sz w:val="24"/>
          <w:szCs w:val="24"/>
        </w:rPr>
        <w:t>Zongsan</w:t>
      </w:r>
      <w:r w:rsidRPr="009819CE">
        <w:rPr>
          <w:rFonts w:ascii="MS Gothic" w:eastAsia="MS Gothic" w:hAnsi="MS Gothic" w:cs="MS Gothic" w:hint="eastAsia"/>
          <w:sz w:val="24"/>
          <w:szCs w:val="24"/>
        </w:rPr>
        <w:t>牟宗三</w:t>
      </w:r>
      <w:proofErr w:type="spellEnd"/>
      <w:r w:rsidRPr="009819CE">
        <w:rPr>
          <w:rFonts w:eastAsia="DengXian" w:cs="Times New Roman"/>
          <w:sz w:val="24"/>
          <w:szCs w:val="24"/>
        </w:rPr>
        <w:t xml:space="preserve"> </w:t>
      </w:r>
      <w:r w:rsidRPr="009819CE">
        <w:rPr>
          <w:rFonts w:cs="Times New Roman"/>
          <w:sz w:val="24"/>
          <w:szCs w:val="24"/>
        </w:rPr>
        <w:t xml:space="preserve">presents a similar view that </w:t>
      </w:r>
      <w:r w:rsidRPr="009819CE">
        <w:rPr>
          <w:rFonts w:eastAsia="Times New Roman" w:cs="Times New Roman"/>
          <w:sz w:val="24"/>
          <w:szCs w:val="24"/>
        </w:rPr>
        <w:t xml:space="preserve">“the gentleman is always calm and worry-free. He is not worried about the insufficiency of wealth, </w:t>
      </w:r>
      <w:proofErr w:type="gramStart"/>
      <w:r w:rsidRPr="009819CE">
        <w:rPr>
          <w:rFonts w:eastAsia="Times New Roman" w:cs="Times New Roman"/>
          <w:sz w:val="24"/>
          <w:szCs w:val="24"/>
        </w:rPr>
        <w:t>power</w:t>
      </w:r>
      <w:proofErr w:type="gramEnd"/>
      <w:r w:rsidRPr="009819CE">
        <w:rPr>
          <w:rFonts w:eastAsia="Times New Roman" w:cs="Times New Roman"/>
          <w:sz w:val="24"/>
          <w:szCs w:val="24"/>
        </w:rPr>
        <w:t xml:space="preserve"> or status, but worried that his virtues are not refined, and learnings not perfected. His worry persists throughout his life without an </w:t>
      </w:r>
      <w:proofErr w:type="gramStart"/>
      <w:r w:rsidRPr="009819CE">
        <w:rPr>
          <w:rFonts w:eastAsia="Times New Roman" w:cs="Times New Roman"/>
          <w:sz w:val="24"/>
          <w:szCs w:val="24"/>
        </w:rPr>
        <w:t>end, and</w:t>
      </w:r>
      <w:proofErr w:type="gramEnd"/>
      <w:r w:rsidRPr="009819CE">
        <w:rPr>
          <w:rFonts w:eastAsia="Times New Roman" w:cs="Times New Roman"/>
          <w:sz w:val="24"/>
          <w:szCs w:val="24"/>
        </w:rPr>
        <w:t xml:space="preserve"> is always placed within the mind of calmness.   </w:t>
      </w:r>
      <w:r w:rsidRPr="009819CE">
        <w:rPr>
          <w:rFonts w:ascii="MS Gothic" w:eastAsia="MS Gothic" w:hAnsi="MS Gothic" w:cs="MS Gothic" w:hint="eastAsia"/>
          <w:sz w:val="24"/>
          <w:szCs w:val="24"/>
          <w:lang w:eastAsia="zh-TW"/>
        </w:rPr>
        <w:t>君子永遠是坦蕩蕩的。他所憂的不是財貨權勢的未足，而是德之未修與學之未講。他的憂患，衆生無已，而永在坦蕩蕩的胸懷中</w:t>
      </w:r>
      <w:r w:rsidRPr="009819CE">
        <w:rPr>
          <w:rFonts w:cs="Times New Roman"/>
          <w:sz w:val="24"/>
          <w:szCs w:val="24"/>
          <w:lang w:eastAsia="zh-TW"/>
        </w:rPr>
        <w:t>.</w:t>
      </w:r>
      <w:r w:rsidRPr="009819CE">
        <w:rPr>
          <w:rFonts w:eastAsia="Times New Roman" w:cs="Times New Roman"/>
          <w:sz w:val="24"/>
          <w:szCs w:val="24"/>
          <w:lang w:eastAsia="zh-TW"/>
        </w:rPr>
        <w:t>”</w:t>
      </w:r>
      <w:r w:rsidRPr="009819CE">
        <w:rPr>
          <w:rStyle w:val="FootnoteReference"/>
          <w:rFonts w:eastAsia="Times New Roman" w:cs="Times New Roman"/>
          <w:sz w:val="24"/>
          <w:szCs w:val="24"/>
        </w:rPr>
        <w:footnoteReference w:id="23"/>
      </w:r>
      <w:r w:rsidRPr="009819CE">
        <w:rPr>
          <w:rFonts w:eastAsia="Times New Roman" w:cs="Times New Roman"/>
          <w:sz w:val="24"/>
          <w:szCs w:val="24"/>
          <w:lang w:eastAsia="zh-TW"/>
        </w:rPr>
        <w:t xml:space="preserve"> </w:t>
      </w:r>
      <w:r w:rsidRPr="009819CE">
        <w:rPr>
          <w:rFonts w:eastAsia="Times New Roman" w:cs="Times New Roman"/>
          <w:sz w:val="24"/>
          <w:szCs w:val="24"/>
        </w:rPr>
        <w:t xml:space="preserve">Speaking in the same tradition that considers worry as having indispensable significance, and despite the ostensible need for elaboration, </w:t>
      </w:r>
      <w:proofErr w:type="spellStart"/>
      <w:r w:rsidRPr="009819CE">
        <w:rPr>
          <w:rFonts w:eastAsia="Times New Roman" w:cs="Times New Roman"/>
          <w:sz w:val="24"/>
          <w:szCs w:val="24"/>
        </w:rPr>
        <w:t>Mou’s</w:t>
      </w:r>
      <w:proofErr w:type="spellEnd"/>
      <w:r w:rsidRPr="009819CE">
        <w:rPr>
          <w:rFonts w:eastAsia="Times New Roman" w:cs="Times New Roman"/>
          <w:sz w:val="24"/>
          <w:szCs w:val="24"/>
        </w:rPr>
        <w:t xml:space="preserve"> claim </w:t>
      </w:r>
      <w:r w:rsidRPr="009819CE">
        <w:rPr>
          <w:rFonts w:eastAsia="Times New Roman" w:cs="Times New Roman"/>
          <w:sz w:val="24"/>
          <w:szCs w:val="24"/>
        </w:rPr>
        <w:lastRenderedPageBreak/>
        <w:t xml:space="preserve">presents a sharp contrast to the standard view, which holds that a matured learner is free of worry and full of joy. </w:t>
      </w:r>
      <w:proofErr w:type="spellStart"/>
      <w:r w:rsidRPr="009819CE">
        <w:rPr>
          <w:rFonts w:eastAsia="Times New Roman" w:cs="Times New Roman"/>
          <w:sz w:val="24"/>
          <w:szCs w:val="24"/>
        </w:rPr>
        <w:t>Mou</w:t>
      </w:r>
      <w:proofErr w:type="spellEnd"/>
      <w:r w:rsidRPr="009819CE">
        <w:rPr>
          <w:rFonts w:eastAsia="Times New Roman" w:cs="Times New Roman"/>
          <w:sz w:val="24"/>
          <w:szCs w:val="24"/>
        </w:rPr>
        <w:t xml:space="preserve"> thinks that the matured learner has worries that never end, just like the </w:t>
      </w:r>
      <w:r w:rsidRPr="009819CE">
        <w:rPr>
          <w:rFonts w:cs="Times New Roman"/>
          <w:i/>
          <w:sz w:val="24"/>
          <w:szCs w:val="24"/>
        </w:rPr>
        <w:t xml:space="preserve">Mengzi </w:t>
      </w:r>
      <w:r w:rsidRPr="009819CE">
        <w:rPr>
          <w:rFonts w:cs="Times New Roman"/>
          <w:sz w:val="24"/>
          <w:szCs w:val="24"/>
        </w:rPr>
        <w:t xml:space="preserve">passage. More strikingly, he thinks that such kind of worries is compatible with having a composed mind. A matured learner is at once deeply worried, yet composed and undisturbed. </w:t>
      </w:r>
    </w:p>
    <w:p w14:paraId="356B19C9" w14:textId="77777777" w:rsidR="00830739" w:rsidRPr="009819CE" w:rsidRDefault="00830739" w:rsidP="009819CE">
      <w:pPr>
        <w:spacing w:line="480" w:lineRule="auto"/>
        <w:ind w:firstLine="720"/>
        <w:rPr>
          <w:rFonts w:cs="Times New Roman"/>
          <w:sz w:val="24"/>
          <w:szCs w:val="24"/>
        </w:rPr>
      </w:pPr>
      <w:r w:rsidRPr="009819CE">
        <w:rPr>
          <w:rFonts w:eastAsia="DengXian" w:cs="Times New Roman"/>
          <w:sz w:val="24"/>
          <w:szCs w:val="24"/>
        </w:rPr>
        <w:t xml:space="preserve">It seems as if </w:t>
      </w:r>
      <w:r w:rsidRPr="009819CE">
        <w:rPr>
          <w:rFonts w:cs="Times New Roman"/>
          <w:sz w:val="24"/>
          <w:szCs w:val="24"/>
        </w:rPr>
        <w:t xml:space="preserve">we have two contradictory views on moral cultivation regarding the significance of worry, both in terms of the cultivation process and the end state. The standard view argues for a model of moral cultivation where the learner gradually cleanses herself of worries, attains joy in replacement of worries, and culminates in a state of worry-free joyfulness, whereas the alternative view argues that the learner never gets rid of worries, and continues to have worries that are compatible with joy even at the end state. The crux of the issue, therefore, centers on the understanding of worry and its significance in the text of the </w:t>
      </w:r>
      <w:r w:rsidRPr="009819CE">
        <w:rPr>
          <w:rFonts w:cs="Times New Roman"/>
          <w:i/>
          <w:iCs/>
          <w:sz w:val="24"/>
          <w:szCs w:val="24"/>
        </w:rPr>
        <w:t>Analects</w:t>
      </w:r>
      <w:r w:rsidRPr="009819CE">
        <w:rPr>
          <w:rFonts w:cs="Times New Roman"/>
          <w:sz w:val="24"/>
          <w:szCs w:val="24"/>
        </w:rPr>
        <w:t xml:space="preserve">. </w:t>
      </w:r>
    </w:p>
    <w:p w14:paraId="68C90EC1" w14:textId="77777777" w:rsidR="00830739" w:rsidRPr="009819CE" w:rsidRDefault="00830739" w:rsidP="009819CE">
      <w:pPr>
        <w:spacing w:line="480" w:lineRule="auto"/>
        <w:ind w:firstLine="720"/>
        <w:rPr>
          <w:rFonts w:eastAsia="DengXian" w:cs="Times New Roman"/>
          <w:sz w:val="24"/>
          <w:szCs w:val="24"/>
        </w:rPr>
      </w:pPr>
      <w:r w:rsidRPr="009819CE">
        <w:rPr>
          <w:rFonts w:cs="Times New Roman"/>
          <w:sz w:val="24"/>
          <w:szCs w:val="24"/>
        </w:rPr>
        <w:t xml:space="preserve">In his recent paper on joy, Shun observes that </w:t>
      </w:r>
      <w:r w:rsidRPr="009819CE">
        <w:rPr>
          <w:rFonts w:eastAsia="DengXian" w:cs="Times New Roman"/>
          <w:sz w:val="24"/>
          <w:szCs w:val="24"/>
        </w:rPr>
        <w:t xml:space="preserve">the </w:t>
      </w:r>
      <w:r w:rsidRPr="009819CE">
        <w:rPr>
          <w:rFonts w:eastAsia="DengXian" w:cs="Times New Roman"/>
          <w:i/>
          <w:iCs/>
          <w:sz w:val="24"/>
          <w:szCs w:val="24"/>
        </w:rPr>
        <w:t>Analects</w:t>
      </w:r>
      <w:r w:rsidRPr="009819CE">
        <w:rPr>
          <w:rFonts w:eastAsia="DengXian" w:cs="Times New Roman"/>
          <w:sz w:val="24"/>
          <w:szCs w:val="24"/>
        </w:rPr>
        <w:t xml:space="preserve"> holds an implicit distinction between idealized kinds of worry (or ethical worry for short) and non-idealized kinds of worry (or inappropriate worry for short).</w:t>
      </w:r>
      <w:r w:rsidRPr="009819CE">
        <w:rPr>
          <w:rStyle w:val="FootnoteReference"/>
          <w:rFonts w:eastAsia="DengXian" w:cs="Times New Roman"/>
          <w:sz w:val="24"/>
          <w:szCs w:val="24"/>
        </w:rPr>
        <w:footnoteReference w:id="24"/>
      </w:r>
      <w:r w:rsidRPr="009819CE">
        <w:rPr>
          <w:rFonts w:eastAsia="DengXian" w:cs="Times New Roman"/>
          <w:sz w:val="24"/>
          <w:szCs w:val="24"/>
        </w:rPr>
        <w:t xml:space="preserve"> Just like the scholars defending the standard view, Shun notes that there are inappropriate worries, including “material conditions of life and appreciations by others, and other considerations such as the superior social position of others.”</w:t>
      </w:r>
      <w:r w:rsidRPr="009819CE">
        <w:rPr>
          <w:rStyle w:val="FootnoteReference"/>
          <w:rFonts w:eastAsia="DengXian" w:cs="Times New Roman"/>
          <w:sz w:val="24"/>
          <w:szCs w:val="24"/>
        </w:rPr>
        <w:footnoteReference w:id="25"/>
      </w:r>
      <w:r w:rsidRPr="009819CE">
        <w:rPr>
          <w:rFonts w:eastAsia="DengXian" w:cs="Times New Roman"/>
          <w:sz w:val="24"/>
          <w:szCs w:val="24"/>
        </w:rPr>
        <w:t xml:space="preserve"> These matters should possess little importance in the mind of serious learners. However, just like thinkers of the minor trend, Shun also notes that there are ethical worries that are important, such as worries about “learning and self-cultivation, and matters related to family and state, such as </w:t>
      </w:r>
      <w:r w:rsidRPr="009819CE">
        <w:rPr>
          <w:rFonts w:eastAsia="DengXian" w:cs="Times New Roman"/>
          <w:sz w:val="24"/>
          <w:szCs w:val="24"/>
        </w:rPr>
        <w:lastRenderedPageBreak/>
        <w:t>the health of parents and, for those in appropriate positions, order in the state.”</w:t>
      </w:r>
      <w:r w:rsidRPr="009819CE">
        <w:rPr>
          <w:rStyle w:val="FootnoteReference"/>
          <w:rFonts w:eastAsia="DengXian" w:cs="Times New Roman"/>
          <w:sz w:val="24"/>
          <w:szCs w:val="24"/>
        </w:rPr>
        <w:footnoteReference w:id="26"/>
      </w:r>
      <w:r w:rsidRPr="009819CE">
        <w:rPr>
          <w:rFonts w:eastAsia="DengXian" w:cs="Times New Roman"/>
          <w:sz w:val="24"/>
          <w:szCs w:val="24"/>
        </w:rPr>
        <w:t xml:space="preserve"> Significantly, these ethical worries are not only important, but are “part of the ethical ideal” of the Confucian </w:t>
      </w:r>
      <w:r w:rsidRPr="009819CE">
        <w:rPr>
          <w:rFonts w:eastAsia="DengXian" w:cs="Times New Roman"/>
          <w:i/>
          <w:iCs/>
          <w:sz w:val="24"/>
          <w:szCs w:val="24"/>
        </w:rPr>
        <w:t>Dao.</w:t>
      </w:r>
      <w:r w:rsidRPr="009819CE">
        <w:rPr>
          <w:rStyle w:val="FootnoteReference"/>
          <w:rFonts w:eastAsia="DengXian" w:cs="Times New Roman"/>
          <w:i/>
          <w:iCs/>
          <w:sz w:val="24"/>
          <w:szCs w:val="24"/>
        </w:rPr>
        <w:footnoteReference w:id="27"/>
      </w:r>
      <w:r w:rsidRPr="009819CE">
        <w:rPr>
          <w:rFonts w:eastAsia="DengXian" w:cs="Times New Roman"/>
          <w:i/>
          <w:iCs/>
          <w:sz w:val="24"/>
          <w:szCs w:val="24"/>
        </w:rPr>
        <w:t xml:space="preserve"> </w:t>
      </w:r>
      <w:r w:rsidRPr="009819CE">
        <w:rPr>
          <w:rFonts w:eastAsia="DengXian" w:cs="Times New Roman"/>
          <w:sz w:val="24"/>
          <w:szCs w:val="24"/>
        </w:rPr>
        <w:t xml:space="preserve">Put differently, being worried about ethical matters partly constitutes what it means to be a Confucian. A serious Confucian learner must be concerned about these ethical matters. </w:t>
      </w:r>
    </w:p>
    <w:p w14:paraId="0448010C" w14:textId="77777777" w:rsidR="00830739" w:rsidRPr="009819CE" w:rsidRDefault="00830739" w:rsidP="009819CE">
      <w:pPr>
        <w:spacing w:line="480" w:lineRule="auto"/>
        <w:ind w:firstLine="720"/>
        <w:rPr>
          <w:rFonts w:eastAsia="DengXian" w:cs="Times New Roman"/>
          <w:sz w:val="24"/>
          <w:szCs w:val="24"/>
        </w:rPr>
      </w:pPr>
      <w:proofErr w:type="spellStart"/>
      <w:r w:rsidRPr="009819CE">
        <w:rPr>
          <w:rFonts w:eastAsia="DengXian" w:cs="Times New Roman"/>
          <w:sz w:val="24"/>
          <w:szCs w:val="24"/>
        </w:rPr>
        <w:t>Shun’s</w:t>
      </w:r>
      <w:proofErr w:type="spellEnd"/>
      <w:r w:rsidRPr="009819CE">
        <w:rPr>
          <w:rFonts w:eastAsia="DengXian" w:cs="Times New Roman"/>
          <w:sz w:val="24"/>
          <w:szCs w:val="24"/>
        </w:rPr>
        <w:t xml:space="preserve"> distinction is important for two reasons. First, it situates the two views from being contradictory or talking pass each other to both capturing something right about worry in the text. The standard view focuses on the inappropriate kinds of worries, which do need to be minimized and eventually ruled out.</w:t>
      </w:r>
      <w:r w:rsidRPr="009819CE">
        <w:rPr>
          <w:rStyle w:val="FootnoteReference"/>
          <w:rFonts w:eastAsia="DengXian" w:cs="Times New Roman"/>
          <w:sz w:val="24"/>
          <w:szCs w:val="24"/>
        </w:rPr>
        <w:footnoteReference w:id="28"/>
      </w:r>
      <w:r w:rsidRPr="009819CE">
        <w:rPr>
          <w:rFonts w:eastAsia="DengXian" w:cs="Times New Roman"/>
          <w:sz w:val="24"/>
          <w:szCs w:val="24"/>
        </w:rPr>
        <w:t xml:space="preserve"> The minor trend speaks emphatically about the ethical kinds of worries, which should be a stable in the mind of learners regardless of how far one has developed. Second and more importantly, it shows that the minor view is more accurate than the standard view regarding worry and moral psychology in general. One reason is that the minor view in fact attends to both kinds of worries, while the standard view fails to properly address the ethical kind. Further, this absence leads to a subtle yet significant misunderstanding of Confucian moral psychology. A matured learner is more than someone who forgoes inappropriate worries. They also attain ethical worries as a necessary part of their evaluative outlook. Thus, it is unlikely that they would be joyful and worry-free, and more likely that they would be free of concern only regarding quotidian </w:t>
      </w:r>
      <w:proofErr w:type="gramStart"/>
      <w:r w:rsidRPr="009819CE">
        <w:rPr>
          <w:rFonts w:eastAsia="DengXian" w:cs="Times New Roman"/>
          <w:sz w:val="24"/>
          <w:szCs w:val="24"/>
        </w:rPr>
        <w:t>goods, but</w:t>
      </w:r>
      <w:proofErr w:type="gramEnd"/>
      <w:r w:rsidRPr="009819CE">
        <w:rPr>
          <w:rFonts w:eastAsia="DengXian" w:cs="Times New Roman"/>
          <w:sz w:val="24"/>
          <w:szCs w:val="24"/>
        </w:rPr>
        <w:t xml:space="preserve"> have persistent concerns over ethical matters. </w:t>
      </w:r>
    </w:p>
    <w:p w14:paraId="595CD14C" w14:textId="77777777" w:rsidR="00830739" w:rsidRPr="009819CE" w:rsidRDefault="00830739" w:rsidP="009819CE">
      <w:pPr>
        <w:spacing w:line="480" w:lineRule="auto"/>
        <w:ind w:firstLine="720"/>
        <w:rPr>
          <w:rFonts w:eastAsia="DengXian" w:cs="Times New Roman"/>
          <w:sz w:val="24"/>
          <w:szCs w:val="24"/>
        </w:rPr>
      </w:pPr>
      <w:r w:rsidRPr="009819CE">
        <w:rPr>
          <w:rFonts w:eastAsia="DengXian" w:cs="Times New Roman"/>
          <w:sz w:val="24"/>
          <w:szCs w:val="24"/>
        </w:rPr>
        <w:t xml:space="preserve">I would like to make two comments on this rich yet less known debate. First, although </w:t>
      </w:r>
      <w:proofErr w:type="spellStart"/>
      <w:r w:rsidRPr="009819CE">
        <w:rPr>
          <w:rFonts w:eastAsia="DengXian" w:cs="Times New Roman"/>
          <w:sz w:val="24"/>
          <w:szCs w:val="24"/>
        </w:rPr>
        <w:t>Shun’s</w:t>
      </w:r>
      <w:proofErr w:type="spellEnd"/>
      <w:r w:rsidRPr="009819CE">
        <w:rPr>
          <w:rFonts w:eastAsia="DengXian" w:cs="Times New Roman"/>
          <w:sz w:val="24"/>
          <w:szCs w:val="24"/>
        </w:rPr>
        <w:t xml:space="preserve"> paper does not focus on worry, I consider the implication of his useful distinction to convincingly refute the standard picture regarding moral psychology. This does not mean the </w:t>
      </w:r>
      <w:r w:rsidRPr="009819CE">
        <w:rPr>
          <w:rFonts w:eastAsia="DengXian" w:cs="Times New Roman"/>
          <w:sz w:val="24"/>
          <w:szCs w:val="24"/>
        </w:rPr>
        <w:lastRenderedPageBreak/>
        <w:t xml:space="preserve">standard picture contains no valuable truths. It is true that sages would forgo worries about quotidian goods such as wealth, </w:t>
      </w:r>
      <w:proofErr w:type="gramStart"/>
      <w:r w:rsidRPr="009819CE">
        <w:rPr>
          <w:rFonts w:eastAsia="DengXian" w:cs="Times New Roman"/>
          <w:sz w:val="24"/>
          <w:szCs w:val="24"/>
        </w:rPr>
        <w:t>status</w:t>
      </w:r>
      <w:proofErr w:type="gramEnd"/>
      <w:r w:rsidRPr="009819CE">
        <w:rPr>
          <w:rFonts w:eastAsia="DengXian" w:cs="Times New Roman"/>
          <w:sz w:val="24"/>
          <w:szCs w:val="24"/>
        </w:rPr>
        <w:t xml:space="preserve"> and power. It is also true that sages would experience deep, and in the case of Confucius, overflowing joy. However, it is not true that sages would simply have no worries at all, especially regarding the ethical kind. It is worth noting that scholars arguing for the standard view do recognize that there are certain worries that are appropriate. Both Slingerland and Yu cite 7.3. Slingerland comments that concerns about the internal realm are “warranted” while Yu says that the kind of worries mentioned in 7.3 “prompts one to work hard at cultivation.”</w:t>
      </w:r>
      <w:r w:rsidRPr="009819CE">
        <w:rPr>
          <w:rStyle w:val="FootnoteReference"/>
          <w:rFonts w:eastAsia="DengXian" w:cs="Times New Roman"/>
          <w:sz w:val="24"/>
          <w:szCs w:val="24"/>
        </w:rPr>
        <w:footnoteReference w:id="29"/>
      </w:r>
      <w:r w:rsidRPr="009819CE">
        <w:rPr>
          <w:rFonts w:eastAsia="DengXian" w:cs="Times New Roman"/>
          <w:sz w:val="24"/>
          <w:szCs w:val="24"/>
        </w:rPr>
        <w:t xml:space="preserve"> Nonetheless, they only offer a passing recognition with no comments on the significance of the appropriate kind of worries. The fact that their view argues for a worry-free agent suggests that worry does not hold any lasting significance.</w:t>
      </w:r>
      <w:r w:rsidRPr="009819CE">
        <w:rPr>
          <w:rStyle w:val="FootnoteReference"/>
          <w:rFonts w:eastAsia="DengXian" w:cs="Times New Roman"/>
          <w:sz w:val="24"/>
          <w:szCs w:val="24"/>
        </w:rPr>
        <w:footnoteReference w:id="30"/>
      </w:r>
      <w:r w:rsidRPr="009819CE">
        <w:rPr>
          <w:rFonts w:eastAsia="DengXian" w:cs="Times New Roman"/>
          <w:sz w:val="24"/>
          <w:szCs w:val="24"/>
        </w:rPr>
        <w:t xml:space="preserve"> Shun provides the much-needed details of the minor view in terms of the </w:t>
      </w:r>
      <w:proofErr w:type="gramStart"/>
      <w:r w:rsidRPr="009819CE">
        <w:rPr>
          <w:rFonts w:eastAsia="DengXian" w:cs="Times New Roman"/>
          <w:i/>
          <w:iCs/>
          <w:sz w:val="24"/>
          <w:szCs w:val="24"/>
        </w:rPr>
        <w:t>Analects</w:t>
      </w:r>
      <w:r w:rsidRPr="009819CE">
        <w:rPr>
          <w:rFonts w:eastAsia="DengXian" w:cs="Times New Roman"/>
          <w:sz w:val="24"/>
          <w:szCs w:val="24"/>
        </w:rPr>
        <w:t>, and</w:t>
      </w:r>
      <w:proofErr w:type="gramEnd"/>
      <w:r w:rsidRPr="009819CE">
        <w:rPr>
          <w:rFonts w:eastAsia="DengXian" w:cs="Times New Roman"/>
          <w:sz w:val="24"/>
          <w:szCs w:val="24"/>
        </w:rPr>
        <w:t xml:space="preserve"> argues that the appropriate kind of worries is a necessary part of Confucian moral psychology, because it constitutes part of the Confucian evaluative outlook. For Shun, and I agree, ethical worries are more than something to be noted in passing, but an indispensable part of the agent’s psychology even when she has reached high-level of development. This defends and delineates the alternative view of the psychology of advanced learners. They would plausibly experience powerful joy, be unconcerned about quotidian goods, but also have deep ethical worries. This leads to the second comment. </w:t>
      </w:r>
    </w:p>
    <w:p w14:paraId="58D62354" w14:textId="77777777" w:rsidR="00830739" w:rsidRPr="009819CE" w:rsidRDefault="00830739" w:rsidP="009819CE">
      <w:pPr>
        <w:spacing w:line="480" w:lineRule="auto"/>
        <w:ind w:firstLine="720"/>
        <w:rPr>
          <w:rFonts w:eastAsia="DengXian" w:cs="Times New Roman"/>
          <w:sz w:val="24"/>
          <w:szCs w:val="24"/>
        </w:rPr>
      </w:pPr>
      <w:r w:rsidRPr="009819CE">
        <w:rPr>
          <w:rFonts w:eastAsia="DengXian" w:cs="Times New Roman"/>
          <w:sz w:val="24"/>
          <w:szCs w:val="24"/>
        </w:rPr>
        <w:lastRenderedPageBreak/>
        <w:t xml:space="preserve">The </w:t>
      </w:r>
      <w:r w:rsidRPr="009819CE">
        <w:rPr>
          <w:rFonts w:eastAsia="DengXian" w:cs="Times New Roman"/>
          <w:i/>
          <w:iCs/>
          <w:sz w:val="24"/>
          <w:szCs w:val="24"/>
        </w:rPr>
        <w:t>Analects</w:t>
      </w:r>
      <w:r w:rsidRPr="009819CE">
        <w:rPr>
          <w:rFonts w:eastAsia="DengXian" w:cs="Times New Roman"/>
          <w:sz w:val="24"/>
          <w:szCs w:val="24"/>
        </w:rPr>
        <w:t xml:space="preserve">, therefore, arguably contains a more nuanced picture of moral psychology and moral cultivation than has been commonly recognized. My comment above pertains to moral psychology. Regarding moral cultivation and how one develops, it is worth recalling the contrast between the standard view and the alternative view. The standard view has a conception of the end state, which then informs its view on the general features of cultivation. Specifically, given that a matured learner would be joyful and worry-free, beginners likely go through a process where worries get gradually eradicated while joy becomes abundant and more attainable. The alternative view presented by scholars such as Yuan, </w:t>
      </w:r>
      <w:proofErr w:type="spellStart"/>
      <w:r w:rsidRPr="009819CE">
        <w:rPr>
          <w:rFonts w:eastAsia="DengXian" w:cs="Times New Roman"/>
          <w:sz w:val="24"/>
          <w:szCs w:val="24"/>
        </w:rPr>
        <w:t>Mou</w:t>
      </w:r>
      <w:proofErr w:type="spellEnd"/>
      <w:r w:rsidRPr="009819CE">
        <w:rPr>
          <w:rFonts w:eastAsia="DengXian" w:cs="Times New Roman"/>
          <w:sz w:val="24"/>
          <w:szCs w:val="24"/>
        </w:rPr>
        <w:t xml:space="preserve">, and Shun has a different conception of the end state. However, no developed account has been proposed </w:t>
      </w:r>
      <w:proofErr w:type="gramStart"/>
      <w:r w:rsidRPr="009819CE">
        <w:rPr>
          <w:rFonts w:eastAsia="DengXian" w:cs="Times New Roman"/>
          <w:sz w:val="24"/>
          <w:szCs w:val="24"/>
        </w:rPr>
        <w:t>in light of</w:t>
      </w:r>
      <w:proofErr w:type="gramEnd"/>
      <w:r w:rsidRPr="009819CE">
        <w:rPr>
          <w:rFonts w:eastAsia="DengXian" w:cs="Times New Roman"/>
          <w:sz w:val="24"/>
          <w:szCs w:val="24"/>
        </w:rPr>
        <w:t xml:space="preserve"> this end state. Particularly regarding ethical worries, does the text offer insights that even the cultivation process involves worries? If so, what are the general features involved in the process of learning to worry rightly and well? Through discussing methods of cultivation found in the </w:t>
      </w:r>
      <w:r w:rsidRPr="009819CE">
        <w:rPr>
          <w:rFonts w:eastAsia="DengXian" w:cs="Times New Roman"/>
          <w:i/>
          <w:iCs/>
          <w:sz w:val="24"/>
          <w:szCs w:val="24"/>
        </w:rPr>
        <w:t>Analects</w:t>
      </w:r>
      <w:r w:rsidRPr="009819CE">
        <w:rPr>
          <w:rFonts w:eastAsia="DengXian" w:cs="Times New Roman"/>
          <w:sz w:val="24"/>
          <w:szCs w:val="24"/>
        </w:rPr>
        <w:t xml:space="preserve">, I argue that moral cultivation does involve learning to worry well. Furthermore, the process of learning to worry well involves learning to worry broadly beyond one’s intimate circle, and deeply about </w:t>
      </w:r>
      <w:proofErr w:type="gramStart"/>
      <w:r w:rsidRPr="009819CE">
        <w:rPr>
          <w:rFonts w:eastAsia="DengXian" w:cs="Times New Roman"/>
          <w:sz w:val="24"/>
          <w:szCs w:val="24"/>
        </w:rPr>
        <w:t>particular individuals</w:t>
      </w:r>
      <w:proofErr w:type="gramEnd"/>
      <w:r w:rsidRPr="009819CE">
        <w:rPr>
          <w:rFonts w:eastAsia="DengXian" w:cs="Times New Roman"/>
          <w:sz w:val="24"/>
          <w:szCs w:val="24"/>
        </w:rPr>
        <w:t xml:space="preserve"> standing in important relationship to us. To explicate this thesis, I start with a discussion on the terminology of “worry.” </w:t>
      </w:r>
    </w:p>
    <w:p w14:paraId="2A163BBD" w14:textId="77777777" w:rsidR="00830739" w:rsidRDefault="00830739" w:rsidP="009819CE">
      <w:pPr>
        <w:pStyle w:val="Heading2"/>
        <w:rPr>
          <w:sz w:val="32"/>
          <w:szCs w:val="32"/>
        </w:rPr>
      </w:pPr>
      <w:bookmarkStart w:id="10" w:name="_Toc102412724"/>
      <w:r>
        <w:t>3: A Contour on Learning to Worry Well</w:t>
      </w:r>
      <w:bookmarkEnd w:id="10"/>
    </w:p>
    <w:p w14:paraId="31FE7C8E" w14:textId="77777777" w:rsidR="00830739" w:rsidRPr="009819CE" w:rsidRDefault="00830739" w:rsidP="009819CE">
      <w:pPr>
        <w:pStyle w:val="Heading4"/>
        <w:rPr>
          <w:rFonts w:ascii="Times New Roman" w:hAnsi="Times New Roman" w:cs="Times New Roman"/>
          <w:sz w:val="24"/>
          <w:szCs w:val="24"/>
        </w:rPr>
      </w:pPr>
      <w:r w:rsidRPr="009819CE">
        <w:rPr>
          <w:rFonts w:ascii="Times New Roman" w:hAnsi="Times New Roman" w:cs="Times New Roman"/>
          <w:sz w:val="24"/>
          <w:szCs w:val="24"/>
        </w:rPr>
        <w:t xml:space="preserve">3.1 Preliminary Reflections: “Worry,” “Care,” and Xing </w:t>
      </w:r>
      <w:r w:rsidRPr="009819CE">
        <w:rPr>
          <w:rFonts w:ascii="Times New Roman" w:eastAsia="MS Mincho" w:hAnsi="Times New Roman" w:cs="Times New Roman"/>
          <w:sz w:val="24"/>
          <w:szCs w:val="24"/>
        </w:rPr>
        <w:t>性</w:t>
      </w:r>
    </w:p>
    <w:p w14:paraId="0AFD2496" w14:textId="77777777" w:rsidR="00830739" w:rsidRPr="009819CE" w:rsidRDefault="00830739" w:rsidP="009819CE">
      <w:pPr>
        <w:spacing w:line="480" w:lineRule="auto"/>
        <w:ind w:firstLine="720"/>
        <w:rPr>
          <w:rFonts w:eastAsia="DengXian" w:cs="Times New Roman"/>
          <w:sz w:val="24"/>
          <w:szCs w:val="24"/>
        </w:rPr>
      </w:pPr>
      <w:r w:rsidRPr="009819CE">
        <w:rPr>
          <w:rFonts w:eastAsia="DengXian" w:cs="Times New Roman"/>
          <w:sz w:val="24"/>
          <w:szCs w:val="24"/>
        </w:rPr>
        <w:t xml:space="preserve">In this section I address two preliminary issues. The first issue centers on the terminology of “worry.” The corresponding character in the </w:t>
      </w:r>
      <w:r w:rsidRPr="009819CE">
        <w:rPr>
          <w:rFonts w:eastAsia="DengXian" w:cs="Times New Roman"/>
          <w:i/>
          <w:iCs/>
          <w:sz w:val="24"/>
          <w:szCs w:val="24"/>
        </w:rPr>
        <w:t xml:space="preserve">Analects </w:t>
      </w:r>
      <w:r w:rsidRPr="009819CE">
        <w:rPr>
          <w:rFonts w:eastAsia="DengXian" w:cs="Times New Roman"/>
          <w:sz w:val="24"/>
          <w:szCs w:val="24"/>
        </w:rPr>
        <w:t>is “</w:t>
      </w:r>
      <w:r w:rsidRPr="009819CE">
        <w:rPr>
          <w:rFonts w:eastAsia="DengXian" w:cs="Times New Roman"/>
          <w:i/>
          <w:iCs/>
          <w:sz w:val="24"/>
          <w:szCs w:val="24"/>
        </w:rPr>
        <w:t>you</w:t>
      </w:r>
      <w:r w:rsidRPr="009819CE">
        <w:rPr>
          <w:rFonts w:eastAsia="DengXian" w:cs="Times New Roman"/>
          <w:sz w:val="24"/>
          <w:szCs w:val="24"/>
        </w:rPr>
        <w:t xml:space="preserve"> </w:t>
      </w:r>
      <w:r w:rsidRPr="009819CE">
        <w:rPr>
          <w:rFonts w:eastAsia="MS Gothic" w:cs="Times New Roman"/>
          <w:sz w:val="24"/>
          <w:szCs w:val="24"/>
        </w:rPr>
        <w:t>憂</w:t>
      </w:r>
      <w:r w:rsidRPr="009819CE">
        <w:rPr>
          <w:rFonts w:eastAsia="DengXian" w:cs="Times New Roman"/>
          <w:sz w:val="24"/>
          <w:szCs w:val="24"/>
        </w:rPr>
        <w:t xml:space="preserve">.” I argue that </w:t>
      </w:r>
      <w:r w:rsidRPr="009819CE">
        <w:rPr>
          <w:rFonts w:eastAsia="DengXian" w:cs="Times New Roman"/>
          <w:i/>
          <w:iCs/>
          <w:sz w:val="24"/>
          <w:szCs w:val="24"/>
        </w:rPr>
        <w:t>you</w:t>
      </w:r>
      <w:r w:rsidRPr="009819CE">
        <w:rPr>
          <w:rFonts w:eastAsia="DengXian" w:cs="Times New Roman"/>
          <w:sz w:val="24"/>
          <w:szCs w:val="24"/>
        </w:rPr>
        <w:t xml:space="preserve"> </w:t>
      </w:r>
      <w:r w:rsidRPr="009819CE">
        <w:rPr>
          <w:rFonts w:eastAsia="MS Gothic" w:cs="Times New Roman"/>
          <w:sz w:val="24"/>
          <w:szCs w:val="24"/>
        </w:rPr>
        <w:t>憂</w:t>
      </w:r>
      <w:r w:rsidRPr="009819CE">
        <w:rPr>
          <w:rFonts w:eastAsia="DengXian" w:cs="Times New Roman"/>
          <w:sz w:val="24"/>
          <w:szCs w:val="24"/>
        </w:rPr>
        <w:t xml:space="preserve"> </w:t>
      </w:r>
      <w:proofErr w:type="gramStart"/>
      <w:r w:rsidRPr="009819CE">
        <w:rPr>
          <w:rFonts w:eastAsia="DengXian" w:cs="Times New Roman"/>
          <w:sz w:val="24"/>
          <w:szCs w:val="24"/>
        </w:rPr>
        <w:t>is</w:t>
      </w:r>
      <w:proofErr w:type="gramEnd"/>
      <w:r w:rsidRPr="009819CE">
        <w:rPr>
          <w:rFonts w:eastAsia="DengXian" w:cs="Times New Roman"/>
          <w:sz w:val="24"/>
          <w:szCs w:val="24"/>
        </w:rPr>
        <w:t xml:space="preserve"> not used as a technical term in the text. It does not exclusively denote the mental state of matured agents. </w:t>
      </w:r>
      <w:r w:rsidRPr="009819CE">
        <w:rPr>
          <w:rFonts w:eastAsia="DengXian" w:cs="Times New Roman"/>
          <w:i/>
          <w:iCs/>
          <w:sz w:val="24"/>
          <w:szCs w:val="24"/>
        </w:rPr>
        <w:t>Junzi</w:t>
      </w:r>
      <w:r w:rsidRPr="009819CE">
        <w:rPr>
          <w:rFonts w:eastAsia="DengXian" w:cs="Times New Roman"/>
          <w:sz w:val="24"/>
          <w:szCs w:val="24"/>
        </w:rPr>
        <w:t xml:space="preserve"> </w:t>
      </w:r>
      <w:proofErr w:type="spellStart"/>
      <w:r w:rsidRPr="009819CE">
        <w:rPr>
          <w:rFonts w:eastAsia="MS Gothic" w:cs="Times New Roman"/>
          <w:sz w:val="24"/>
          <w:szCs w:val="24"/>
        </w:rPr>
        <w:t>君子</w:t>
      </w:r>
      <w:r w:rsidRPr="009819CE">
        <w:rPr>
          <w:rFonts w:eastAsia="DengXian" w:cs="Times New Roman"/>
          <w:sz w:val="24"/>
          <w:szCs w:val="24"/>
        </w:rPr>
        <w:t>or</w:t>
      </w:r>
      <w:proofErr w:type="spellEnd"/>
      <w:r w:rsidRPr="009819CE">
        <w:rPr>
          <w:rFonts w:eastAsia="DengXian" w:cs="Times New Roman"/>
          <w:sz w:val="24"/>
          <w:szCs w:val="24"/>
        </w:rPr>
        <w:t xml:space="preserve"> matured agents as well as common people both have </w:t>
      </w:r>
      <w:r w:rsidRPr="009819CE">
        <w:rPr>
          <w:rFonts w:eastAsia="DengXian" w:cs="Times New Roman"/>
          <w:i/>
          <w:iCs/>
          <w:sz w:val="24"/>
          <w:szCs w:val="24"/>
        </w:rPr>
        <w:t>you</w:t>
      </w:r>
      <w:r w:rsidRPr="009819CE">
        <w:rPr>
          <w:rFonts w:eastAsia="DengXian" w:cs="Times New Roman"/>
          <w:sz w:val="24"/>
          <w:szCs w:val="24"/>
        </w:rPr>
        <w:t xml:space="preserve"> </w:t>
      </w:r>
      <w:r w:rsidRPr="009819CE">
        <w:rPr>
          <w:rFonts w:eastAsia="MS Gothic" w:cs="Times New Roman"/>
          <w:sz w:val="24"/>
          <w:szCs w:val="24"/>
        </w:rPr>
        <w:t>憂</w:t>
      </w:r>
      <w:r w:rsidRPr="009819CE">
        <w:rPr>
          <w:rFonts w:eastAsia="DengXian" w:cs="Times New Roman"/>
          <w:sz w:val="24"/>
          <w:szCs w:val="24"/>
        </w:rPr>
        <w:t xml:space="preserve"> (6.11, 9.29, 12.4, 15.12). It does not exclusively denote moral concerns and is used to describe worries of both the ethical and non-ethical kinds (7.19, 15.32). Further, it is used for long-term concerns </w:t>
      </w:r>
      <w:r w:rsidRPr="009819CE">
        <w:rPr>
          <w:rFonts w:eastAsia="DengXian" w:cs="Times New Roman"/>
          <w:sz w:val="24"/>
          <w:szCs w:val="24"/>
        </w:rPr>
        <w:lastRenderedPageBreak/>
        <w:t xml:space="preserve">such as one’s learning and character (7.3) as well as short-term concerns (15.12). Thus, it is not a technical term, and can be appropriately rendered as “worry,” which is equally general and unspecific in English. </w:t>
      </w:r>
      <w:r w:rsidRPr="009819CE">
        <w:rPr>
          <w:rFonts w:eastAsia="DengXian" w:cs="Times New Roman"/>
          <w:sz w:val="24"/>
          <w:szCs w:val="24"/>
        </w:rPr>
        <w:tab/>
      </w:r>
    </w:p>
    <w:p w14:paraId="2C714F88" w14:textId="77777777" w:rsidR="00830739" w:rsidRPr="009819CE" w:rsidRDefault="00830739" w:rsidP="009819CE">
      <w:pPr>
        <w:spacing w:line="480" w:lineRule="auto"/>
        <w:ind w:firstLine="720"/>
        <w:rPr>
          <w:rFonts w:eastAsiaTheme="minorEastAsia" w:cs="Times New Roman"/>
          <w:sz w:val="24"/>
          <w:szCs w:val="24"/>
        </w:rPr>
      </w:pPr>
      <w:r w:rsidRPr="009819CE">
        <w:rPr>
          <w:rFonts w:eastAsia="DengXian" w:cs="Times New Roman"/>
          <w:sz w:val="24"/>
          <w:szCs w:val="24"/>
        </w:rPr>
        <w:t xml:space="preserve">Nonetheless, being un-technical does not mean that </w:t>
      </w:r>
      <w:r w:rsidRPr="009819CE">
        <w:rPr>
          <w:rFonts w:eastAsia="DengXian" w:cs="Times New Roman"/>
          <w:i/>
          <w:iCs/>
          <w:sz w:val="24"/>
          <w:szCs w:val="24"/>
        </w:rPr>
        <w:t>you</w:t>
      </w:r>
      <w:r w:rsidRPr="009819CE">
        <w:rPr>
          <w:rFonts w:eastAsia="DengXian" w:cs="Times New Roman"/>
          <w:sz w:val="24"/>
          <w:szCs w:val="24"/>
        </w:rPr>
        <w:t xml:space="preserve"> </w:t>
      </w:r>
      <w:proofErr w:type="spellStart"/>
      <w:r w:rsidRPr="009819CE">
        <w:rPr>
          <w:rFonts w:eastAsia="MS Gothic" w:cs="Times New Roman"/>
          <w:sz w:val="24"/>
          <w:szCs w:val="24"/>
        </w:rPr>
        <w:t>憂</w:t>
      </w:r>
      <w:r w:rsidRPr="009819CE">
        <w:rPr>
          <w:rFonts w:eastAsia="DengXian" w:cs="Times New Roman"/>
          <w:sz w:val="24"/>
          <w:szCs w:val="24"/>
        </w:rPr>
        <w:t>denotes</w:t>
      </w:r>
      <w:proofErr w:type="spellEnd"/>
      <w:r w:rsidRPr="009819CE">
        <w:rPr>
          <w:rFonts w:eastAsia="DengXian" w:cs="Times New Roman"/>
          <w:sz w:val="24"/>
          <w:szCs w:val="24"/>
        </w:rPr>
        <w:t xml:space="preserve"> a range of unconnected emotional states.</w:t>
      </w:r>
      <w:r w:rsidRPr="009819CE">
        <w:rPr>
          <w:rStyle w:val="FootnoteReference"/>
          <w:rFonts w:eastAsia="DengXian" w:cs="Times New Roman"/>
          <w:sz w:val="24"/>
          <w:szCs w:val="24"/>
        </w:rPr>
        <w:footnoteReference w:id="31"/>
      </w:r>
      <w:r w:rsidRPr="009819CE">
        <w:rPr>
          <w:rFonts w:eastAsia="DengXian" w:cs="Times New Roman"/>
          <w:sz w:val="24"/>
          <w:szCs w:val="24"/>
        </w:rPr>
        <w:t xml:space="preserve"> An important point about </w:t>
      </w:r>
      <w:r w:rsidRPr="009819CE">
        <w:rPr>
          <w:rFonts w:eastAsia="DengXian" w:cs="Times New Roman"/>
          <w:i/>
          <w:iCs/>
          <w:sz w:val="24"/>
          <w:szCs w:val="24"/>
        </w:rPr>
        <w:t>you</w:t>
      </w:r>
      <w:r w:rsidRPr="009819CE">
        <w:rPr>
          <w:rFonts w:eastAsia="DengXian" w:cs="Times New Roman"/>
          <w:sz w:val="24"/>
          <w:szCs w:val="24"/>
        </w:rPr>
        <w:t xml:space="preserve"> </w:t>
      </w:r>
      <w:r w:rsidRPr="009819CE">
        <w:rPr>
          <w:rFonts w:eastAsia="MS Gothic" w:cs="Times New Roman"/>
          <w:sz w:val="24"/>
          <w:szCs w:val="24"/>
        </w:rPr>
        <w:t>憂</w:t>
      </w:r>
      <w:r w:rsidRPr="009819CE">
        <w:rPr>
          <w:rFonts w:eastAsia="DengXian" w:cs="Times New Roman"/>
          <w:sz w:val="24"/>
          <w:szCs w:val="24"/>
        </w:rPr>
        <w:t xml:space="preserve"> or worry is that it is rooted in care. </w:t>
      </w:r>
      <w:r w:rsidRPr="009819CE">
        <w:rPr>
          <w:rFonts w:cs="Times New Roman"/>
          <w:sz w:val="24"/>
          <w:szCs w:val="24"/>
        </w:rPr>
        <w:t>By care, I mean the basic psychological phenomenon that certain things in the world matter to me.</w:t>
      </w:r>
      <w:r w:rsidRPr="009819CE">
        <w:rPr>
          <w:rStyle w:val="FootnoteReference"/>
          <w:rFonts w:cs="Times New Roman"/>
          <w:sz w:val="24"/>
          <w:szCs w:val="24"/>
        </w:rPr>
        <w:footnoteReference w:id="32"/>
      </w:r>
      <w:r w:rsidRPr="009819CE">
        <w:rPr>
          <w:rFonts w:cs="Times New Roman"/>
          <w:sz w:val="24"/>
          <w:szCs w:val="24"/>
        </w:rPr>
        <w:t xml:space="preserve"> Whether consciously or unconsciously felt, they capture my attention, stand out to my perception and judgment as something special, and register as something that is </w:t>
      </w:r>
      <w:r w:rsidRPr="009819CE">
        <w:rPr>
          <w:rFonts w:cs="Times New Roman"/>
          <w:i/>
          <w:iCs/>
          <w:sz w:val="24"/>
          <w:szCs w:val="24"/>
        </w:rPr>
        <w:t>not</w:t>
      </w:r>
      <w:r w:rsidRPr="009819CE">
        <w:rPr>
          <w:rFonts w:cs="Times New Roman"/>
          <w:sz w:val="24"/>
          <w:szCs w:val="24"/>
        </w:rPr>
        <w:t xml:space="preserve"> valueless, </w:t>
      </w:r>
      <w:proofErr w:type="gramStart"/>
      <w:r w:rsidRPr="009819CE">
        <w:rPr>
          <w:rFonts w:cs="Times New Roman"/>
          <w:sz w:val="24"/>
          <w:szCs w:val="24"/>
        </w:rPr>
        <w:t>meaningless</w:t>
      </w:r>
      <w:proofErr w:type="gramEnd"/>
      <w:r w:rsidRPr="009819CE">
        <w:rPr>
          <w:rFonts w:cs="Times New Roman"/>
          <w:sz w:val="24"/>
          <w:szCs w:val="24"/>
        </w:rPr>
        <w:t xml:space="preserve"> and neutral. This psychological “pull” seems to naturally create worry and distress. Put differently, the fact that I care about something typically entails that I am anxious and worried about it, whether I am aware of it or not. This does not mean that caring about certain things entails a high level of anxiety and distress. Caring about certain things can lead to varying levels of distress and anxiety, because one can care about things with varying levels of seriousness.</w:t>
      </w:r>
      <w:r w:rsidRPr="009819CE">
        <w:rPr>
          <w:rStyle w:val="FootnoteReference"/>
          <w:rFonts w:cs="Times New Roman"/>
          <w:sz w:val="24"/>
          <w:szCs w:val="24"/>
        </w:rPr>
        <w:footnoteReference w:id="33"/>
      </w:r>
      <w:r w:rsidRPr="009819CE">
        <w:rPr>
          <w:rFonts w:cs="Times New Roman"/>
          <w:sz w:val="24"/>
          <w:szCs w:val="24"/>
        </w:rPr>
        <w:t xml:space="preserve"> This also does not imply that the relationship between care and worry is a matter of psychological mutual entailment with certainty, or that care would only lead to worry and </w:t>
      </w:r>
      <w:proofErr w:type="spellStart"/>
      <w:r w:rsidRPr="009819CE">
        <w:rPr>
          <w:rFonts w:cs="Times New Roman"/>
          <w:sz w:val="24"/>
          <w:szCs w:val="24"/>
        </w:rPr>
        <w:t>not</w:t>
      </w:r>
      <w:proofErr w:type="spellEnd"/>
      <w:r w:rsidRPr="009819CE">
        <w:rPr>
          <w:rFonts w:cs="Times New Roman"/>
          <w:sz w:val="24"/>
          <w:szCs w:val="24"/>
        </w:rPr>
        <w:t xml:space="preserve"> </w:t>
      </w:r>
      <w:r w:rsidRPr="009819CE">
        <w:rPr>
          <w:rFonts w:cs="Times New Roman"/>
          <w:sz w:val="24"/>
          <w:szCs w:val="24"/>
        </w:rPr>
        <w:lastRenderedPageBreak/>
        <w:t xml:space="preserve">other emotions. Nonetheless, it seems true that care and worry are tightly connected. Therefore, one’s worries provide clues regarding what one cares about, and caring about certain things typically entails worry, </w:t>
      </w:r>
      <w:proofErr w:type="gramStart"/>
      <w:r w:rsidRPr="009819CE">
        <w:rPr>
          <w:rFonts w:cs="Times New Roman"/>
          <w:sz w:val="24"/>
          <w:szCs w:val="24"/>
        </w:rPr>
        <w:t>whether or not</w:t>
      </w:r>
      <w:proofErr w:type="gramEnd"/>
      <w:r w:rsidRPr="009819CE">
        <w:rPr>
          <w:rFonts w:cs="Times New Roman"/>
          <w:sz w:val="24"/>
          <w:szCs w:val="24"/>
        </w:rPr>
        <w:t xml:space="preserve"> worry is consciously recognized or the prominent emotion. </w:t>
      </w:r>
    </w:p>
    <w:p w14:paraId="1204E15C" w14:textId="77777777" w:rsidR="00830739" w:rsidRPr="009819CE" w:rsidRDefault="00830739" w:rsidP="009819CE">
      <w:pPr>
        <w:spacing w:line="480" w:lineRule="auto"/>
        <w:ind w:firstLine="720"/>
        <w:rPr>
          <w:rFonts w:eastAsia="DengXian" w:cs="Times New Roman"/>
          <w:sz w:val="24"/>
          <w:szCs w:val="24"/>
        </w:rPr>
      </w:pPr>
      <w:r w:rsidRPr="009819CE">
        <w:rPr>
          <w:rFonts w:cs="Times New Roman"/>
          <w:sz w:val="24"/>
          <w:szCs w:val="24"/>
        </w:rPr>
        <w:t xml:space="preserve">If this analysis is on the right track, passages having </w:t>
      </w:r>
      <w:r w:rsidRPr="009819CE">
        <w:rPr>
          <w:rFonts w:cs="Times New Roman"/>
          <w:i/>
          <w:iCs/>
          <w:sz w:val="24"/>
          <w:szCs w:val="24"/>
        </w:rPr>
        <w:t>no</w:t>
      </w:r>
      <w:r w:rsidRPr="009819CE">
        <w:rPr>
          <w:rFonts w:cs="Times New Roman"/>
          <w:sz w:val="24"/>
          <w:szCs w:val="24"/>
        </w:rPr>
        <w:t xml:space="preserve"> character of “</w:t>
      </w:r>
      <w:r w:rsidRPr="009819CE">
        <w:rPr>
          <w:rFonts w:eastAsia="DengXian" w:cs="Times New Roman"/>
          <w:i/>
          <w:iCs/>
          <w:sz w:val="24"/>
          <w:szCs w:val="24"/>
        </w:rPr>
        <w:t>you</w:t>
      </w:r>
      <w:r w:rsidRPr="009819CE">
        <w:rPr>
          <w:rFonts w:eastAsia="DengXian" w:cs="Times New Roman"/>
          <w:sz w:val="24"/>
          <w:szCs w:val="24"/>
        </w:rPr>
        <w:t xml:space="preserve"> </w:t>
      </w:r>
      <w:r w:rsidRPr="009819CE">
        <w:rPr>
          <w:rFonts w:eastAsia="MS Gothic" w:cs="Times New Roman"/>
          <w:sz w:val="24"/>
          <w:szCs w:val="24"/>
        </w:rPr>
        <w:t>憂</w:t>
      </w:r>
      <w:r w:rsidRPr="009819CE">
        <w:rPr>
          <w:rFonts w:eastAsia="DengXian" w:cs="Times New Roman"/>
          <w:sz w:val="24"/>
          <w:szCs w:val="24"/>
        </w:rPr>
        <w:t>” can perfectly demonstrate the emotion of what the character is about, namely, worry. For instance, 4.21 contends that one must know the age of one’s parents, for it is at the same time a source of delight (</w:t>
      </w:r>
      <w:r w:rsidRPr="009819CE">
        <w:rPr>
          <w:rFonts w:eastAsia="DengXian" w:cs="Times New Roman"/>
          <w:i/>
          <w:iCs/>
          <w:sz w:val="24"/>
          <w:szCs w:val="24"/>
        </w:rPr>
        <w:t xml:space="preserve">xi </w:t>
      </w:r>
      <w:r w:rsidRPr="009819CE">
        <w:rPr>
          <w:rFonts w:eastAsia="MS Gothic" w:cs="Times New Roman"/>
          <w:sz w:val="24"/>
          <w:szCs w:val="24"/>
        </w:rPr>
        <w:t>喜</w:t>
      </w:r>
      <w:r w:rsidRPr="009819CE">
        <w:rPr>
          <w:rFonts w:eastAsia="DengXian" w:cs="Times New Roman"/>
          <w:sz w:val="24"/>
          <w:szCs w:val="24"/>
        </w:rPr>
        <w:t>) and fear (</w:t>
      </w:r>
      <w:proofErr w:type="spellStart"/>
      <w:r w:rsidRPr="009819CE">
        <w:rPr>
          <w:rFonts w:eastAsia="DengXian" w:cs="Times New Roman"/>
          <w:i/>
          <w:iCs/>
          <w:sz w:val="24"/>
          <w:szCs w:val="24"/>
        </w:rPr>
        <w:t>ju</w:t>
      </w:r>
      <w:proofErr w:type="spellEnd"/>
      <w:r w:rsidRPr="009819CE">
        <w:rPr>
          <w:rFonts w:eastAsia="DengXian" w:cs="Times New Roman"/>
          <w:i/>
          <w:iCs/>
          <w:sz w:val="24"/>
          <w:szCs w:val="24"/>
        </w:rPr>
        <w:t xml:space="preserve"> </w:t>
      </w:r>
      <w:r w:rsidRPr="009819CE">
        <w:rPr>
          <w:rFonts w:eastAsia="MS Gothic" w:cs="Times New Roman"/>
          <w:sz w:val="24"/>
          <w:szCs w:val="24"/>
        </w:rPr>
        <w:t>懼</w:t>
      </w:r>
      <w:r w:rsidRPr="009819CE">
        <w:rPr>
          <w:rFonts w:eastAsia="DengXian" w:cs="Times New Roman"/>
          <w:sz w:val="24"/>
          <w:szCs w:val="24"/>
        </w:rPr>
        <w:t xml:space="preserve">). While </w:t>
      </w:r>
      <w:r w:rsidRPr="009819CE">
        <w:rPr>
          <w:rFonts w:cs="Times New Roman"/>
          <w:sz w:val="24"/>
          <w:szCs w:val="24"/>
        </w:rPr>
        <w:t>“</w:t>
      </w:r>
      <w:r w:rsidRPr="009819CE">
        <w:rPr>
          <w:rFonts w:eastAsia="DengXian" w:cs="Times New Roman"/>
          <w:i/>
          <w:iCs/>
          <w:sz w:val="24"/>
          <w:szCs w:val="24"/>
        </w:rPr>
        <w:t>you</w:t>
      </w:r>
      <w:r w:rsidRPr="009819CE">
        <w:rPr>
          <w:rFonts w:eastAsia="DengXian" w:cs="Times New Roman"/>
          <w:sz w:val="24"/>
          <w:szCs w:val="24"/>
        </w:rPr>
        <w:t xml:space="preserve"> </w:t>
      </w:r>
      <w:r w:rsidRPr="009819CE">
        <w:rPr>
          <w:rFonts w:eastAsia="MS Gothic" w:cs="Times New Roman"/>
          <w:sz w:val="24"/>
          <w:szCs w:val="24"/>
        </w:rPr>
        <w:t>憂</w:t>
      </w:r>
      <w:r w:rsidRPr="009819CE">
        <w:rPr>
          <w:rFonts w:eastAsia="DengXian" w:cs="Times New Roman"/>
          <w:sz w:val="24"/>
          <w:szCs w:val="24"/>
        </w:rPr>
        <w:t xml:space="preserve">” the character is absent in this line, </w:t>
      </w:r>
      <w:proofErr w:type="gramStart"/>
      <w:r w:rsidRPr="009819CE">
        <w:rPr>
          <w:rFonts w:eastAsia="DengXian" w:cs="Times New Roman"/>
          <w:sz w:val="24"/>
          <w:szCs w:val="24"/>
        </w:rPr>
        <w:t>it is clear that worrying</w:t>
      </w:r>
      <w:proofErr w:type="gramEnd"/>
      <w:r w:rsidRPr="009819CE">
        <w:rPr>
          <w:rFonts w:eastAsia="DengXian" w:cs="Times New Roman"/>
          <w:sz w:val="24"/>
          <w:szCs w:val="24"/>
        </w:rPr>
        <w:t xml:space="preserve"> about parents is not. This is because the key message of this passage is that one should care about parents’ age deeply, such that it becomes a source of delight knowing how long parents have lived, and a source of trepidation concerning how old they are becoming. The text uses “</w:t>
      </w:r>
      <w:proofErr w:type="spellStart"/>
      <w:r w:rsidRPr="009819CE">
        <w:rPr>
          <w:rFonts w:eastAsia="DengXian" w:cs="Times New Roman"/>
          <w:i/>
          <w:iCs/>
          <w:sz w:val="24"/>
          <w:szCs w:val="24"/>
        </w:rPr>
        <w:t>ju</w:t>
      </w:r>
      <w:proofErr w:type="spellEnd"/>
      <w:r w:rsidRPr="009819CE">
        <w:rPr>
          <w:rFonts w:eastAsia="DengXian" w:cs="Times New Roman"/>
          <w:i/>
          <w:iCs/>
          <w:sz w:val="24"/>
          <w:szCs w:val="24"/>
        </w:rPr>
        <w:t xml:space="preserve"> </w:t>
      </w:r>
      <w:r w:rsidRPr="009819CE">
        <w:rPr>
          <w:rFonts w:eastAsia="MS Gothic" w:cs="Times New Roman"/>
          <w:sz w:val="24"/>
          <w:szCs w:val="24"/>
        </w:rPr>
        <w:t>懼</w:t>
      </w:r>
      <w:r w:rsidRPr="009819CE">
        <w:rPr>
          <w:rFonts w:eastAsia="DengXian" w:cs="Times New Roman"/>
          <w:sz w:val="24"/>
          <w:szCs w:val="24"/>
        </w:rPr>
        <w:t xml:space="preserve">” (fear or trepidation) instead of </w:t>
      </w:r>
      <w:r w:rsidRPr="009819CE">
        <w:rPr>
          <w:rFonts w:cs="Times New Roman"/>
          <w:sz w:val="24"/>
          <w:szCs w:val="24"/>
        </w:rPr>
        <w:t>“</w:t>
      </w:r>
      <w:r w:rsidRPr="009819CE">
        <w:rPr>
          <w:rFonts w:eastAsia="DengXian" w:cs="Times New Roman"/>
          <w:i/>
          <w:iCs/>
          <w:sz w:val="24"/>
          <w:szCs w:val="24"/>
        </w:rPr>
        <w:t>you</w:t>
      </w:r>
      <w:r w:rsidRPr="009819CE">
        <w:rPr>
          <w:rFonts w:eastAsia="DengXian" w:cs="Times New Roman"/>
          <w:sz w:val="24"/>
          <w:szCs w:val="24"/>
        </w:rPr>
        <w:t xml:space="preserve"> </w:t>
      </w:r>
      <w:r w:rsidRPr="009819CE">
        <w:rPr>
          <w:rFonts w:eastAsia="MS Gothic" w:cs="Times New Roman"/>
          <w:sz w:val="24"/>
          <w:szCs w:val="24"/>
        </w:rPr>
        <w:t>憂</w:t>
      </w:r>
      <w:r w:rsidRPr="009819CE">
        <w:rPr>
          <w:rFonts w:eastAsia="DengXian" w:cs="Times New Roman"/>
          <w:sz w:val="24"/>
          <w:szCs w:val="24"/>
        </w:rPr>
        <w:t>” (worry) presumably because the object, namely, parents’ age, palpably relates to the agent as one of the greatest losses one could experience, making “</w:t>
      </w:r>
      <w:proofErr w:type="spellStart"/>
      <w:r w:rsidRPr="009819CE">
        <w:rPr>
          <w:rFonts w:eastAsia="DengXian" w:cs="Times New Roman"/>
          <w:i/>
          <w:iCs/>
          <w:sz w:val="24"/>
          <w:szCs w:val="24"/>
        </w:rPr>
        <w:t>ju</w:t>
      </w:r>
      <w:proofErr w:type="spellEnd"/>
      <w:r w:rsidRPr="009819CE">
        <w:rPr>
          <w:rFonts w:eastAsia="DengXian" w:cs="Times New Roman"/>
          <w:i/>
          <w:iCs/>
          <w:sz w:val="24"/>
          <w:szCs w:val="24"/>
        </w:rPr>
        <w:t xml:space="preserve"> </w:t>
      </w:r>
      <w:r w:rsidRPr="009819CE">
        <w:rPr>
          <w:rFonts w:eastAsia="MS Gothic" w:cs="Times New Roman"/>
          <w:sz w:val="24"/>
          <w:szCs w:val="24"/>
        </w:rPr>
        <w:t>懼</w:t>
      </w:r>
      <w:r w:rsidRPr="009819CE">
        <w:rPr>
          <w:rFonts w:eastAsia="DengXian" w:cs="Times New Roman"/>
          <w:sz w:val="24"/>
          <w:szCs w:val="24"/>
        </w:rPr>
        <w:t xml:space="preserve">” the more precise and appropriate emotion one should have. The </w:t>
      </w:r>
      <w:r w:rsidRPr="009819CE">
        <w:rPr>
          <w:rFonts w:eastAsia="DengXian" w:cs="Times New Roman"/>
          <w:i/>
          <w:iCs/>
          <w:sz w:val="24"/>
          <w:szCs w:val="24"/>
        </w:rPr>
        <w:t>Analects</w:t>
      </w:r>
      <w:r w:rsidRPr="009819CE">
        <w:rPr>
          <w:rFonts w:eastAsia="DengXian" w:cs="Times New Roman"/>
          <w:sz w:val="24"/>
          <w:szCs w:val="24"/>
        </w:rPr>
        <w:t xml:space="preserve"> contains numerous passages </w:t>
      </w:r>
      <w:proofErr w:type="gramStart"/>
      <w:r w:rsidRPr="009819CE">
        <w:rPr>
          <w:rFonts w:eastAsia="DengXian" w:cs="Times New Roman"/>
          <w:sz w:val="24"/>
          <w:szCs w:val="24"/>
        </w:rPr>
        <w:t>similar to</w:t>
      </w:r>
      <w:proofErr w:type="gramEnd"/>
      <w:r w:rsidRPr="009819CE">
        <w:rPr>
          <w:rFonts w:eastAsia="DengXian" w:cs="Times New Roman"/>
          <w:sz w:val="24"/>
          <w:szCs w:val="24"/>
        </w:rPr>
        <w:t xml:space="preserve"> 4.21 where the emotion of worry is present while the character </w:t>
      </w:r>
      <w:r w:rsidRPr="009819CE">
        <w:rPr>
          <w:rFonts w:cs="Times New Roman"/>
          <w:sz w:val="24"/>
          <w:szCs w:val="24"/>
        </w:rPr>
        <w:t>“</w:t>
      </w:r>
      <w:r w:rsidRPr="009819CE">
        <w:rPr>
          <w:rFonts w:eastAsia="DengXian" w:cs="Times New Roman"/>
          <w:i/>
          <w:iCs/>
          <w:sz w:val="24"/>
          <w:szCs w:val="24"/>
        </w:rPr>
        <w:t>you</w:t>
      </w:r>
      <w:r w:rsidRPr="009819CE">
        <w:rPr>
          <w:rFonts w:eastAsia="DengXian" w:cs="Times New Roman"/>
          <w:sz w:val="24"/>
          <w:szCs w:val="24"/>
        </w:rPr>
        <w:t xml:space="preserve"> </w:t>
      </w:r>
      <w:r w:rsidRPr="009819CE">
        <w:rPr>
          <w:rFonts w:eastAsia="MS Gothic" w:cs="Times New Roman"/>
          <w:sz w:val="24"/>
          <w:szCs w:val="24"/>
        </w:rPr>
        <w:t>憂</w:t>
      </w:r>
      <w:r w:rsidRPr="009819CE">
        <w:rPr>
          <w:rFonts w:eastAsia="DengXian" w:cs="Times New Roman"/>
          <w:sz w:val="24"/>
          <w:szCs w:val="24"/>
        </w:rPr>
        <w:t xml:space="preserve">” is not. Thus, I include passages that do not contain </w:t>
      </w:r>
      <w:r w:rsidRPr="009819CE">
        <w:rPr>
          <w:rFonts w:cs="Times New Roman"/>
          <w:sz w:val="24"/>
          <w:szCs w:val="24"/>
        </w:rPr>
        <w:t>“</w:t>
      </w:r>
      <w:r w:rsidRPr="009819CE">
        <w:rPr>
          <w:rFonts w:eastAsia="DengXian" w:cs="Times New Roman"/>
          <w:i/>
          <w:iCs/>
          <w:sz w:val="24"/>
          <w:szCs w:val="24"/>
        </w:rPr>
        <w:t>you</w:t>
      </w:r>
      <w:r w:rsidRPr="009819CE">
        <w:rPr>
          <w:rFonts w:eastAsia="DengXian" w:cs="Times New Roman"/>
          <w:sz w:val="24"/>
          <w:szCs w:val="24"/>
        </w:rPr>
        <w:t xml:space="preserve"> </w:t>
      </w:r>
      <w:r w:rsidRPr="009819CE">
        <w:rPr>
          <w:rFonts w:eastAsia="MS Gothic" w:cs="Times New Roman"/>
          <w:sz w:val="24"/>
          <w:szCs w:val="24"/>
        </w:rPr>
        <w:t>憂</w:t>
      </w:r>
      <w:r w:rsidRPr="009819CE">
        <w:rPr>
          <w:rFonts w:eastAsia="DengXian" w:cs="Times New Roman"/>
          <w:sz w:val="24"/>
          <w:szCs w:val="24"/>
        </w:rPr>
        <w:t xml:space="preserve">” to enrich the discussion below, even though it puts me at the risk of imprecision and taking too much interpretative liberty. </w:t>
      </w:r>
    </w:p>
    <w:p w14:paraId="60464ECD" w14:textId="77777777" w:rsidR="00830739" w:rsidRPr="009819CE" w:rsidRDefault="00830739" w:rsidP="009819CE">
      <w:pPr>
        <w:spacing w:line="480" w:lineRule="auto"/>
        <w:ind w:firstLine="720"/>
        <w:rPr>
          <w:rFonts w:eastAsia="DengXian" w:cs="Times New Roman"/>
          <w:sz w:val="24"/>
          <w:szCs w:val="24"/>
        </w:rPr>
      </w:pPr>
      <w:r w:rsidRPr="009819CE">
        <w:rPr>
          <w:rFonts w:eastAsia="DengXian" w:cs="Times New Roman"/>
          <w:sz w:val="24"/>
          <w:szCs w:val="24"/>
        </w:rPr>
        <w:t xml:space="preserve">My point about care and worry leads to the second preliminary issue regarding </w:t>
      </w:r>
      <w:proofErr w:type="spellStart"/>
      <w:r w:rsidRPr="009819CE">
        <w:rPr>
          <w:rFonts w:eastAsia="DengXian" w:cs="Times New Roman"/>
          <w:i/>
          <w:iCs/>
          <w:sz w:val="24"/>
          <w:szCs w:val="24"/>
        </w:rPr>
        <w:t>xing</w:t>
      </w:r>
      <w:proofErr w:type="spellEnd"/>
      <w:r w:rsidRPr="009819CE">
        <w:rPr>
          <w:rFonts w:eastAsia="DengXian" w:cs="Times New Roman"/>
          <w:i/>
          <w:iCs/>
          <w:sz w:val="24"/>
          <w:szCs w:val="24"/>
        </w:rPr>
        <w:t xml:space="preserve"> </w:t>
      </w:r>
      <w:r w:rsidRPr="009819CE">
        <w:rPr>
          <w:rFonts w:eastAsia="MS Gothic" w:cs="Times New Roman"/>
          <w:sz w:val="24"/>
          <w:szCs w:val="24"/>
        </w:rPr>
        <w:t>性</w:t>
      </w:r>
      <w:r w:rsidRPr="009819CE">
        <w:rPr>
          <w:rFonts w:eastAsia="DengXian" w:cs="Times New Roman"/>
          <w:sz w:val="24"/>
          <w:szCs w:val="24"/>
        </w:rPr>
        <w:t xml:space="preserve"> or roughly, human nature. One reason why </w:t>
      </w:r>
      <w:proofErr w:type="spellStart"/>
      <w:r w:rsidRPr="009819CE">
        <w:rPr>
          <w:rFonts w:eastAsia="DengXian" w:cs="Times New Roman"/>
          <w:i/>
          <w:iCs/>
          <w:sz w:val="24"/>
          <w:szCs w:val="24"/>
        </w:rPr>
        <w:t>xing</w:t>
      </w:r>
      <w:proofErr w:type="spellEnd"/>
      <w:r w:rsidRPr="009819CE">
        <w:rPr>
          <w:rFonts w:eastAsia="DengXian" w:cs="Times New Roman"/>
          <w:sz w:val="24"/>
          <w:szCs w:val="24"/>
        </w:rPr>
        <w:t xml:space="preserve"> is important is because it explains the starting point of cultivation. If cultivation is a process of changing what we start with and evolving into a certain desirable state, it is important to know what that starting point is like so that we can better </w:t>
      </w:r>
      <w:r w:rsidRPr="009819CE">
        <w:rPr>
          <w:rFonts w:eastAsia="DengXian" w:cs="Times New Roman"/>
          <w:sz w:val="24"/>
          <w:szCs w:val="24"/>
        </w:rPr>
        <w:lastRenderedPageBreak/>
        <w:t xml:space="preserve">understand what cultivation is about. </w:t>
      </w:r>
      <w:r w:rsidRPr="009819CE">
        <w:rPr>
          <w:rFonts w:eastAsia="DengXian" w:cs="Times New Roman"/>
          <w:i/>
          <w:iCs/>
          <w:sz w:val="24"/>
          <w:szCs w:val="24"/>
        </w:rPr>
        <w:t xml:space="preserve">Xing </w:t>
      </w:r>
      <w:r w:rsidRPr="009819CE">
        <w:rPr>
          <w:rFonts w:eastAsia="DengXian" w:cs="Times New Roman"/>
          <w:sz w:val="24"/>
          <w:szCs w:val="24"/>
        </w:rPr>
        <w:t xml:space="preserve">provides such an answer and unfortunately, the </w:t>
      </w:r>
      <w:r w:rsidRPr="009819CE">
        <w:rPr>
          <w:rFonts w:eastAsia="DengXian" w:cs="Times New Roman"/>
          <w:i/>
          <w:iCs/>
          <w:sz w:val="24"/>
          <w:szCs w:val="24"/>
        </w:rPr>
        <w:t xml:space="preserve">Analects </w:t>
      </w:r>
      <w:r w:rsidRPr="009819CE">
        <w:rPr>
          <w:rFonts w:eastAsia="DengXian" w:cs="Times New Roman"/>
          <w:sz w:val="24"/>
          <w:szCs w:val="24"/>
        </w:rPr>
        <w:t>is notoriously vague about it.</w:t>
      </w:r>
      <w:r w:rsidRPr="009819CE">
        <w:rPr>
          <w:rStyle w:val="FootnoteReference"/>
          <w:rFonts w:cs="Times New Roman"/>
          <w:sz w:val="24"/>
          <w:szCs w:val="24"/>
        </w:rPr>
        <w:footnoteReference w:id="34"/>
      </w:r>
      <w:r w:rsidRPr="009819CE">
        <w:rPr>
          <w:rFonts w:eastAsia="DengXian" w:cs="Times New Roman"/>
          <w:sz w:val="24"/>
          <w:szCs w:val="24"/>
        </w:rPr>
        <w:t xml:space="preserve"> Nonetheless, this absence of explicit comment on </w:t>
      </w:r>
      <w:proofErr w:type="spellStart"/>
      <w:r w:rsidRPr="009819CE">
        <w:rPr>
          <w:rFonts w:eastAsia="DengXian" w:cs="Times New Roman"/>
          <w:i/>
          <w:iCs/>
          <w:sz w:val="24"/>
          <w:szCs w:val="24"/>
        </w:rPr>
        <w:t>xing</w:t>
      </w:r>
      <w:proofErr w:type="spellEnd"/>
      <w:r w:rsidRPr="009819CE">
        <w:rPr>
          <w:rFonts w:eastAsia="DengXian" w:cs="Times New Roman"/>
          <w:i/>
          <w:iCs/>
          <w:sz w:val="24"/>
          <w:szCs w:val="24"/>
        </w:rPr>
        <w:t xml:space="preserve"> </w:t>
      </w:r>
      <w:r w:rsidRPr="009819CE">
        <w:rPr>
          <w:rFonts w:eastAsia="DengXian" w:cs="Times New Roman"/>
          <w:sz w:val="24"/>
          <w:szCs w:val="24"/>
        </w:rPr>
        <w:t xml:space="preserve">need not make us adopt theoretically thick notions of </w:t>
      </w:r>
      <w:proofErr w:type="spellStart"/>
      <w:r w:rsidRPr="009819CE">
        <w:rPr>
          <w:rFonts w:eastAsia="DengXian" w:cs="Times New Roman"/>
          <w:i/>
          <w:iCs/>
          <w:sz w:val="24"/>
          <w:szCs w:val="24"/>
        </w:rPr>
        <w:t>xing</w:t>
      </w:r>
      <w:proofErr w:type="spellEnd"/>
      <w:r w:rsidRPr="009819CE">
        <w:rPr>
          <w:rFonts w:eastAsia="DengXian" w:cs="Times New Roman"/>
          <w:i/>
          <w:iCs/>
          <w:sz w:val="24"/>
          <w:szCs w:val="24"/>
        </w:rPr>
        <w:t xml:space="preserve"> </w:t>
      </w:r>
      <w:r w:rsidRPr="009819CE">
        <w:rPr>
          <w:rFonts w:eastAsia="DengXian" w:cs="Times New Roman"/>
          <w:sz w:val="24"/>
          <w:szCs w:val="24"/>
        </w:rPr>
        <w:t xml:space="preserve">in the </w:t>
      </w:r>
      <w:r w:rsidRPr="009819CE">
        <w:rPr>
          <w:rFonts w:eastAsia="DengXian" w:cs="Times New Roman"/>
          <w:i/>
          <w:iCs/>
          <w:sz w:val="24"/>
          <w:szCs w:val="24"/>
        </w:rPr>
        <w:t>Mengzi</w:t>
      </w:r>
      <w:r w:rsidRPr="009819CE">
        <w:rPr>
          <w:rFonts w:eastAsia="DengXian" w:cs="Times New Roman"/>
          <w:sz w:val="24"/>
          <w:szCs w:val="24"/>
        </w:rPr>
        <w:t xml:space="preserve"> or the </w:t>
      </w:r>
      <w:r w:rsidRPr="009819CE">
        <w:rPr>
          <w:rFonts w:eastAsia="DengXian" w:cs="Times New Roman"/>
          <w:i/>
          <w:iCs/>
          <w:sz w:val="24"/>
          <w:szCs w:val="24"/>
        </w:rPr>
        <w:t>Xunzi.</w:t>
      </w:r>
      <w:r w:rsidRPr="009819CE">
        <w:rPr>
          <w:rFonts w:eastAsia="DengXian" w:cs="Times New Roman"/>
          <w:sz w:val="24"/>
          <w:szCs w:val="24"/>
        </w:rPr>
        <w:t xml:space="preserve"> I argue that the </w:t>
      </w:r>
      <w:r w:rsidRPr="009819CE">
        <w:rPr>
          <w:rFonts w:eastAsia="DengXian" w:cs="Times New Roman"/>
          <w:i/>
          <w:iCs/>
          <w:sz w:val="24"/>
          <w:szCs w:val="24"/>
        </w:rPr>
        <w:t>Analects</w:t>
      </w:r>
      <w:r w:rsidRPr="009819CE">
        <w:rPr>
          <w:rFonts w:eastAsia="DengXian" w:cs="Times New Roman"/>
          <w:sz w:val="24"/>
          <w:szCs w:val="24"/>
        </w:rPr>
        <w:t>’ keen sensitivity to what human beings typically care about is sufficient to answer these questions about the starting point and the project of cultivation.</w:t>
      </w:r>
      <w:r w:rsidRPr="009819CE">
        <w:rPr>
          <w:rStyle w:val="FootnoteReference"/>
          <w:rFonts w:eastAsia="DengXian" w:cs="Times New Roman"/>
          <w:sz w:val="24"/>
          <w:szCs w:val="24"/>
        </w:rPr>
        <w:footnoteReference w:id="35"/>
      </w:r>
      <w:r w:rsidRPr="009819CE">
        <w:rPr>
          <w:rFonts w:eastAsia="DengXian" w:cs="Times New Roman"/>
          <w:sz w:val="24"/>
          <w:szCs w:val="24"/>
        </w:rPr>
        <w:t xml:space="preserve"> </w:t>
      </w:r>
    </w:p>
    <w:p w14:paraId="0449FA26" w14:textId="77777777" w:rsidR="00830739" w:rsidRPr="009819CE" w:rsidRDefault="00830739" w:rsidP="009819CE">
      <w:pPr>
        <w:spacing w:line="480" w:lineRule="auto"/>
        <w:ind w:firstLine="720"/>
        <w:rPr>
          <w:rFonts w:eastAsiaTheme="minorEastAsia" w:cs="Times New Roman"/>
          <w:sz w:val="24"/>
          <w:szCs w:val="24"/>
        </w:rPr>
      </w:pPr>
      <w:r w:rsidRPr="009819CE">
        <w:rPr>
          <w:rFonts w:eastAsia="DengXian" w:cs="Times New Roman"/>
          <w:sz w:val="24"/>
          <w:szCs w:val="24"/>
        </w:rPr>
        <w:t xml:space="preserve">The </w:t>
      </w:r>
      <w:r w:rsidRPr="009819CE">
        <w:rPr>
          <w:rFonts w:eastAsia="DengXian" w:cs="Times New Roman"/>
          <w:i/>
          <w:iCs/>
          <w:sz w:val="24"/>
          <w:szCs w:val="24"/>
        </w:rPr>
        <w:t xml:space="preserve">Analects </w:t>
      </w:r>
      <w:r w:rsidRPr="009819CE">
        <w:rPr>
          <w:rFonts w:cs="Times New Roman"/>
          <w:sz w:val="24"/>
          <w:szCs w:val="24"/>
        </w:rPr>
        <w:t>readily acknowledges that people have a wide range of things that they care about, including wealth and status (4.5, 7.12, 7.16), fame (9.23, 15.19, 15.20), human relations, and so on.</w:t>
      </w:r>
      <w:r w:rsidRPr="009819CE">
        <w:rPr>
          <w:rStyle w:val="FootnoteReference"/>
          <w:rFonts w:cs="Times New Roman"/>
          <w:sz w:val="24"/>
          <w:szCs w:val="24"/>
        </w:rPr>
        <w:footnoteReference w:id="36"/>
      </w:r>
      <w:r w:rsidRPr="009819CE">
        <w:rPr>
          <w:rFonts w:cs="Times New Roman"/>
          <w:sz w:val="24"/>
          <w:szCs w:val="24"/>
        </w:rPr>
        <w:t xml:space="preserve"> In particular, human relationship is not just one kind of object among others that people commonly care about. For Confucians, human relations matter deeply to who one is and possess special status and significance to the structure and foci of one’s life. That human relations matter deeply to one’s identity is the basic idea of “relational self,” a concept that has been generally agreed to be a background assumption of the </w:t>
      </w:r>
      <w:r w:rsidRPr="009819CE">
        <w:rPr>
          <w:rFonts w:cs="Times New Roman"/>
          <w:i/>
          <w:iCs/>
          <w:sz w:val="24"/>
          <w:szCs w:val="24"/>
        </w:rPr>
        <w:t>Analects.</w:t>
      </w:r>
      <w:r w:rsidRPr="009819CE">
        <w:rPr>
          <w:rFonts w:cs="Times New Roman"/>
          <w:sz w:val="24"/>
          <w:szCs w:val="24"/>
        </w:rPr>
        <w:t xml:space="preserve"> Much important research has been published regarding this concept by scholars no less than David Hall, Roger Ames, </w:t>
      </w:r>
      <w:r w:rsidRPr="009819CE">
        <w:rPr>
          <w:rFonts w:cs="Times New Roman"/>
          <w:sz w:val="24"/>
          <w:szCs w:val="24"/>
        </w:rPr>
        <w:lastRenderedPageBreak/>
        <w:t>Rosemont Jr., and David Wong.</w:t>
      </w:r>
      <w:r w:rsidRPr="009819CE">
        <w:rPr>
          <w:rStyle w:val="FootnoteReference"/>
          <w:rFonts w:cs="Times New Roman"/>
          <w:sz w:val="24"/>
          <w:szCs w:val="24"/>
        </w:rPr>
        <w:footnoteReference w:id="37"/>
      </w:r>
      <w:r w:rsidRPr="009819CE">
        <w:rPr>
          <w:rFonts w:cs="Times New Roman"/>
          <w:sz w:val="24"/>
          <w:szCs w:val="24"/>
        </w:rPr>
        <w:t xml:space="preserve"> For the purpose of this paper, I focus on the experiential aspect of “relational self” and leave aside its metaphysical implications.</w:t>
      </w:r>
      <w:r w:rsidRPr="009819CE">
        <w:rPr>
          <w:rStyle w:val="FootnoteReference"/>
          <w:rFonts w:cs="Times New Roman"/>
          <w:sz w:val="24"/>
          <w:szCs w:val="24"/>
        </w:rPr>
        <w:footnoteReference w:id="38"/>
      </w:r>
    </w:p>
    <w:p w14:paraId="250E37F5"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First and foremost, the basic, rudimentary experience of having a relationship with someone is that I react differently to them than to complete strangers. This means that the people who form a relationship with me can have a bigger influence on my decision, a stronger claim to my attention and time, and a more powerful impact on my emotional state than those who are complete strangers.</w:t>
      </w:r>
      <w:r w:rsidRPr="009819CE">
        <w:rPr>
          <w:rStyle w:val="FootnoteReference"/>
          <w:rFonts w:cs="Times New Roman"/>
          <w:sz w:val="24"/>
          <w:szCs w:val="24"/>
        </w:rPr>
        <w:footnoteReference w:id="39"/>
      </w:r>
      <w:r w:rsidRPr="009819CE">
        <w:rPr>
          <w:rFonts w:cs="Times New Roman"/>
          <w:sz w:val="24"/>
          <w:szCs w:val="24"/>
        </w:rPr>
        <w:t xml:space="preserve"> I highlight two points regarding this basic experience. First, this pattern of interaction where we treat people differently based on relationships is natural. This means that treating people differently because of their relationship to me is acquired without learning. It serves as the untutored initial position from which most people start. Second and relatedly, relationships make a difference emotionally. Related others, regardless of the exact nature of the relationship, tend to be more capable of eliciting emotional responses from me than complete strangers. This is especially true for people with whom I have intimate and strong relationships. They are properly called “special” to me. Part of the “special-ness” is that </w:t>
      </w:r>
      <w:proofErr w:type="gramStart"/>
      <w:r w:rsidRPr="009819CE">
        <w:rPr>
          <w:rFonts w:cs="Times New Roman"/>
          <w:sz w:val="24"/>
          <w:szCs w:val="24"/>
        </w:rPr>
        <w:t>more often than not</w:t>
      </w:r>
      <w:proofErr w:type="gramEnd"/>
      <w:r w:rsidRPr="009819CE">
        <w:rPr>
          <w:rFonts w:cs="Times New Roman"/>
          <w:sz w:val="24"/>
          <w:szCs w:val="24"/>
        </w:rPr>
        <w:t xml:space="preserve">, they possess the power to bring me relish or break my heart. What they say, do, and how they are comprise a potent source of happiness and disturbance. Furthermore, their influence often occurs </w:t>
      </w:r>
      <w:r w:rsidRPr="009819CE">
        <w:rPr>
          <w:rFonts w:cs="Times New Roman"/>
          <w:sz w:val="24"/>
          <w:szCs w:val="24"/>
        </w:rPr>
        <w:lastRenderedPageBreak/>
        <w:t>in ways that are unique to our relationships. All of this is as it should be.</w:t>
      </w:r>
      <w:r w:rsidRPr="009819CE">
        <w:rPr>
          <w:rStyle w:val="FootnoteReference"/>
          <w:rFonts w:cs="Times New Roman"/>
          <w:sz w:val="24"/>
          <w:szCs w:val="24"/>
        </w:rPr>
        <w:footnoteReference w:id="40"/>
      </w:r>
      <w:r w:rsidRPr="009819CE">
        <w:rPr>
          <w:rFonts w:cs="Times New Roman"/>
          <w:sz w:val="24"/>
          <w:szCs w:val="24"/>
        </w:rPr>
        <w:t xml:space="preserve"> Both aspects – namely, the pattern of differential interaction and the emotional influence from intimate others – are characteristic of what it means to have a relationship with someone. In other words, both are basic components of the experiential quality of relational self. The “self” that is cultivated and improved demonstrates corresponding changes in both aspects. </w:t>
      </w:r>
    </w:p>
    <w:p w14:paraId="2D8575AA" w14:textId="77777777" w:rsidR="00830739" w:rsidRPr="009819CE" w:rsidRDefault="00830739" w:rsidP="009819CE">
      <w:pPr>
        <w:pStyle w:val="Heading4"/>
        <w:rPr>
          <w:rFonts w:ascii="Times New Roman" w:hAnsi="Times New Roman" w:cs="Times New Roman"/>
          <w:sz w:val="24"/>
          <w:szCs w:val="24"/>
        </w:rPr>
      </w:pPr>
      <w:r w:rsidRPr="009819CE">
        <w:rPr>
          <w:rFonts w:ascii="Times New Roman" w:hAnsi="Times New Roman" w:cs="Times New Roman"/>
          <w:sz w:val="24"/>
          <w:szCs w:val="24"/>
        </w:rPr>
        <w:t>3.2 Development in the Breadth of Worrying through Extension</w:t>
      </w:r>
    </w:p>
    <w:p w14:paraId="73FFD56B"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 xml:space="preserve">Regarding the pattern of differential interaction, the </w:t>
      </w:r>
      <w:r w:rsidRPr="009819CE">
        <w:rPr>
          <w:rFonts w:cs="Times New Roman"/>
          <w:i/>
          <w:iCs/>
          <w:sz w:val="24"/>
          <w:szCs w:val="24"/>
        </w:rPr>
        <w:t>Analects</w:t>
      </w:r>
      <w:r w:rsidRPr="009819CE">
        <w:rPr>
          <w:rFonts w:cs="Times New Roman"/>
          <w:sz w:val="24"/>
          <w:szCs w:val="24"/>
        </w:rPr>
        <w:t xml:space="preserve"> indicates a path of cultivation that takes heed of it, but also modifies it. This is the well-acknowledged cultivation method of “extension.” Much of the scholarship on “extension” focuses on the </w:t>
      </w:r>
      <w:r w:rsidRPr="009819CE">
        <w:rPr>
          <w:rFonts w:cs="Times New Roman"/>
          <w:i/>
          <w:iCs/>
          <w:sz w:val="24"/>
          <w:szCs w:val="24"/>
        </w:rPr>
        <w:t>Mengzi</w:t>
      </w:r>
      <w:r w:rsidRPr="009819CE">
        <w:rPr>
          <w:rFonts w:cs="Times New Roman"/>
          <w:sz w:val="24"/>
          <w:szCs w:val="24"/>
        </w:rPr>
        <w:t xml:space="preserve">, largely because the </w:t>
      </w:r>
      <w:r w:rsidRPr="009819CE">
        <w:rPr>
          <w:rFonts w:cs="Times New Roman"/>
          <w:i/>
          <w:iCs/>
          <w:sz w:val="24"/>
          <w:szCs w:val="24"/>
        </w:rPr>
        <w:t xml:space="preserve">Mengzi </w:t>
      </w:r>
      <w:r w:rsidRPr="009819CE">
        <w:rPr>
          <w:rFonts w:cs="Times New Roman"/>
          <w:sz w:val="24"/>
          <w:szCs w:val="24"/>
        </w:rPr>
        <w:t xml:space="preserve">offers a lot more resources for discussing this method than the </w:t>
      </w:r>
      <w:r w:rsidRPr="009819CE">
        <w:rPr>
          <w:rFonts w:cs="Times New Roman"/>
          <w:i/>
          <w:iCs/>
          <w:sz w:val="24"/>
          <w:szCs w:val="24"/>
        </w:rPr>
        <w:t>Analects</w:t>
      </w:r>
      <w:r w:rsidRPr="009819CE">
        <w:rPr>
          <w:rFonts w:cs="Times New Roman"/>
          <w:sz w:val="24"/>
          <w:szCs w:val="24"/>
        </w:rPr>
        <w:t>.</w:t>
      </w:r>
      <w:r w:rsidRPr="009819CE">
        <w:rPr>
          <w:rStyle w:val="FootnoteReference"/>
          <w:rFonts w:cs="Times New Roman"/>
          <w:sz w:val="24"/>
          <w:szCs w:val="24"/>
        </w:rPr>
        <w:footnoteReference w:id="41"/>
      </w:r>
      <w:r w:rsidRPr="009819CE">
        <w:rPr>
          <w:rFonts w:cs="Times New Roman"/>
          <w:sz w:val="24"/>
          <w:szCs w:val="24"/>
        </w:rPr>
        <w:t xml:space="preserve"> Nonetheless, the basic idea of this method is already present in the </w:t>
      </w:r>
      <w:r w:rsidRPr="009819CE">
        <w:rPr>
          <w:rFonts w:cs="Times New Roman"/>
          <w:i/>
          <w:iCs/>
          <w:sz w:val="24"/>
          <w:szCs w:val="24"/>
        </w:rPr>
        <w:t>Analects</w:t>
      </w:r>
      <w:r w:rsidRPr="009819CE">
        <w:rPr>
          <w:rFonts w:cs="Times New Roman"/>
          <w:sz w:val="24"/>
          <w:szCs w:val="24"/>
        </w:rPr>
        <w:t xml:space="preserve">, which is that the agent should gradually enlarge her circle of care to include minimally those who are not family members and friends, such as fellow villagers (1.6, 13.20), and maximally everybody in the world (6.30, 14.42). While this is the general direction for cultivation, an important qualification must be added. Enlarging one’s care beyond one’s intimate circle does not imply that one cares about everyone with the same level of emotional intensity and responsiveness as, for instance, the parent-child relationship. In fact, no one should match the significance of parents, and one’s </w:t>
      </w:r>
      <w:r w:rsidRPr="009819CE">
        <w:rPr>
          <w:rFonts w:cs="Times New Roman"/>
          <w:sz w:val="24"/>
          <w:szCs w:val="24"/>
        </w:rPr>
        <w:lastRenderedPageBreak/>
        <w:t>care for different groups of people should be substantively different.</w:t>
      </w:r>
      <w:r w:rsidRPr="009819CE">
        <w:rPr>
          <w:rStyle w:val="FootnoteReference"/>
          <w:rFonts w:cs="Times New Roman"/>
          <w:sz w:val="24"/>
          <w:szCs w:val="24"/>
        </w:rPr>
        <w:footnoteReference w:id="42"/>
      </w:r>
      <w:r w:rsidRPr="009819CE">
        <w:rPr>
          <w:rFonts w:cs="Times New Roman"/>
          <w:sz w:val="24"/>
          <w:szCs w:val="24"/>
        </w:rPr>
        <w:t xml:space="preserve"> For example, one’s care for village elderly might manifest most strongly in one’s genuine deference to their status and role (10.10) and in one’s concern for making their old age peaceful and restful (5.26). In contrast, one’s care for the </w:t>
      </w:r>
      <w:proofErr w:type="gramStart"/>
      <w:r w:rsidRPr="009819CE">
        <w:rPr>
          <w:rFonts w:cs="Times New Roman"/>
          <w:sz w:val="24"/>
          <w:szCs w:val="24"/>
        </w:rPr>
        <w:t>general public</w:t>
      </w:r>
      <w:proofErr w:type="gramEnd"/>
      <w:r w:rsidRPr="009819CE">
        <w:rPr>
          <w:rFonts w:cs="Times New Roman"/>
          <w:sz w:val="24"/>
          <w:szCs w:val="24"/>
        </w:rPr>
        <w:t xml:space="preserve"> might be less personal. It typically results in advising rulers to make people prosperous and instill morality (13.9), rather than ruling with an iron-fist and punishment (2.3). Overall, extension implies a sense of reorganization of psychology that everyone, regardless of who they are to me, should become a genuine person of concern. Part of what “genuine” means is that everyone I care about should be capable of emotionally moving me. However, this reorganization does not imply equal, impartial treatment of all. Rather, our natural pattern of differential interaction should be preserved.</w:t>
      </w:r>
    </w:p>
    <w:p w14:paraId="38AB61D5"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 xml:space="preserve">While much of what I said on extension so far is familiar to Confucian scholars, the implication of extension on worry is less commonly explored. As I begin to care for people outside of my intimate circle, I can no longer remain emotionally unmoved or indifferent to them the way I used to be because what they do, how they live and what happens to them all hold weight in my heart. This implies that as I cultivate myself to care for more people, I also cultivate myself to worry and be moved more broadly. Extension, therefore, is markedly a process of becoming worried about more things and more people beyond one’s intimate circle. Confucius’ disciple </w:t>
      </w:r>
      <w:proofErr w:type="spellStart"/>
      <w:r w:rsidRPr="009819CE">
        <w:rPr>
          <w:rFonts w:cs="Times New Roman"/>
          <w:sz w:val="24"/>
          <w:szCs w:val="24"/>
        </w:rPr>
        <w:t>Zengzi</w:t>
      </w:r>
      <w:proofErr w:type="spellEnd"/>
      <w:r w:rsidRPr="009819CE">
        <w:rPr>
          <w:rFonts w:cs="Times New Roman"/>
          <w:sz w:val="24"/>
          <w:szCs w:val="24"/>
        </w:rPr>
        <w:t xml:space="preserve"> epitomizes this aspect of extension. In addition to his reputation as a filial son, </w:t>
      </w:r>
      <w:proofErr w:type="spellStart"/>
      <w:r w:rsidRPr="009819CE">
        <w:rPr>
          <w:rFonts w:cs="Times New Roman"/>
          <w:sz w:val="24"/>
          <w:szCs w:val="24"/>
        </w:rPr>
        <w:t>Zengzi</w:t>
      </w:r>
      <w:proofErr w:type="spellEnd"/>
      <w:r w:rsidRPr="009819CE">
        <w:rPr>
          <w:rFonts w:cs="Times New Roman"/>
          <w:sz w:val="24"/>
          <w:szCs w:val="24"/>
        </w:rPr>
        <w:t xml:space="preserve"> demonstrates dutiful care and concern for friends and superiors. He introspects </w:t>
      </w:r>
      <w:r w:rsidRPr="009819CE">
        <w:rPr>
          <w:rFonts w:cs="Times New Roman"/>
          <w:sz w:val="24"/>
          <w:szCs w:val="24"/>
        </w:rPr>
        <w:lastRenderedPageBreak/>
        <w:t xml:space="preserve">regularly everyday regarding the following questions: Whether he has been loyal and dutiful when working for others, whether he has been trustworthy for his friends, and whether he has practiced what he has learned that day (1.4). Such scrutiny of whether one has done one’s utmost towards friends and superiors invokes consistent worry. Further, a dedicated Confucian does not stop short of one’s care and concern to friends and superiors only. The goal of Confucian cultivation ultimately aims at caring and benefiting the whole world (6.30, 14.42). </w:t>
      </w:r>
      <w:proofErr w:type="spellStart"/>
      <w:r w:rsidRPr="009819CE">
        <w:rPr>
          <w:rFonts w:cs="Times New Roman"/>
          <w:sz w:val="24"/>
          <w:szCs w:val="24"/>
        </w:rPr>
        <w:t>Zengzi</w:t>
      </w:r>
      <w:proofErr w:type="spellEnd"/>
      <w:r w:rsidRPr="009819CE">
        <w:rPr>
          <w:rFonts w:cs="Times New Roman"/>
          <w:sz w:val="24"/>
          <w:szCs w:val="24"/>
        </w:rPr>
        <w:t xml:space="preserve"> says that “scholar-official must be strong and steadfast, for his burden is heavy and his </w:t>
      </w:r>
      <w:proofErr w:type="spellStart"/>
      <w:r w:rsidRPr="009819CE">
        <w:rPr>
          <w:rFonts w:cs="Times New Roman"/>
          <w:i/>
          <w:iCs/>
          <w:sz w:val="24"/>
          <w:szCs w:val="24"/>
        </w:rPr>
        <w:t>dao</w:t>
      </w:r>
      <w:proofErr w:type="spellEnd"/>
      <w:r w:rsidRPr="009819CE">
        <w:rPr>
          <w:rFonts w:cs="Times New Roman"/>
          <w:sz w:val="24"/>
          <w:szCs w:val="24"/>
        </w:rPr>
        <w:t xml:space="preserve"> is far. </w:t>
      </w:r>
      <w:r w:rsidRPr="009819CE">
        <w:rPr>
          <w:rFonts w:cs="Times New Roman"/>
          <w:i/>
          <w:iCs/>
          <w:sz w:val="24"/>
          <w:szCs w:val="24"/>
        </w:rPr>
        <w:t>Ren</w:t>
      </w:r>
      <w:r w:rsidRPr="009819CE">
        <w:rPr>
          <w:rFonts w:cs="Times New Roman"/>
          <w:sz w:val="24"/>
          <w:szCs w:val="24"/>
        </w:rPr>
        <w:t xml:space="preserve"> is his duty. Is it not heavy? Upon death will his quest end. Is it not far? </w:t>
      </w:r>
      <w:proofErr w:type="spellStart"/>
      <w:r w:rsidRPr="009819CE">
        <w:rPr>
          <w:rFonts w:eastAsia="MS Gothic" w:cs="Times New Roman"/>
          <w:sz w:val="24"/>
          <w:szCs w:val="24"/>
          <w:shd w:val="clear" w:color="auto" w:fill="FFFFFF"/>
        </w:rPr>
        <w:t>士不可以不弘</w:t>
      </w:r>
      <w:r w:rsidRPr="009819CE">
        <w:rPr>
          <w:rFonts w:eastAsia="MS Mincho" w:cs="Times New Roman"/>
          <w:sz w:val="24"/>
          <w:szCs w:val="24"/>
          <w:shd w:val="clear" w:color="auto" w:fill="FFFFFF"/>
        </w:rPr>
        <w:t>毅</w:t>
      </w:r>
      <w:proofErr w:type="spellEnd"/>
      <w:r w:rsidRPr="009819CE">
        <w:rPr>
          <w:rFonts w:cs="Times New Roman"/>
          <w:sz w:val="24"/>
          <w:szCs w:val="24"/>
          <w:shd w:val="clear" w:color="auto" w:fill="FFFFFF"/>
        </w:rPr>
        <w:t xml:space="preserve">, </w:t>
      </w:r>
      <w:proofErr w:type="spellStart"/>
      <w:proofErr w:type="gramStart"/>
      <w:r w:rsidRPr="009819CE">
        <w:rPr>
          <w:rFonts w:eastAsia="MS Gothic" w:cs="Times New Roman"/>
          <w:sz w:val="24"/>
          <w:szCs w:val="24"/>
          <w:shd w:val="clear" w:color="auto" w:fill="FFFFFF"/>
        </w:rPr>
        <w:t>任重而道</w:t>
      </w:r>
      <w:r w:rsidRPr="009819CE">
        <w:rPr>
          <w:rFonts w:eastAsia="MS Mincho" w:cs="Times New Roman"/>
          <w:sz w:val="24"/>
          <w:szCs w:val="24"/>
          <w:shd w:val="clear" w:color="auto" w:fill="FFFFFF"/>
        </w:rPr>
        <w:t>遠</w:t>
      </w:r>
      <w:r w:rsidRPr="009819CE">
        <w:rPr>
          <w:rFonts w:cs="Times New Roman"/>
          <w:sz w:val="24"/>
          <w:szCs w:val="24"/>
          <w:shd w:val="clear" w:color="auto" w:fill="FFFFFF"/>
        </w:rPr>
        <w:t>.</w:t>
      </w:r>
      <w:r w:rsidRPr="009819CE">
        <w:rPr>
          <w:rFonts w:eastAsia="MS Gothic" w:cs="Times New Roman"/>
          <w:sz w:val="24"/>
          <w:szCs w:val="24"/>
          <w:shd w:val="clear" w:color="auto" w:fill="FFFFFF"/>
        </w:rPr>
        <w:t>仁以為己</w:t>
      </w:r>
      <w:r w:rsidRPr="009819CE">
        <w:rPr>
          <w:rFonts w:eastAsia="MS Mincho" w:cs="Times New Roman"/>
          <w:sz w:val="24"/>
          <w:szCs w:val="24"/>
          <w:shd w:val="clear" w:color="auto" w:fill="FFFFFF"/>
        </w:rPr>
        <w:t>任</w:t>
      </w:r>
      <w:proofErr w:type="spellEnd"/>
      <w:proofErr w:type="gramEnd"/>
      <w:r w:rsidRPr="009819CE">
        <w:rPr>
          <w:rFonts w:cs="Times New Roman"/>
          <w:sz w:val="24"/>
          <w:szCs w:val="24"/>
          <w:shd w:val="clear" w:color="auto" w:fill="FFFFFF"/>
        </w:rPr>
        <w:t xml:space="preserve">, </w:t>
      </w:r>
      <w:proofErr w:type="spellStart"/>
      <w:r w:rsidRPr="009819CE">
        <w:rPr>
          <w:rFonts w:eastAsia="MS Gothic" w:cs="Times New Roman"/>
          <w:sz w:val="24"/>
          <w:szCs w:val="24"/>
          <w:shd w:val="clear" w:color="auto" w:fill="FFFFFF"/>
        </w:rPr>
        <w:t>不亦重</w:t>
      </w:r>
      <w:r w:rsidRPr="009819CE">
        <w:rPr>
          <w:rFonts w:eastAsia="MS Mincho" w:cs="Times New Roman"/>
          <w:sz w:val="24"/>
          <w:szCs w:val="24"/>
          <w:shd w:val="clear" w:color="auto" w:fill="FFFFFF"/>
        </w:rPr>
        <w:t>乎</w:t>
      </w:r>
      <w:proofErr w:type="spellEnd"/>
      <w:r w:rsidRPr="009819CE">
        <w:rPr>
          <w:rFonts w:cs="Times New Roman"/>
          <w:sz w:val="24"/>
          <w:szCs w:val="24"/>
          <w:shd w:val="clear" w:color="auto" w:fill="FFFFFF"/>
        </w:rPr>
        <w:t xml:space="preserve">? </w:t>
      </w:r>
      <w:proofErr w:type="spellStart"/>
      <w:r w:rsidRPr="009819CE">
        <w:rPr>
          <w:rFonts w:eastAsia="MS Gothic" w:cs="Times New Roman"/>
          <w:sz w:val="24"/>
          <w:szCs w:val="24"/>
          <w:shd w:val="clear" w:color="auto" w:fill="FFFFFF"/>
        </w:rPr>
        <w:t>死而後</w:t>
      </w:r>
      <w:r w:rsidRPr="009819CE">
        <w:rPr>
          <w:rFonts w:eastAsia="MS Mincho" w:cs="Times New Roman"/>
          <w:sz w:val="24"/>
          <w:szCs w:val="24"/>
          <w:shd w:val="clear" w:color="auto" w:fill="FFFFFF"/>
        </w:rPr>
        <w:t>已</w:t>
      </w:r>
      <w:proofErr w:type="spellEnd"/>
      <w:r w:rsidRPr="009819CE">
        <w:rPr>
          <w:rFonts w:cs="Times New Roman"/>
          <w:sz w:val="24"/>
          <w:szCs w:val="24"/>
          <w:shd w:val="clear" w:color="auto" w:fill="FFFFFF"/>
        </w:rPr>
        <w:t xml:space="preserve">, </w:t>
      </w:r>
      <w:proofErr w:type="spellStart"/>
      <w:r w:rsidRPr="009819CE">
        <w:rPr>
          <w:rFonts w:eastAsia="MS Gothic" w:cs="Times New Roman"/>
          <w:sz w:val="24"/>
          <w:szCs w:val="24"/>
          <w:shd w:val="clear" w:color="auto" w:fill="FFFFFF"/>
        </w:rPr>
        <w:t>不亦遠</w:t>
      </w:r>
      <w:r w:rsidRPr="009819CE">
        <w:rPr>
          <w:rFonts w:eastAsia="MS Mincho" w:cs="Times New Roman"/>
          <w:sz w:val="24"/>
          <w:szCs w:val="24"/>
          <w:shd w:val="clear" w:color="auto" w:fill="FFFFFF"/>
        </w:rPr>
        <w:t>乎</w:t>
      </w:r>
      <w:proofErr w:type="spellEnd"/>
      <w:r w:rsidRPr="009819CE">
        <w:rPr>
          <w:rFonts w:cs="Times New Roman"/>
          <w:sz w:val="24"/>
          <w:szCs w:val="24"/>
          <w:shd w:val="clear" w:color="auto" w:fill="FFFFFF"/>
        </w:rPr>
        <w:t>?</w:t>
      </w:r>
      <w:r w:rsidRPr="009819CE">
        <w:rPr>
          <w:rFonts w:cs="Times New Roman"/>
          <w:sz w:val="24"/>
          <w:szCs w:val="24"/>
        </w:rPr>
        <w:t xml:space="preserve">” </w:t>
      </w:r>
      <w:proofErr w:type="spellStart"/>
      <w:r w:rsidRPr="009819CE">
        <w:rPr>
          <w:rFonts w:cs="Times New Roman"/>
          <w:sz w:val="24"/>
          <w:szCs w:val="24"/>
        </w:rPr>
        <w:t>Zengzi’s</w:t>
      </w:r>
      <w:proofErr w:type="spellEnd"/>
      <w:r w:rsidRPr="009819CE">
        <w:rPr>
          <w:rFonts w:cs="Times New Roman"/>
          <w:sz w:val="24"/>
          <w:szCs w:val="24"/>
        </w:rPr>
        <w:t xml:space="preserve"> determination is not just to become a reliable friend and a loyal official, but to bring forth the Confucian </w:t>
      </w:r>
      <w:proofErr w:type="spellStart"/>
      <w:r w:rsidRPr="009819CE">
        <w:rPr>
          <w:rFonts w:cs="Times New Roman"/>
          <w:i/>
          <w:iCs/>
          <w:sz w:val="24"/>
          <w:szCs w:val="24"/>
        </w:rPr>
        <w:t>dao</w:t>
      </w:r>
      <w:proofErr w:type="spellEnd"/>
      <w:r w:rsidRPr="009819CE">
        <w:rPr>
          <w:rFonts w:cs="Times New Roman"/>
          <w:sz w:val="24"/>
          <w:szCs w:val="24"/>
        </w:rPr>
        <w:t xml:space="preserve"> of </w:t>
      </w:r>
      <w:r w:rsidRPr="009819CE">
        <w:rPr>
          <w:rFonts w:cs="Times New Roman"/>
          <w:i/>
          <w:iCs/>
          <w:sz w:val="24"/>
          <w:szCs w:val="24"/>
        </w:rPr>
        <w:t xml:space="preserve">ren </w:t>
      </w:r>
      <w:r w:rsidRPr="009819CE">
        <w:rPr>
          <w:rFonts w:cs="Times New Roman"/>
          <w:sz w:val="24"/>
          <w:szCs w:val="24"/>
        </w:rPr>
        <w:t>to his world. He makes clear the far end of extension and vividly expresses the accompanying persistent worry one should have.</w:t>
      </w:r>
      <w:r w:rsidRPr="009819CE">
        <w:rPr>
          <w:rStyle w:val="FootnoteReference"/>
          <w:rFonts w:cs="Times New Roman"/>
          <w:sz w:val="24"/>
          <w:szCs w:val="24"/>
        </w:rPr>
        <w:footnoteReference w:id="43"/>
      </w:r>
    </w:p>
    <w:p w14:paraId="21D4FAE1" w14:textId="77777777" w:rsidR="00830739" w:rsidRPr="009819CE" w:rsidRDefault="00830739" w:rsidP="009819CE">
      <w:pPr>
        <w:pStyle w:val="Heading4"/>
        <w:rPr>
          <w:rFonts w:ascii="Times New Roman" w:hAnsi="Times New Roman" w:cs="Times New Roman"/>
          <w:sz w:val="24"/>
          <w:szCs w:val="24"/>
        </w:rPr>
      </w:pPr>
      <w:r w:rsidRPr="009819CE">
        <w:rPr>
          <w:rFonts w:ascii="Times New Roman" w:hAnsi="Times New Roman" w:cs="Times New Roman"/>
          <w:sz w:val="24"/>
          <w:szCs w:val="24"/>
        </w:rPr>
        <w:t>3.3 Development in the Depth of Worrying through Intensification</w:t>
      </w:r>
    </w:p>
    <w:p w14:paraId="02A93CB2"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 xml:space="preserve">The discussion on extension above indicates a need to preserve differential moral attitudes and actions when interacting with different people. This difference is importantly based on relationship. Certain others are simply special to me, which, as discussed above, is partly reflected in their unique capacity to emotionally affect me. In the </w:t>
      </w:r>
      <w:r w:rsidRPr="009819CE">
        <w:rPr>
          <w:rFonts w:cs="Times New Roman"/>
          <w:i/>
          <w:iCs/>
          <w:sz w:val="24"/>
          <w:szCs w:val="24"/>
        </w:rPr>
        <w:t>Analects</w:t>
      </w:r>
      <w:r w:rsidRPr="009819CE">
        <w:rPr>
          <w:rFonts w:cs="Times New Roman"/>
          <w:sz w:val="24"/>
          <w:szCs w:val="24"/>
        </w:rPr>
        <w:t xml:space="preserve">, parents are the archetype among these people, who constitute the initial human connection in which one lives. Importantly, the recognition that there are special people who matter to me much more than </w:t>
      </w:r>
      <w:r w:rsidRPr="009819CE">
        <w:rPr>
          <w:rFonts w:cs="Times New Roman"/>
          <w:sz w:val="24"/>
          <w:szCs w:val="24"/>
        </w:rPr>
        <w:lastRenderedPageBreak/>
        <w:t xml:space="preserve">others does not provide any clear moral </w:t>
      </w:r>
      <w:proofErr w:type="gramStart"/>
      <w:r w:rsidRPr="009819CE">
        <w:rPr>
          <w:rFonts w:cs="Times New Roman"/>
          <w:sz w:val="24"/>
          <w:szCs w:val="24"/>
        </w:rPr>
        <w:t>guidance, but</w:t>
      </w:r>
      <w:proofErr w:type="gramEnd"/>
      <w:r w:rsidRPr="009819CE">
        <w:rPr>
          <w:rFonts w:cs="Times New Roman"/>
          <w:sz w:val="24"/>
          <w:szCs w:val="24"/>
        </w:rPr>
        <w:t xml:space="preserve"> raises clear moral questions. One such question is how to address, or more appropriately, value and cherish those relationships and these people. Relatedly, if I run into a person who I want to hold dear, how do I develop our relationship in appropriate ways? These questions are not addressed by the method of extension. After all, extension is concerned with developing a proper moral attitude and response towards strangers who will likely remain strangers. Learning how to properly care for those who are close and important to us (or to acquire such a relationship) requires a different method of cultivation. </w:t>
      </w:r>
    </w:p>
    <w:p w14:paraId="318A198F"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 xml:space="preserve">The </w:t>
      </w:r>
      <w:r w:rsidRPr="009819CE">
        <w:rPr>
          <w:rFonts w:cs="Times New Roman"/>
          <w:i/>
          <w:iCs/>
          <w:sz w:val="24"/>
          <w:szCs w:val="24"/>
        </w:rPr>
        <w:t xml:space="preserve">Analects </w:t>
      </w:r>
      <w:r w:rsidRPr="009819CE">
        <w:rPr>
          <w:rFonts w:cs="Times New Roman"/>
          <w:sz w:val="24"/>
          <w:szCs w:val="24"/>
        </w:rPr>
        <w:t>suggests another method of cultivation which, to my limited knowledge, has no designated name in the scholarship. Let me term it “</w:t>
      </w:r>
      <w:r w:rsidRPr="009819CE">
        <w:rPr>
          <w:rFonts w:cs="Times New Roman"/>
          <w:i/>
          <w:iCs/>
          <w:sz w:val="24"/>
          <w:szCs w:val="24"/>
        </w:rPr>
        <w:t>intensification</w:t>
      </w:r>
      <w:r w:rsidRPr="009819CE">
        <w:rPr>
          <w:rFonts w:cs="Times New Roman"/>
          <w:sz w:val="24"/>
          <w:szCs w:val="24"/>
        </w:rPr>
        <w:t>,” which denotes that a proper way to cherish intimate and important relationships is to try to involve oneself in their lives and well-being and at the same time, open oneself to be shaped by them in some of the most important aspects of who one is.</w:t>
      </w:r>
      <w:r w:rsidRPr="009819CE">
        <w:rPr>
          <w:rStyle w:val="FootnoteReference"/>
          <w:rFonts w:cs="Times New Roman"/>
          <w:sz w:val="24"/>
          <w:szCs w:val="24"/>
        </w:rPr>
        <w:footnoteReference w:id="44"/>
      </w:r>
      <w:r w:rsidRPr="009819CE">
        <w:rPr>
          <w:rFonts w:cs="Times New Roman"/>
          <w:sz w:val="24"/>
          <w:szCs w:val="24"/>
        </w:rPr>
        <w:t xml:space="preserve"> A part of this method (and the training process) is to become emotionally involved in their well-being, and be moved not only by the cheerful happenings, but also the unfortunate events, the sufferings and worries they have.</w:t>
      </w:r>
      <w:r w:rsidRPr="009819CE">
        <w:rPr>
          <w:rStyle w:val="FootnoteReference"/>
          <w:rFonts w:cs="Times New Roman"/>
          <w:sz w:val="24"/>
          <w:szCs w:val="24"/>
        </w:rPr>
        <w:footnoteReference w:id="45"/>
      </w:r>
      <w:r w:rsidRPr="009819CE">
        <w:rPr>
          <w:rFonts w:cs="Times New Roman"/>
          <w:sz w:val="24"/>
          <w:szCs w:val="24"/>
        </w:rPr>
        <w:t xml:space="preserve"> Given that parents form the archetype of intimate relationships in the </w:t>
      </w:r>
      <w:r w:rsidRPr="009819CE">
        <w:rPr>
          <w:rFonts w:cs="Times New Roman"/>
          <w:i/>
          <w:iCs/>
          <w:sz w:val="24"/>
          <w:szCs w:val="24"/>
        </w:rPr>
        <w:t>Analects</w:t>
      </w:r>
      <w:r w:rsidRPr="009819CE">
        <w:rPr>
          <w:rFonts w:cs="Times New Roman"/>
          <w:sz w:val="24"/>
          <w:szCs w:val="24"/>
        </w:rPr>
        <w:t xml:space="preserve">, I discuss </w:t>
      </w:r>
      <w:r w:rsidRPr="009819CE">
        <w:rPr>
          <w:rFonts w:cs="Times New Roman"/>
          <w:i/>
          <w:iCs/>
          <w:sz w:val="24"/>
          <w:szCs w:val="24"/>
        </w:rPr>
        <w:t xml:space="preserve">xiao </w:t>
      </w:r>
      <w:r w:rsidRPr="009819CE">
        <w:rPr>
          <w:rFonts w:ascii="MS Mincho" w:eastAsia="MS Mincho" w:hAnsi="MS Mincho" w:cs="MS Mincho" w:hint="eastAsia"/>
          <w:sz w:val="24"/>
          <w:szCs w:val="24"/>
        </w:rPr>
        <w:t>孝</w:t>
      </w:r>
      <w:r w:rsidRPr="009819CE">
        <w:rPr>
          <w:rFonts w:cs="Times New Roman"/>
          <w:sz w:val="24"/>
          <w:szCs w:val="24"/>
        </w:rPr>
        <w:t xml:space="preserve">/filial reverence below to illustrate intensification.  </w:t>
      </w:r>
    </w:p>
    <w:p w14:paraId="1A0352D4" w14:textId="77777777" w:rsidR="00830739" w:rsidRPr="009819CE" w:rsidRDefault="00830739" w:rsidP="009819CE">
      <w:pPr>
        <w:spacing w:line="480" w:lineRule="auto"/>
        <w:ind w:firstLine="720"/>
        <w:rPr>
          <w:rFonts w:cs="Times New Roman"/>
          <w:sz w:val="24"/>
          <w:szCs w:val="24"/>
        </w:rPr>
      </w:pPr>
      <w:r w:rsidRPr="009819CE">
        <w:rPr>
          <w:rFonts w:eastAsia="Times New Roman" w:cs="Times New Roman"/>
          <w:sz w:val="24"/>
          <w:szCs w:val="24"/>
        </w:rPr>
        <w:lastRenderedPageBreak/>
        <w:t xml:space="preserve">The various passages about </w:t>
      </w:r>
      <w:r w:rsidRPr="009819CE">
        <w:rPr>
          <w:rFonts w:eastAsia="Times New Roman" w:cs="Times New Roman"/>
          <w:i/>
          <w:iCs/>
          <w:sz w:val="24"/>
          <w:szCs w:val="24"/>
        </w:rPr>
        <w:t xml:space="preserve">xiao </w:t>
      </w:r>
      <w:r w:rsidRPr="009819CE">
        <w:rPr>
          <w:rFonts w:eastAsia="Times New Roman" w:cs="Times New Roman"/>
          <w:sz w:val="24"/>
          <w:szCs w:val="24"/>
        </w:rPr>
        <w:t>show that it</w:t>
      </w:r>
      <w:r w:rsidRPr="009819CE">
        <w:rPr>
          <w:rFonts w:eastAsia="Times New Roman" w:cs="Times New Roman"/>
          <w:i/>
          <w:iCs/>
          <w:sz w:val="24"/>
          <w:szCs w:val="24"/>
        </w:rPr>
        <w:t xml:space="preserve"> </w:t>
      </w:r>
      <w:r w:rsidRPr="009819CE">
        <w:rPr>
          <w:rFonts w:eastAsia="Times New Roman" w:cs="Times New Roman"/>
          <w:sz w:val="24"/>
          <w:szCs w:val="24"/>
        </w:rPr>
        <w:t xml:space="preserve">has a complex content. Arguably, some aspects of </w:t>
      </w:r>
      <w:r w:rsidRPr="009819CE">
        <w:rPr>
          <w:rFonts w:eastAsia="Times New Roman" w:cs="Times New Roman"/>
          <w:i/>
          <w:iCs/>
          <w:sz w:val="24"/>
          <w:szCs w:val="24"/>
        </w:rPr>
        <w:t xml:space="preserve">xiao </w:t>
      </w:r>
      <w:r w:rsidRPr="009819CE">
        <w:rPr>
          <w:rFonts w:eastAsia="Times New Roman" w:cs="Times New Roman"/>
          <w:sz w:val="24"/>
          <w:szCs w:val="24"/>
        </w:rPr>
        <w:t xml:space="preserve">are basic and should be observed by even beginners, while others belong to higher requirements that are only achievable by advanced learners, even though they should remain aspirations for all. Most basically, </w:t>
      </w:r>
      <w:r w:rsidRPr="009819CE">
        <w:rPr>
          <w:rFonts w:cs="Times New Roman"/>
          <w:i/>
          <w:iCs/>
          <w:sz w:val="24"/>
          <w:szCs w:val="24"/>
        </w:rPr>
        <w:t>xiao</w:t>
      </w:r>
      <w:r w:rsidRPr="009819CE">
        <w:rPr>
          <w:rFonts w:cs="Times New Roman"/>
          <w:sz w:val="24"/>
          <w:szCs w:val="24"/>
        </w:rPr>
        <w:t xml:space="preserve"> requires proper respect for parents in addition to material provision (2.7). However, being respectful and having proper demeanor do not exhaust </w:t>
      </w:r>
      <w:r w:rsidRPr="009819CE">
        <w:rPr>
          <w:rFonts w:cs="Times New Roman"/>
          <w:i/>
          <w:iCs/>
          <w:sz w:val="24"/>
          <w:szCs w:val="24"/>
        </w:rPr>
        <w:t xml:space="preserve">xiao. </w:t>
      </w:r>
      <w:r w:rsidRPr="009819CE">
        <w:rPr>
          <w:rFonts w:cs="Times New Roman"/>
          <w:sz w:val="24"/>
          <w:szCs w:val="24"/>
        </w:rPr>
        <w:t xml:space="preserve">An exemplar of </w:t>
      </w:r>
      <w:r w:rsidRPr="009819CE">
        <w:rPr>
          <w:rFonts w:cs="Times New Roman"/>
          <w:i/>
          <w:iCs/>
          <w:sz w:val="24"/>
          <w:szCs w:val="24"/>
        </w:rPr>
        <w:t xml:space="preserve">xiao </w:t>
      </w:r>
      <w:r w:rsidRPr="009819CE">
        <w:rPr>
          <w:rFonts w:cs="Times New Roman"/>
          <w:sz w:val="24"/>
          <w:szCs w:val="24"/>
        </w:rPr>
        <w:t xml:space="preserve">can perform acts with proper demeanors. So can someone who is still working on </w:t>
      </w:r>
      <w:r w:rsidRPr="009819CE">
        <w:rPr>
          <w:rFonts w:cs="Times New Roman"/>
          <w:i/>
          <w:iCs/>
          <w:sz w:val="24"/>
          <w:szCs w:val="24"/>
        </w:rPr>
        <w:t>xiao</w:t>
      </w:r>
      <w:r w:rsidRPr="009819CE">
        <w:rPr>
          <w:rFonts w:cs="Times New Roman"/>
          <w:sz w:val="24"/>
          <w:szCs w:val="24"/>
        </w:rPr>
        <w:t xml:space="preserve">. Part of the difference is found in the state of mind. Passage 2.6 and 4.18 illuminate the difference. </w:t>
      </w:r>
      <w:r w:rsidRPr="009819CE">
        <w:rPr>
          <w:rFonts w:cs="Times New Roman"/>
          <w:i/>
          <w:iCs/>
          <w:sz w:val="24"/>
          <w:szCs w:val="24"/>
        </w:rPr>
        <w:t xml:space="preserve"> </w:t>
      </w:r>
    </w:p>
    <w:p w14:paraId="0C8D4B43" w14:textId="77777777" w:rsidR="00830739" w:rsidRPr="009819CE" w:rsidRDefault="00830739" w:rsidP="009819CE">
      <w:pPr>
        <w:spacing w:line="480" w:lineRule="auto"/>
        <w:ind w:firstLine="720"/>
        <w:rPr>
          <w:rFonts w:cs="Times New Roman"/>
          <w:sz w:val="24"/>
          <w:szCs w:val="24"/>
        </w:rPr>
      </w:pPr>
      <w:bookmarkStart w:id="11" w:name="_Hlk60249587"/>
      <w:r w:rsidRPr="009819CE">
        <w:rPr>
          <w:rFonts w:cs="Times New Roman"/>
          <w:sz w:val="24"/>
          <w:szCs w:val="24"/>
        </w:rPr>
        <w:t>In 2.6, Confucius says that a child should recognize and reciprocate parents’ concerns, and not let parents worry about oneself except for uncontrollable events such as illness.</w:t>
      </w:r>
      <w:r w:rsidRPr="009819CE">
        <w:rPr>
          <w:rStyle w:val="FootnoteReference"/>
          <w:rFonts w:cs="Times New Roman"/>
          <w:sz w:val="24"/>
          <w:szCs w:val="24"/>
        </w:rPr>
        <w:footnoteReference w:id="46"/>
      </w:r>
      <w:r w:rsidRPr="009819CE">
        <w:rPr>
          <w:rFonts w:cs="Times New Roman"/>
          <w:sz w:val="24"/>
          <w:szCs w:val="24"/>
        </w:rPr>
        <w:t xml:space="preserve"> Zhu Xi </w:t>
      </w:r>
      <w:proofErr w:type="spellStart"/>
      <w:r w:rsidRPr="009819CE">
        <w:rPr>
          <w:rFonts w:ascii="MS Gothic" w:eastAsia="MS Gothic" w:hAnsi="MS Gothic" w:cs="MS Gothic" w:hint="eastAsia"/>
          <w:sz w:val="24"/>
          <w:szCs w:val="24"/>
        </w:rPr>
        <w:t>朱</w:t>
      </w:r>
      <w:r w:rsidRPr="009819CE">
        <w:rPr>
          <w:rFonts w:ascii="MS Mincho" w:eastAsia="MS Mincho" w:hAnsi="MS Mincho" w:cs="MS Mincho" w:hint="eastAsia"/>
          <w:sz w:val="24"/>
          <w:szCs w:val="24"/>
        </w:rPr>
        <w:t>熹</w:t>
      </w:r>
      <w:r w:rsidRPr="009819CE">
        <w:rPr>
          <w:rFonts w:cs="Times New Roman"/>
          <w:sz w:val="24"/>
          <w:szCs w:val="24"/>
        </w:rPr>
        <w:t>’s</w:t>
      </w:r>
      <w:proofErr w:type="spellEnd"/>
      <w:r w:rsidRPr="009819CE">
        <w:rPr>
          <w:rFonts w:cs="Times New Roman"/>
          <w:sz w:val="24"/>
          <w:szCs w:val="24"/>
        </w:rPr>
        <w:t xml:space="preserve"> commentary suggests that an important message of this passage is reciprocity and empathy.</w:t>
      </w:r>
      <w:r w:rsidRPr="009819CE">
        <w:rPr>
          <w:rStyle w:val="FootnoteReference"/>
          <w:rFonts w:cs="Times New Roman"/>
          <w:sz w:val="24"/>
          <w:szCs w:val="24"/>
        </w:rPr>
        <w:footnoteReference w:id="47"/>
      </w:r>
      <w:r w:rsidRPr="009819CE">
        <w:rPr>
          <w:rFonts w:cs="Times New Roman"/>
          <w:sz w:val="24"/>
          <w:szCs w:val="24"/>
        </w:rPr>
        <w:t xml:space="preserve"> Taking care of oneself is obviously a part of the advice. More importantly, one should understand parents’ heart and mind and reciprocate. Parents’ love and care for the child lead them to be stressed about numerous things in their child’s life, and the child should take to heart parents’ love and worries. When an agent attends to parents’ worries, she may recognize that often, her parents’ worries center around her. While she may not eliminate </w:t>
      </w:r>
      <w:proofErr w:type="gramStart"/>
      <w:r w:rsidRPr="009819CE">
        <w:rPr>
          <w:rFonts w:cs="Times New Roman"/>
          <w:sz w:val="24"/>
          <w:szCs w:val="24"/>
        </w:rPr>
        <w:t>all of</w:t>
      </w:r>
      <w:proofErr w:type="gramEnd"/>
      <w:r w:rsidRPr="009819CE">
        <w:rPr>
          <w:rFonts w:cs="Times New Roman"/>
          <w:sz w:val="24"/>
          <w:szCs w:val="24"/>
        </w:rPr>
        <w:t xml:space="preserve"> her parents’ worries, she can certainly work on the parts about her. Thus, she needs to be attuned to their concerns and aspirations for her. In this way, parents’ </w:t>
      </w:r>
      <w:proofErr w:type="gramStart"/>
      <w:r w:rsidRPr="009819CE">
        <w:rPr>
          <w:rFonts w:cs="Times New Roman"/>
          <w:sz w:val="24"/>
          <w:szCs w:val="24"/>
        </w:rPr>
        <w:t>wishes</w:t>
      </w:r>
      <w:proofErr w:type="gramEnd"/>
      <w:r w:rsidRPr="009819CE">
        <w:rPr>
          <w:rFonts w:cs="Times New Roman"/>
          <w:sz w:val="24"/>
          <w:szCs w:val="24"/>
        </w:rPr>
        <w:t xml:space="preserve"> and concerns are no longer their own, but understood and shared by the child. </w:t>
      </w:r>
    </w:p>
    <w:p w14:paraId="238CFE51"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lastRenderedPageBreak/>
        <w:t>Traditional commentaries provide numerous ideas of parents’ concerns.</w:t>
      </w:r>
      <w:r w:rsidRPr="009819CE">
        <w:rPr>
          <w:rStyle w:val="FootnoteReference"/>
          <w:rFonts w:cs="Times New Roman"/>
          <w:sz w:val="24"/>
          <w:szCs w:val="24"/>
        </w:rPr>
        <w:footnoteReference w:id="48"/>
      </w:r>
      <w:r w:rsidRPr="009819CE">
        <w:rPr>
          <w:rFonts w:cs="Times New Roman"/>
          <w:sz w:val="24"/>
          <w:szCs w:val="24"/>
        </w:rPr>
        <w:t xml:space="preserve"> One key theme shared by commentators across periods of time is that parents are worried about kids not taking care of themselves and committing wrongs in society or against themselves. Thus, </w:t>
      </w:r>
      <w:proofErr w:type="gramStart"/>
      <w:r w:rsidRPr="009819CE">
        <w:rPr>
          <w:rFonts w:cs="Times New Roman"/>
          <w:sz w:val="24"/>
          <w:szCs w:val="24"/>
        </w:rPr>
        <w:t>in order to</w:t>
      </w:r>
      <w:proofErr w:type="gramEnd"/>
      <w:r w:rsidRPr="009819CE">
        <w:rPr>
          <w:rFonts w:cs="Times New Roman"/>
          <w:sz w:val="24"/>
          <w:szCs w:val="24"/>
        </w:rPr>
        <w:t xml:space="preserve"> subdue parents’ worries, children should actively guard against committing wrongs in speech, conduct, habit or any other areas that may cause concerns. Not committing wrongs should be sufficiently motivating for most agents even if there is no force coming from parents. This passage, therefore, emphasizes that learners should be worried about parents’ concerns and regard subduing parents’ concerns as an additional source of motivation for rectifying oneself. </w:t>
      </w:r>
    </w:p>
    <w:p w14:paraId="73052D02"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 xml:space="preserve">4.18 is another rich passage for </w:t>
      </w:r>
      <w:r w:rsidRPr="009819CE">
        <w:rPr>
          <w:rFonts w:cs="Times New Roman"/>
          <w:i/>
          <w:iCs/>
          <w:sz w:val="24"/>
          <w:szCs w:val="24"/>
        </w:rPr>
        <w:t xml:space="preserve">xiao. </w:t>
      </w:r>
      <w:r w:rsidRPr="009819CE">
        <w:rPr>
          <w:rFonts w:cs="Times New Roman"/>
          <w:sz w:val="24"/>
          <w:szCs w:val="24"/>
        </w:rPr>
        <w:t xml:space="preserve">“When it comes to serving parents, you should gently remonstrate them. When you see that your will is not followed by your parents, you ought to remain reverent [toward your parents] but not go against [your will]. Labor over it [i.e., remonstration] but do not resent [your parents] </w:t>
      </w:r>
      <w:proofErr w:type="spellStart"/>
      <w:r w:rsidRPr="009819CE">
        <w:rPr>
          <w:rFonts w:ascii="MS Gothic" w:eastAsia="MS Gothic" w:hAnsi="MS Gothic" w:cs="MS Gothic" w:hint="eastAsia"/>
          <w:sz w:val="24"/>
          <w:szCs w:val="24"/>
          <w:shd w:val="clear" w:color="auto" w:fill="FFFFFF"/>
        </w:rPr>
        <w:t>事父母幾</w:t>
      </w:r>
      <w:r w:rsidRPr="009819CE">
        <w:rPr>
          <w:rFonts w:ascii="MS Mincho" w:eastAsia="MS Mincho" w:hAnsi="MS Mincho" w:cs="MS Mincho" w:hint="eastAsia"/>
          <w:sz w:val="24"/>
          <w:szCs w:val="24"/>
          <w:shd w:val="clear" w:color="auto" w:fill="FFFFFF"/>
        </w:rPr>
        <w:t>諫</w:t>
      </w:r>
      <w:proofErr w:type="spellEnd"/>
      <w:r w:rsidRPr="009819CE">
        <w:rPr>
          <w:rFonts w:cs="Times New Roman"/>
          <w:sz w:val="24"/>
          <w:szCs w:val="24"/>
          <w:shd w:val="clear" w:color="auto" w:fill="FFFFFF"/>
        </w:rPr>
        <w:t xml:space="preserve">. </w:t>
      </w:r>
      <w:proofErr w:type="spellStart"/>
      <w:r w:rsidRPr="009819CE">
        <w:rPr>
          <w:rFonts w:ascii="MS Gothic" w:eastAsia="MS Gothic" w:hAnsi="MS Gothic" w:cs="MS Gothic" w:hint="eastAsia"/>
          <w:sz w:val="24"/>
          <w:szCs w:val="24"/>
          <w:shd w:val="clear" w:color="auto" w:fill="FFFFFF"/>
        </w:rPr>
        <w:t>見志不</w:t>
      </w:r>
      <w:r w:rsidRPr="009819CE">
        <w:rPr>
          <w:rFonts w:ascii="MS Mincho" w:eastAsia="MS Mincho" w:hAnsi="MS Mincho" w:cs="MS Mincho" w:hint="eastAsia"/>
          <w:sz w:val="24"/>
          <w:szCs w:val="24"/>
          <w:shd w:val="clear" w:color="auto" w:fill="FFFFFF"/>
        </w:rPr>
        <w:t>從</w:t>
      </w:r>
      <w:proofErr w:type="spellEnd"/>
      <w:r w:rsidRPr="009819CE">
        <w:rPr>
          <w:rFonts w:cs="Times New Roman"/>
          <w:sz w:val="24"/>
          <w:szCs w:val="24"/>
          <w:shd w:val="clear" w:color="auto" w:fill="FFFFFF"/>
        </w:rPr>
        <w:t xml:space="preserve">, </w:t>
      </w:r>
      <w:proofErr w:type="spellStart"/>
      <w:r w:rsidRPr="009819CE">
        <w:rPr>
          <w:rFonts w:ascii="MS Gothic" w:eastAsia="MS Gothic" w:hAnsi="MS Gothic" w:cs="MS Gothic" w:hint="eastAsia"/>
          <w:sz w:val="24"/>
          <w:szCs w:val="24"/>
          <w:shd w:val="clear" w:color="auto" w:fill="FFFFFF"/>
        </w:rPr>
        <w:t>又敬不</w:t>
      </w:r>
      <w:r w:rsidRPr="009819CE">
        <w:rPr>
          <w:rFonts w:ascii="MS Mincho" w:eastAsia="MS Mincho" w:hAnsi="MS Mincho" w:cs="MS Mincho" w:hint="eastAsia"/>
          <w:sz w:val="24"/>
          <w:szCs w:val="24"/>
          <w:shd w:val="clear" w:color="auto" w:fill="FFFFFF"/>
        </w:rPr>
        <w:t>違</w:t>
      </w:r>
      <w:proofErr w:type="spellEnd"/>
      <w:r w:rsidRPr="009819CE">
        <w:rPr>
          <w:rFonts w:cs="Times New Roman"/>
          <w:sz w:val="24"/>
          <w:szCs w:val="24"/>
          <w:shd w:val="clear" w:color="auto" w:fill="FFFFFF"/>
        </w:rPr>
        <w:t xml:space="preserve">, </w:t>
      </w:r>
      <w:proofErr w:type="spellStart"/>
      <w:r w:rsidRPr="009819CE">
        <w:rPr>
          <w:rFonts w:ascii="MS Gothic" w:eastAsia="MS Gothic" w:hAnsi="MS Gothic" w:cs="MS Gothic" w:hint="eastAsia"/>
          <w:sz w:val="24"/>
          <w:szCs w:val="24"/>
          <w:shd w:val="clear" w:color="auto" w:fill="FFFFFF"/>
        </w:rPr>
        <w:t>勞而不</w:t>
      </w:r>
      <w:r w:rsidRPr="009819CE">
        <w:rPr>
          <w:rFonts w:ascii="MS Mincho" w:eastAsia="MS Mincho" w:hAnsi="MS Mincho" w:cs="MS Mincho" w:hint="eastAsia"/>
          <w:sz w:val="24"/>
          <w:szCs w:val="24"/>
          <w:shd w:val="clear" w:color="auto" w:fill="FFFFFF"/>
        </w:rPr>
        <w:t>怨</w:t>
      </w:r>
      <w:proofErr w:type="spellEnd"/>
      <w:r w:rsidRPr="009819CE">
        <w:rPr>
          <w:rFonts w:cs="Times New Roman"/>
          <w:sz w:val="24"/>
          <w:szCs w:val="24"/>
          <w:shd w:val="clear" w:color="auto" w:fill="FFFFFF"/>
        </w:rPr>
        <w:t>.</w:t>
      </w:r>
      <w:r w:rsidRPr="009819CE">
        <w:rPr>
          <w:rFonts w:cs="Times New Roman"/>
          <w:sz w:val="24"/>
          <w:szCs w:val="24"/>
        </w:rPr>
        <w:t>”</w:t>
      </w:r>
      <w:r w:rsidRPr="009819CE">
        <w:rPr>
          <w:rStyle w:val="FootnoteReference"/>
          <w:rFonts w:cs="Times New Roman"/>
          <w:sz w:val="24"/>
          <w:szCs w:val="24"/>
        </w:rPr>
        <w:footnoteReference w:id="49"/>
      </w:r>
      <w:r w:rsidRPr="009819CE">
        <w:rPr>
          <w:rFonts w:cs="Times New Roman"/>
          <w:sz w:val="24"/>
          <w:szCs w:val="24"/>
        </w:rPr>
        <w:t xml:space="preserve"> Parents’ mistakes are no longer their own, but bear on the child’s conscience such that she actively seeks to correct them. While the text does not explicitly state the kind of mistakes parents make, the fact that Confucius recommends persistent remonstration indicates the seriousness and stubbornness of those mistakes. It is a genuine possibility, therefore, that Confucius is indicating deep-seated problems such as those rooted in age-old habits and character. It is from this genuine desire for parents to be free from serious problems and the failed attempts to change them that Confucius comments on the deep bitterness of being </w:t>
      </w:r>
      <w:r w:rsidRPr="009819CE">
        <w:rPr>
          <w:rFonts w:cs="Times New Roman"/>
          <w:i/>
          <w:iCs/>
          <w:sz w:val="24"/>
          <w:szCs w:val="24"/>
        </w:rPr>
        <w:t>xiao</w:t>
      </w:r>
      <w:r w:rsidRPr="009819CE">
        <w:rPr>
          <w:rFonts w:cs="Times New Roman"/>
          <w:sz w:val="24"/>
          <w:szCs w:val="24"/>
        </w:rPr>
        <w:t>, that the child should “labor over it [remonstration], but do not resent [your parents]” (</w:t>
      </w:r>
      <w:proofErr w:type="spellStart"/>
      <w:r w:rsidRPr="009819CE">
        <w:rPr>
          <w:rFonts w:ascii="MS Gothic" w:eastAsia="MS Gothic" w:hAnsi="MS Gothic" w:cs="MS Gothic" w:hint="eastAsia"/>
          <w:sz w:val="24"/>
          <w:szCs w:val="24"/>
        </w:rPr>
        <w:t>勞而不</w:t>
      </w:r>
      <w:r w:rsidRPr="009819CE">
        <w:rPr>
          <w:rFonts w:ascii="MS Mincho" w:eastAsia="MS Mincho" w:hAnsi="MS Mincho" w:cs="MS Mincho" w:hint="eastAsia"/>
          <w:sz w:val="24"/>
          <w:szCs w:val="24"/>
        </w:rPr>
        <w:t>怨</w:t>
      </w:r>
      <w:proofErr w:type="spellEnd"/>
      <w:r w:rsidRPr="009819CE">
        <w:rPr>
          <w:rFonts w:cs="Times New Roman"/>
          <w:sz w:val="24"/>
          <w:szCs w:val="24"/>
        </w:rPr>
        <w:t xml:space="preserve">). </w:t>
      </w:r>
    </w:p>
    <w:p w14:paraId="289C9FC9"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lastRenderedPageBreak/>
        <w:t xml:space="preserve">What is remarkable about this passage is its acknowledgement of the strong, negative emotion of resentment towards one’s parents that a </w:t>
      </w:r>
      <w:r w:rsidRPr="009819CE">
        <w:rPr>
          <w:rFonts w:cs="Times New Roman"/>
          <w:i/>
          <w:iCs/>
          <w:sz w:val="24"/>
          <w:szCs w:val="24"/>
        </w:rPr>
        <w:t>xiao</w:t>
      </w:r>
      <w:r w:rsidRPr="009819CE">
        <w:rPr>
          <w:rFonts w:cs="Times New Roman"/>
          <w:sz w:val="24"/>
          <w:szCs w:val="24"/>
        </w:rPr>
        <w:t>-aspiring child could have. However, this resentment does not come from the child brooding over parents’ “unfair” treatments towards him or her, but out of the child’s deep care, concern, and responsibility for parents. In other words, the resentment results from the fact that the child is worried sick, frustrated, and yet not willing to give up on helping parents to improve. Nonetheless, even though such resentment may be morally justified to the extent that its source is morally appropriate, one should still manage it and redirect one’s care and worry to further remonstration.</w:t>
      </w:r>
      <w:r w:rsidRPr="009819CE">
        <w:rPr>
          <w:rStyle w:val="FootnoteReference"/>
          <w:rFonts w:cs="Times New Roman"/>
          <w:sz w:val="24"/>
          <w:szCs w:val="24"/>
        </w:rPr>
        <w:footnoteReference w:id="50"/>
      </w:r>
      <w:r w:rsidRPr="009819CE">
        <w:rPr>
          <w:rFonts w:cs="Times New Roman"/>
          <w:sz w:val="24"/>
          <w:szCs w:val="24"/>
        </w:rPr>
        <w:t xml:space="preserve"> In other words, the implied in the short line of “do not resent” is a suggestion that “please do not give up either.” Rather, one should keep on being worried, concerned, and care for parents and “labor over it [remonstration].” Perhaps, in the tug of war between parents’ stubbornness and the child’s tireless effort, there can come an improvement that enables parents to live better than before. Therefore, this passage recommends that children should take the well-being of their parents as a serious personal matter that deserves commitment and perseverance.</w:t>
      </w:r>
    </w:p>
    <w:bookmarkEnd w:id="11"/>
    <w:p w14:paraId="1BAAB7D1"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 xml:space="preserve">In whatever way </w:t>
      </w:r>
      <w:r w:rsidRPr="009819CE">
        <w:rPr>
          <w:rFonts w:cs="Times New Roman"/>
          <w:i/>
          <w:iCs/>
          <w:sz w:val="24"/>
          <w:szCs w:val="24"/>
        </w:rPr>
        <w:t xml:space="preserve">xiao </w:t>
      </w:r>
      <w:r w:rsidRPr="009819CE">
        <w:rPr>
          <w:rFonts w:cs="Times New Roman"/>
          <w:sz w:val="24"/>
          <w:szCs w:val="24"/>
        </w:rPr>
        <w:t xml:space="preserve">develops or manifests, 2.6 and 4.18 demonstrate that </w:t>
      </w:r>
      <w:r w:rsidRPr="009819CE">
        <w:rPr>
          <w:rFonts w:cs="Times New Roman"/>
          <w:i/>
          <w:iCs/>
          <w:sz w:val="24"/>
          <w:szCs w:val="24"/>
        </w:rPr>
        <w:t xml:space="preserve">xiao </w:t>
      </w:r>
      <w:r w:rsidRPr="009819CE">
        <w:rPr>
          <w:rFonts w:cs="Times New Roman"/>
          <w:sz w:val="24"/>
          <w:szCs w:val="24"/>
        </w:rPr>
        <w:t xml:space="preserve">is related to the significance of parents in actively and positively structuring one’s character and states of mind. Because a significant part of parents’ well-being is centered on oneself, one’s care for parents’ well-being motivates one to work on oneself. How one speaks, behaves, habitually does, and arguably, one’s whole comportment are shaped by parents’ concerns for oneself and one’s concerns for them. The motivational structure of the agent is changed in that parents’ concerns </w:t>
      </w:r>
      <w:r w:rsidRPr="009819CE">
        <w:rPr>
          <w:rFonts w:cs="Times New Roman"/>
          <w:i/>
          <w:iCs/>
          <w:sz w:val="24"/>
          <w:szCs w:val="24"/>
        </w:rPr>
        <w:t>become</w:t>
      </w:r>
      <w:r w:rsidRPr="009819CE">
        <w:rPr>
          <w:rFonts w:cs="Times New Roman"/>
          <w:sz w:val="24"/>
          <w:szCs w:val="24"/>
        </w:rPr>
        <w:t xml:space="preserve"> a motivating factor for self-cultivation. In addition, parents’ well-being overall becomes the agent’s own serious project. Parents’ well-being, including material, emotional, and character </w:t>
      </w:r>
      <w:r w:rsidRPr="009819CE">
        <w:rPr>
          <w:rFonts w:cs="Times New Roman"/>
          <w:sz w:val="24"/>
          <w:szCs w:val="24"/>
        </w:rPr>
        <w:lastRenderedPageBreak/>
        <w:t xml:space="preserve">well-being, gradually changes from their matter to a constant concern in one’s mind. Through development of </w:t>
      </w:r>
      <w:r w:rsidRPr="009819CE">
        <w:rPr>
          <w:rFonts w:cs="Times New Roman"/>
          <w:i/>
          <w:iCs/>
          <w:sz w:val="24"/>
          <w:szCs w:val="24"/>
        </w:rPr>
        <w:t>xiao</w:t>
      </w:r>
      <w:r w:rsidRPr="009819CE">
        <w:rPr>
          <w:rFonts w:cs="Times New Roman"/>
          <w:sz w:val="24"/>
          <w:szCs w:val="24"/>
        </w:rPr>
        <w:t xml:space="preserve">, their well-being ceases to be an after-thought trailing behind other concerns one </w:t>
      </w:r>
      <w:proofErr w:type="gramStart"/>
      <w:r w:rsidRPr="009819CE">
        <w:rPr>
          <w:rFonts w:cs="Times New Roman"/>
          <w:sz w:val="24"/>
          <w:szCs w:val="24"/>
        </w:rPr>
        <w:t>has, but</w:t>
      </w:r>
      <w:proofErr w:type="gramEnd"/>
      <w:r w:rsidRPr="009819CE">
        <w:rPr>
          <w:rFonts w:cs="Times New Roman"/>
          <w:sz w:val="24"/>
          <w:szCs w:val="24"/>
        </w:rPr>
        <w:t xml:space="preserve"> is actively considered and valued at the forefront of one’s attention. Therefore, development in </w:t>
      </w:r>
      <w:r w:rsidRPr="009819CE">
        <w:rPr>
          <w:rFonts w:cs="Times New Roman"/>
          <w:i/>
          <w:iCs/>
          <w:sz w:val="24"/>
          <w:szCs w:val="24"/>
        </w:rPr>
        <w:t>xiao</w:t>
      </w:r>
      <w:r w:rsidRPr="009819CE">
        <w:rPr>
          <w:rFonts w:cs="Times New Roman"/>
          <w:sz w:val="24"/>
          <w:szCs w:val="24"/>
        </w:rPr>
        <w:t xml:space="preserve"> structures some of the most important aspects of a person, including motivational structures and dedicated personal projects. </w:t>
      </w:r>
    </w:p>
    <w:p w14:paraId="7F5A7F93" w14:textId="77777777" w:rsidR="00830739" w:rsidRPr="009819CE" w:rsidRDefault="00830739" w:rsidP="009819CE">
      <w:pPr>
        <w:spacing w:line="480" w:lineRule="auto"/>
        <w:ind w:firstLine="720"/>
        <w:rPr>
          <w:rFonts w:cs="Times New Roman"/>
          <w:sz w:val="24"/>
          <w:szCs w:val="24"/>
        </w:rPr>
      </w:pPr>
      <w:r w:rsidRPr="009819CE">
        <w:rPr>
          <w:rFonts w:cs="Times New Roman"/>
          <w:sz w:val="24"/>
          <w:szCs w:val="24"/>
        </w:rPr>
        <w:t xml:space="preserve">Certain features of developing </w:t>
      </w:r>
      <w:r w:rsidRPr="009819CE">
        <w:rPr>
          <w:rFonts w:cs="Times New Roman"/>
          <w:i/>
          <w:iCs/>
          <w:sz w:val="24"/>
          <w:szCs w:val="24"/>
        </w:rPr>
        <w:t>xiao</w:t>
      </w:r>
      <w:r w:rsidRPr="009819CE">
        <w:rPr>
          <w:rFonts w:cs="Times New Roman"/>
          <w:sz w:val="24"/>
          <w:szCs w:val="24"/>
        </w:rPr>
        <w:t xml:space="preserve"> are relevant for intensification in general. </w:t>
      </w:r>
      <w:proofErr w:type="gramStart"/>
      <w:r w:rsidRPr="009819CE">
        <w:rPr>
          <w:rFonts w:cs="Times New Roman"/>
          <w:sz w:val="24"/>
          <w:szCs w:val="24"/>
        </w:rPr>
        <w:t>First of all</w:t>
      </w:r>
      <w:proofErr w:type="gramEnd"/>
      <w:r w:rsidRPr="009819CE">
        <w:rPr>
          <w:rFonts w:cs="Times New Roman"/>
          <w:sz w:val="24"/>
          <w:szCs w:val="24"/>
        </w:rPr>
        <w:t xml:space="preserve">, the strengthened relationship likely changes the agent’s motivation for actions (and even self-improvement). Parent-child relationship should not be the only relationship that can possess such power. Words from a deeply caring and intimate teacher should also motivate one to improve oneself, even if the path of improvement seems endless and hard (9.11). Second, an agent might take up serious commitment and life-project due to intensification. While </w:t>
      </w:r>
      <w:r w:rsidRPr="009819CE">
        <w:rPr>
          <w:rFonts w:cs="Times New Roman"/>
          <w:i/>
          <w:iCs/>
          <w:sz w:val="24"/>
          <w:szCs w:val="24"/>
        </w:rPr>
        <w:t>xiao</w:t>
      </w:r>
      <w:r w:rsidRPr="009819CE">
        <w:rPr>
          <w:rFonts w:cs="Times New Roman"/>
          <w:sz w:val="24"/>
          <w:szCs w:val="24"/>
        </w:rPr>
        <w:t xml:space="preserve"> provides a clear example, </w:t>
      </w:r>
      <w:proofErr w:type="spellStart"/>
      <w:r w:rsidRPr="009819CE">
        <w:rPr>
          <w:rFonts w:cs="Times New Roman"/>
          <w:sz w:val="24"/>
          <w:szCs w:val="24"/>
        </w:rPr>
        <w:t>Zengzi’s</w:t>
      </w:r>
      <w:proofErr w:type="spellEnd"/>
      <w:r w:rsidRPr="009819CE">
        <w:rPr>
          <w:rFonts w:cs="Times New Roman"/>
          <w:sz w:val="24"/>
          <w:szCs w:val="24"/>
        </w:rPr>
        <w:t xml:space="preserve"> comment on the duty of shouldering </w:t>
      </w:r>
      <w:r w:rsidRPr="009819CE">
        <w:rPr>
          <w:rFonts w:cs="Times New Roman"/>
          <w:i/>
          <w:iCs/>
          <w:sz w:val="24"/>
          <w:szCs w:val="24"/>
        </w:rPr>
        <w:t>ren</w:t>
      </w:r>
      <w:r w:rsidRPr="009819CE">
        <w:rPr>
          <w:rFonts w:cs="Times New Roman"/>
          <w:sz w:val="24"/>
          <w:szCs w:val="24"/>
        </w:rPr>
        <w:t xml:space="preserve"> presents another case in point. </w:t>
      </w:r>
      <w:proofErr w:type="spellStart"/>
      <w:r w:rsidRPr="009819CE">
        <w:rPr>
          <w:rFonts w:cs="Times New Roman"/>
          <w:sz w:val="24"/>
          <w:szCs w:val="24"/>
        </w:rPr>
        <w:t>Zengzi</w:t>
      </w:r>
      <w:proofErr w:type="spellEnd"/>
      <w:r w:rsidRPr="009819CE">
        <w:rPr>
          <w:rFonts w:cs="Times New Roman"/>
          <w:sz w:val="24"/>
          <w:szCs w:val="24"/>
        </w:rPr>
        <w:t xml:space="preserve"> wholeheartedly devotes himself to the project his teacher pursues. While a part of the reason for </w:t>
      </w:r>
      <w:proofErr w:type="spellStart"/>
      <w:r w:rsidRPr="009819CE">
        <w:rPr>
          <w:rFonts w:cs="Times New Roman"/>
          <w:sz w:val="24"/>
          <w:szCs w:val="24"/>
        </w:rPr>
        <w:t>Zengzi’s</w:t>
      </w:r>
      <w:proofErr w:type="spellEnd"/>
      <w:r w:rsidRPr="009819CE">
        <w:rPr>
          <w:rFonts w:cs="Times New Roman"/>
          <w:sz w:val="24"/>
          <w:szCs w:val="24"/>
        </w:rPr>
        <w:t xml:space="preserve"> devotion surely has to do with his reflective endorsement of the Confucian </w:t>
      </w:r>
      <w:proofErr w:type="spellStart"/>
      <w:r w:rsidRPr="009819CE">
        <w:rPr>
          <w:rFonts w:cs="Times New Roman"/>
          <w:i/>
          <w:iCs/>
          <w:sz w:val="24"/>
          <w:szCs w:val="24"/>
        </w:rPr>
        <w:t>dao</w:t>
      </w:r>
      <w:proofErr w:type="spellEnd"/>
      <w:r w:rsidRPr="009819CE">
        <w:rPr>
          <w:rFonts w:cs="Times New Roman"/>
          <w:sz w:val="24"/>
          <w:szCs w:val="24"/>
        </w:rPr>
        <w:t xml:space="preserve">, it seems plausible that </w:t>
      </w:r>
      <w:proofErr w:type="spellStart"/>
      <w:r w:rsidRPr="009819CE">
        <w:rPr>
          <w:rFonts w:cs="Times New Roman"/>
          <w:sz w:val="24"/>
          <w:szCs w:val="24"/>
        </w:rPr>
        <w:t>Zengzi’s</w:t>
      </w:r>
      <w:proofErr w:type="spellEnd"/>
      <w:r w:rsidRPr="009819CE">
        <w:rPr>
          <w:rFonts w:cs="Times New Roman"/>
          <w:sz w:val="24"/>
          <w:szCs w:val="24"/>
        </w:rPr>
        <w:t xml:space="preserve"> relationship with Confucius provides a reason for dedication as well.</w:t>
      </w:r>
      <w:r w:rsidRPr="009819CE">
        <w:rPr>
          <w:rFonts w:cs="Times New Roman"/>
          <w:i/>
          <w:iCs/>
          <w:sz w:val="24"/>
          <w:szCs w:val="24"/>
        </w:rPr>
        <w:t xml:space="preserve"> </w:t>
      </w:r>
      <w:proofErr w:type="gramStart"/>
      <w:r w:rsidRPr="009819CE">
        <w:rPr>
          <w:rFonts w:cs="Times New Roman"/>
          <w:sz w:val="24"/>
          <w:szCs w:val="24"/>
        </w:rPr>
        <w:t>Last but not least</w:t>
      </w:r>
      <w:proofErr w:type="gramEnd"/>
      <w:r w:rsidRPr="009819CE">
        <w:rPr>
          <w:rFonts w:cs="Times New Roman"/>
          <w:sz w:val="24"/>
          <w:szCs w:val="24"/>
        </w:rPr>
        <w:t xml:space="preserve">, one’s emotional involvement in intensified relationship gradually restructures one’s emotional outlook. The subtlety and intensity of one’s emotional life is proliferated such that the learner becomes easily and deeply moved by issues that others do not typically notice or care about. For instance, 5.10 records Confucius getting extremely angry at </w:t>
      </w:r>
      <w:proofErr w:type="spellStart"/>
      <w:r w:rsidRPr="009819CE">
        <w:rPr>
          <w:rFonts w:cs="Times New Roman"/>
          <w:sz w:val="24"/>
          <w:szCs w:val="24"/>
        </w:rPr>
        <w:t>Zaiyu</w:t>
      </w:r>
      <w:proofErr w:type="spellEnd"/>
      <w:r w:rsidRPr="009819CE">
        <w:rPr>
          <w:rFonts w:cs="Times New Roman"/>
          <w:sz w:val="24"/>
          <w:szCs w:val="24"/>
        </w:rPr>
        <w:t xml:space="preserve"> </w:t>
      </w:r>
      <w:proofErr w:type="spellStart"/>
      <w:r w:rsidRPr="009819CE">
        <w:rPr>
          <w:rFonts w:ascii="MS Gothic" w:eastAsia="MS Gothic" w:hAnsi="MS Gothic" w:cs="MS Gothic" w:hint="eastAsia"/>
          <w:sz w:val="24"/>
          <w:szCs w:val="24"/>
        </w:rPr>
        <w:t>宰</w:t>
      </w:r>
      <w:r w:rsidRPr="009819CE">
        <w:rPr>
          <w:rFonts w:ascii="MS Mincho" w:eastAsia="MS Mincho" w:hAnsi="MS Mincho" w:cs="MS Mincho" w:hint="eastAsia"/>
          <w:sz w:val="24"/>
          <w:szCs w:val="24"/>
        </w:rPr>
        <w:t>予</w:t>
      </w:r>
      <w:r w:rsidRPr="009819CE">
        <w:rPr>
          <w:rFonts w:cs="Times New Roman"/>
          <w:sz w:val="24"/>
          <w:szCs w:val="24"/>
        </w:rPr>
        <w:t>for</w:t>
      </w:r>
      <w:proofErr w:type="spellEnd"/>
      <w:r w:rsidRPr="009819CE">
        <w:rPr>
          <w:rFonts w:cs="Times New Roman"/>
          <w:sz w:val="24"/>
          <w:szCs w:val="24"/>
        </w:rPr>
        <w:t xml:space="preserve"> sleeping in daytime. Confucius says that he no longer believes people’s words until he observes their actions. Such a grand scale disappointment at people in general is triggered by an event that is arguably trivial (especially from the perspective of a non-related </w:t>
      </w:r>
      <w:r w:rsidRPr="009819CE">
        <w:rPr>
          <w:rFonts w:cs="Times New Roman"/>
          <w:sz w:val="24"/>
          <w:szCs w:val="24"/>
        </w:rPr>
        <w:lastRenderedPageBreak/>
        <w:t xml:space="preserve">third party). Justified or not, it shows the deep concern and care Confucius has for </w:t>
      </w:r>
      <w:proofErr w:type="spellStart"/>
      <w:r w:rsidRPr="009819CE">
        <w:rPr>
          <w:rFonts w:cs="Times New Roman"/>
          <w:sz w:val="24"/>
          <w:szCs w:val="24"/>
        </w:rPr>
        <w:t>Zaiyu</w:t>
      </w:r>
      <w:proofErr w:type="spellEnd"/>
      <w:r w:rsidRPr="009819CE">
        <w:rPr>
          <w:rFonts w:cs="Times New Roman"/>
          <w:sz w:val="24"/>
          <w:szCs w:val="24"/>
        </w:rPr>
        <w:t>. To summarize, through intensification, the agent learns to care deeply, and thereby worries deeply.</w:t>
      </w:r>
    </w:p>
    <w:p w14:paraId="4DDD2283" w14:textId="77777777" w:rsidR="00830739" w:rsidRDefault="00830739" w:rsidP="00CF3053">
      <w:pPr>
        <w:pStyle w:val="Heading2"/>
        <w:rPr>
          <w:sz w:val="32"/>
          <w:szCs w:val="32"/>
        </w:rPr>
      </w:pPr>
      <w:bookmarkStart w:id="12" w:name="_Toc102412725"/>
      <w:r>
        <w:t>4: The Elephant in the Room, Conclusion, and Implications</w:t>
      </w:r>
      <w:bookmarkEnd w:id="12"/>
    </w:p>
    <w:p w14:paraId="3781DC06" w14:textId="77777777" w:rsidR="00830739" w:rsidRPr="00CF3053" w:rsidRDefault="00830739" w:rsidP="00CF3053">
      <w:pPr>
        <w:spacing w:line="480" w:lineRule="auto"/>
        <w:ind w:firstLine="720"/>
        <w:rPr>
          <w:rFonts w:cs="Times New Roman"/>
          <w:sz w:val="24"/>
          <w:szCs w:val="24"/>
        </w:rPr>
      </w:pPr>
      <w:r w:rsidRPr="00CF3053">
        <w:rPr>
          <w:rFonts w:cs="Times New Roman"/>
          <w:sz w:val="24"/>
          <w:szCs w:val="24"/>
        </w:rPr>
        <w:t xml:space="preserve">In summary, both extension and intensification develop our capacity to care and correspondingly, our capacity to worry. Through practicing extension, the agent learns to care broadly and becomes concerned about people who do not have intimate relationship with oneself. Through practicing intensification, one learns to care deeply about </w:t>
      </w:r>
      <w:proofErr w:type="gramStart"/>
      <w:r w:rsidRPr="00CF3053">
        <w:rPr>
          <w:rFonts w:cs="Times New Roman"/>
          <w:sz w:val="24"/>
          <w:szCs w:val="24"/>
        </w:rPr>
        <w:t>particular individuals</w:t>
      </w:r>
      <w:proofErr w:type="gramEnd"/>
      <w:r w:rsidRPr="00CF3053">
        <w:rPr>
          <w:rFonts w:cs="Times New Roman"/>
          <w:sz w:val="24"/>
          <w:szCs w:val="24"/>
        </w:rPr>
        <w:t>, such as parents, and becomes profoundly shaped by their influences and one’s worries about them. Learning to care broadly and deeply, given the tight connection between care and worry, involves in practice learning to worry well. Learning to worry well, therefore, is an indispensable and significant part of Confucian moral cultivation.</w:t>
      </w:r>
      <w:r w:rsidRPr="00CF3053">
        <w:rPr>
          <w:rStyle w:val="FootnoteReference"/>
          <w:rFonts w:cs="Times New Roman"/>
          <w:sz w:val="24"/>
          <w:szCs w:val="24"/>
        </w:rPr>
        <w:footnoteReference w:id="51"/>
      </w:r>
      <w:r w:rsidRPr="00CF3053">
        <w:rPr>
          <w:rFonts w:cs="Times New Roman"/>
          <w:sz w:val="24"/>
          <w:szCs w:val="24"/>
        </w:rPr>
        <w:t xml:space="preserve"> </w:t>
      </w:r>
    </w:p>
    <w:p w14:paraId="0BE2A341" w14:textId="77777777" w:rsidR="00830739" w:rsidRPr="00CF3053" w:rsidRDefault="00830739" w:rsidP="00CF3053">
      <w:pPr>
        <w:spacing w:line="480" w:lineRule="auto"/>
        <w:ind w:firstLine="720"/>
        <w:rPr>
          <w:rFonts w:cs="Times New Roman"/>
          <w:sz w:val="24"/>
          <w:szCs w:val="24"/>
        </w:rPr>
      </w:pPr>
      <w:r w:rsidRPr="00CF3053">
        <w:rPr>
          <w:rFonts w:cs="Times New Roman"/>
          <w:sz w:val="24"/>
          <w:szCs w:val="24"/>
        </w:rPr>
        <w:t xml:space="preserve">Numerous implications and questions follow from this conclusion. Before I comment on the implications, however, I want to address what may seem like a strong and clear counterargument to my view. Arguing that learning to worry well is indispensable for cultivation is counterintuitive because worry is not only “negative” for bring about unpleasant feelings, but also negative for being a harmful emotion that </w:t>
      </w:r>
      <w:proofErr w:type="gramStart"/>
      <w:r w:rsidRPr="00CF3053">
        <w:rPr>
          <w:rFonts w:cs="Times New Roman"/>
          <w:sz w:val="24"/>
          <w:szCs w:val="24"/>
        </w:rPr>
        <w:t>more often than not</w:t>
      </w:r>
      <w:proofErr w:type="gramEnd"/>
      <w:r w:rsidRPr="00CF3053">
        <w:rPr>
          <w:rFonts w:cs="Times New Roman"/>
          <w:sz w:val="24"/>
          <w:szCs w:val="24"/>
        </w:rPr>
        <w:t xml:space="preserve">, leads to nothing but debilitation. Worry rarely does not contribute to solving the problems at hand. Instead, it easily diverts one’s attention away from the actual matter, brings in concerns that are only relevant indirectly or remotely, and let one’s mind dwells in difficulties and unnecessarily raises up one’s level of anxiety. This is to say that worry is most often psychologically debilitating and not helpful. Broadening and intensifying one’s worries, therefore, seem like a sure recipe for disaster </w:t>
      </w:r>
      <w:r w:rsidRPr="00CF3053">
        <w:rPr>
          <w:rFonts w:cs="Times New Roman"/>
          <w:sz w:val="24"/>
          <w:szCs w:val="24"/>
        </w:rPr>
        <w:lastRenderedPageBreak/>
        <w:t xml:space="preserve">that should be avoided by most, if not all program of cultivation. The only value that </w:t>
      </w:r>
      <w:proofErr w:type="gramStart"/>
      <w:r w:rsidRPr="00CF3053">
        <w:rPr>
          <w:rFonts w:cs="Times New Roman"/>
          <w:sz w:val="24"/>
          <w:szCs w:val="24"/>
        </w:rPr>
        <w:t>worry</w:t>
      </w:r>
      <w:proofErr w:type="gramEnd"/>
      <w:r w:rsidRPr="00CF3053">
        <w:rPr>
          <w:rFonts w:cs="Times New Roman"/>
          <w:sz w:val="24"/>
          <w:szCs w:val="24"/>
        </w:rPr>
        <w:t xml:space="preserve"> should have for cultivation is instrumental and temporary. Just like a block of rock in one’s way of climbing, the only function of which is to be stepped over and help the climber go higher, worry is a challenge in one’s journey of cultivation, the overcoming and eradication of which strengths the agent’s mind and character. Having worry, in other words, is a sign that one is not yet fully developed and indicates certain areas of improvement. Fully developed agents should consequently have no worries at all.</w:t>
      </w:r>
      <w:r w:rsidRPr="00CF3053">
        <w:rPr>
          <w:rStyle w:val="FootnoteReference"/>
          <w:rFonts w:cs="Times New Roman"/>
          <w:sz w:val="24"/>
          <w:szCs w:val="24"/>
        </w:rPr>
        <w:footnoteReference w:id="52"/>
      </w:r>
      <w:r w:rsidRPr="00CF3053">
        <w:rPr>
          <w:rFonts w:cs="Times New Roman"/>
          <w:sz w:val="24"/>
          <w:szCs w:val="24"/>
        </w:rPr>
        <w:t xml:space="preserve"> </w:t>
      </w:r>
    </w:p>
    <w:p w14:paraId="109DBC9F" w14:textId="77777777" w:rsidR="00830739" w:rsidRPr="00CF3053" w:rsidRDefault="00830739" w:rsidP="00CF3053">
      <w:pPr>
        <w:spacing w:line="480" w:lineRule="auto"/>
        <w:ind w:firstLine="720"/>
        <w:rPr>
          <w:rFonts w:cs="Times New Roman"/>
          <w:sz w:val="24"/>
          <w:szCs w:val="24"/>
          <w:lang w:eastAsia="zh-TW"/>
        </w:rPr>
      </w:pPr>
      <w:r w:rsidRPr="00CF3053">
        <w:rPr>
          <w:rFonts w:cs="Times New Roman"/>
          <w:sz w:val="24"/>
          <w:szCs w:val="24"/>
        </w:rPr>
        <w:t xml:space="preserve">In response to this counterargument, I offer the two following sets of comments. First set further elaborates on what has already been argued and clarifies some misunderstandings. It is important to note, above all, that worry is more than simply negative. Our pre-theoretical experiences of life provide examples where having worries is by far the better response than not being concerned at all. Being worried, concerned, and even fearful regarding certain things reveal that the agent takes the matter seriously (rather than lightly). Teachers may have experiences of getting annoyed by a completely carefree student regarding his study because that student should take his own study seriously and be concerned. This pre-theoretical sense that worry </w:t>
      </w:r>
      <w:r w:rsidRPr="00CF3053">
        <w:rPr>
          <w:rFonts w:cs="Times New Roman"/>
          <w:sz w:val="24"/>
          <w:szCs w:val="24"/>
          <w:lang w:eastAsia="zh-TW"/>
        </w:rPr>
        <w:t xml:space="preserve">(and a host of related emotions) </w:t>
      </w:r>
      <w:r w:rsidRPr="00CF3053">
        <w:rPr>
          <w:rFonts w:cs="Times New Roman"/>
          <w:sz w:val="24"/>
          <w:szCs w:val="24"/>
        </w:rPr>
        <w:t xml:space="preserve">can be useful is exampled in </w:t>
      </w:r>
      <w:r w:rsidRPr="00CF3053">
        <w:rPr>
          <w:rFonts w:cs="Times New Roman"/>
          <w:sz w:val="24"/>
          <w:szCs w:val="24"/>
          <w:lang w:eastAsia="zh-TW"/>
        </w:rPr>
        <w:t xml:space="preserve">7.11, where </w:t>
      </w:r>
      <w:proofErr w:type="spellStart"/>
      <w:r w:rsidRPr="00CF3053">
        <w:rPr>
          <w:rFonts w:cs="Times New Roman"/>
          <w:sz w:val="24"/>
          <w:szCs w:val="24"/>
          <w:lang w:eastAsia="zh-TW"/>
        </w:rPr>
        <w:t>Kongzi</w:t>
      </w:r>
      <w:proofErr w:type="spellEnd"/>
      <w:r w:rsidRPr="00CF3053">
        <w:rPr>
          <w:rFonts w:cs="Times New Roman"/>
          <w:sz w:val="24"/>
          <w:szCs w:val="24"/>
          <w:lang w:eastAsia="zh-TW"/>
        </w:rPr>
        <w:t xml:space="preserve"> says that compared to someone who dares to fight a tiger barehanded, cross deep river without a boat, and has no regret at death, he rather has a general who is afraid at the junction of events and (consequently) take due diligence in planning and execution. </w:t>
      </w:r>
      <w:proofErr w:type="spellStart"/>
      <w:r w:rsidRPr="00CF3053">
        <w:rPr>
          <w:rFonts w:cs="Times New Roman"/>
          <w:sz w:val="24"/>
          <w:szCs w:val="24"/>
          <w:lang w:eastAsia="zh-TW"/>
        </w:rPr>
        <w:t>Kongzi’s</w:t>
      </w:r>
      <w:proofErr w:type="spellEnd"/>
      <w:r w:rsidRPr="00CF3053">
        <w:rPr>
          <w:rFonts w:cs="Times New Roman"/>
          <w:sz w:val="24"/>
          <w:szCs w:val="24"/>
          <w:lang w:eastAsia="zh-TW"/>
        </w:rPr>
        <w:t xml:space="preserve"> comment is targeted at </w:t>
      </w:r>
      <w:proofErr w:type="spellStart"/>
      <w:r w:rsidRPr="00CF3053">
        <w:rPr>
          <w:rFonts w:cs="Times New Roman"/>
          <w:sz w:val="24"/>
          <w:szCs w:val="24"/>
          <w:lang w:eastAsia="zh-TW"/>
        </w:rPr>
        <w:t>Zilu</w:t>
      </w:r>
      <w:proofErr w:type="spellEnd"/>
      <w:r w:rsidRPr="00CF3053">
        <w:rPr>
          <w:rFonts w:cs="Times New Roman"/>
          <w:sz w:val="24"/>
          <w:szCs w:val="24"/>
          <w:lang w:eastAsia="zh-TW"/>
        </w:rPr>
        <w:t xml:space="preserve">, his famously rash and bold student, but also speaks generally. A general who properly appreciates the significance, danger, and potential causality of battle should be afraid, and </w:t>
      </w:r>
      <w:r w:rsidRPr="00CF3053">
        <w:rPr>
          <w:rFonts w:cs="Times New Roman"/>
          <w:sz w:val="24"/>
          <w:szCs w:val="24"/>
          <w:lang w:eastAsia="zh-TW"/>
        </w:rPr>
        <w:lastRenderedPageBreak/>
        <w:t xml:space="preserve">consequently be motivated by one’s fear and concern to carefully prepare for the battle. Such a person is a better battle-companion than someone who knows no fear or regret, or so says </w:t>
      </w:r>
      <w:proofErr w:type="spellStart"/>
      <w:r w:rsidRPr="00CF3053">
        <w:rPr>
          <w:rFonts w:cs="Times New Roman"/>
          <w:sz w:val="24"/>
          <w:szCs w:val="24"/>
          <w:lang w:eastAsia="zh-TW"/>
        </w:rPr>
        <w:t>Kongzi</w:t>
      </w:r>
      <w:proofErr w:type="spellEnd"/>
      <w:r w:rsidRPr="00CF3053">
        <w:rPr>
          <w:rFonts w:cs="Times New Roman"/>
          <w:sz w:val="24"/>
          <w:szCs w:val="24"/>
          <w:lang w:eastAsia="zh-TW"/>
        </w:rPr>
        <w:t xml:space="preserve">. Although “worry” is not directly mentioned here, it is hard to imagine the emotion of worry being left out of the overall psychology that fears and prepares for battle. Thus, worry as an emotion can be appropriate, </w:t>
      </w:r>
      <w:proofErr w:type="gramStart"/>
      <w:r w:rsidRPr="00CF3053">
        <w:rPr>
          <w:rFonts w:cs="Times New Roman"/>
          <w:sz w:val="24"/>
          <w:szCs w:val="24"/>
          <w:lang w:eastAsia="zh-TW"/>
        </w:rPr>
        <w:t>helpful</w:t>
      </w:r>
      <w:proofErr w:type="gramEnd"/>
      <w:r w:rsidRPr="00CF3053">
        <w:rPr>
          <w:rFonts w:cs="Times New Roman"/>
          <w:sz w:val="24"/>
          <w:szCs w:val="24"/>
          <w:lang w:eastAsia="zh-TW"/>
        </w:rPr>
        <w:t xml:space="preserve"> and motivating, and is not purely negative. </w:t>
      </w:r>
    </w:p>
    <w:p w14:paraId="0E59E898" w14:textId="77777777" w:rsidR="00830739" w:rsidRPr="00CF3053" w:rsidRDefault="00830739" w:rsidP="00CF3053">
      <w:pPr>
        <w:spacing w:line="480" w:lineRule="auto"/>
        <w:ind w:firstLine="720"/>
        <w:rPr>
          <w:rFonts w:cs="Times New Roman"/>
          <w:sz w:val="24"/>
          <w:szCs w:val="24"/>
          <w:lang w:eastAsia="zh-TW"/>
        </w:rPr>
      </w:pPr>
      <w:r w:rsidRPr="00CF3053">
        <w:rPr>
          <w:rFonts w:cs="Times New Roman"/>
          <w:sz w:val="24"/>
          <w:szCs w:val="24"/>
          <w:lang w:eastAsia="zh-TW"/>
        </w:rPr>
        <w:t xml:space="preserve">Furthermore, once we see that worry can be both motivating and debilitating, my thesis comes out naturally, that regarding worry, we should learn to worry well, rather than trying to eradicate it. Only something purely negative warrants complete eradication. If worry is a complex state that can either contribute or destruct, calling for eradication is bizarre and requires more proof than the sensible candidate that we should learn to worry well. </w:t>
      </w:r>
    </w:p>
    <w:p w14:paraId="2A3CD7FA" w14:textId="77777777" w:rsidR="00830739" w:rsidRPr="00CF3053" w:rsidRDefault="00830739" w:rsidP="00CF3053">
      <w:pPr>
        <w:spacing w:line="480" w:lineRule="auto"/>
        <w:ind w:firstLine="720"/>
        <w:rPr>
          <w:rFonts w:cs="Times New Roman"/>
          <w:sz w:val="24"/>
          <w:szCs w:val="24"/>
          <w:lang w:eastAsia="zh-TW"/>
        </w:rPr>
      </w:pPr>
      <w:proofErr w:type="gramStart"/>
      <w:r w:rsidRPr="00CF3053">
        <w:rPr>
          <w:rFonts w:cs="Times New Roman"/>
          <w:sz w:val="24"/>
          <w:szCs w:val="24"/>
          <w:lang w:eastAsia="zh-TW"/>
        </w:rPr>
        <w:t>Last but not least</w:t>
      </w:r>
      <w:proofErr w:type="gramEnd"/>
      <w:r w:rsidRPr="00CF3053">
        <w:rPr>
          <w:rFonts w:cs="Times New Roman"/>
          <w:sz w:val="24"/>
          <w:szCs w:val="24"/>
          <w:lang w:eastAsia="zh-TW"/>
        </w:rPr>
        <w:t>, by broadening and intensifying one’s worries, I do not mean that we should cultivate ourselves to become increasingly anxious about more things and people in our lives. While that might be a literal read, it is a false read. What is implied by broadening one’s worry is that even the well-being of strangers should affectively touch us and become a part of our circle of care. What is implied by intensifying one’s worry is that we let our care and concern of another person (or goal) to figure deeply into our lives such that our motivations, life purpose and emotional experiences undergo corresponding changes. Focusing on the aspect of emotion, the consequence of broadening and intensifying one’s worry, if I may conjecture, is more likely an overall enrichment of emotional life, rather than simply an increase of anxiety level.</w:t>
      </w:r>
    </w:p>
    <w:p w14:paraId="7B36539B" w14:textId="77777777" w:rsidR="00830739" w:rsidRPr="00CF3053" w:rsidRDefault="00830739" w:rsidP="00CF3053">
      <w:pPr>
        <w:spacing w:line="480" w:lineRule="auto"/>
        <w:ind w:firstLine="720"/>
        <w:rPr>
          <w:rFonts w:cs="Times New Roman"/>
          <w:sz w:val="24"/>
          <w:szCs w:val="24"/>
          <w:lang w:eastAsia="zh-TW"/>
        </w:rPr>
      </w:pPr>
      <w:r w:rsidRPr="00CF3053">
        <w:rPr>
          <w:rFonts w:cs="Times New Roman"/>
          <w:sz w:val="24"/>
          <w:szCs w:val="24"/>
          <w:lang w:eastAsia="zh-TW"/>
        </w:rPr>
        <w:t xml:space="preserve">The second set of comments addresses what I have </w:t>
      </w:r>
      <w:r w:rsidRPr="00CF3053">
        <w:rPr>
          <w:rFonts w:cs="Times New Roman"/>
          <w:i/>
          <w:iCs/>
          <w:sz w:val="24"/>
          <w:szCs w:val="24"/>
          <w:lang w:eastAsia="zh-TW"/>
        </w:rPr>
        <w:t>not</w:t>
      </w:r>
      <w:r w:rsidRPr="00CF3053">
        <w:rPr>
          <w:rFonts w:cs="Times New Roman"/>
          <w:sz w:val="24"/>
          <w:szCs w:val="24"/>
          <w:lang w:eastAsia="zh-TW"/>
        </w:rPr>
        <w:t xml:space="preserve"> argued but remains important and relevant to the project of this paper. The first thing I want to highlight is that this paper has not yet shown </w:t>
      </w:r>
      <w:r w:rsidRPr="00CF3053">
        <w:rPr>
          <w:rFonts w:cs="Times New Roman"/>
          <w:i/>
          <w:iCs/>
          <w:sz w:val="24"/>
          <w:szCs w:val="24"/>
          <w:lang w:eastAsia="zh-TW"/>
        </w:rPr>
        <w:t xml:space="preserve">how </w:t>
      </w:r>
      <w:r w:rsidRPr="00CF3053">
        <w:rPr>
          <w:rFonts w:cs="Times New Roman"/>
          <w:sz w:val="24"/>
          <w:szCs w:val="24"/>
          <w:lang w:eastAsia="zh-TW"/>
        </w:rPr>
        <w:t xml:space="preserve">to worry well. While I have discussed the general direction of what worrying well may look like, the practical questions, such as how to not be overwhelmed by the visceral </w:t>
      </w:r>
      <w:r w:rsidRPr="00CF3053">
        <w:rPr>
          <w:rFonts w:cs="Times New Roman"/>
          <w:sz w:val="24"/>
          <w:szCs w:val="24"/>
          <w:lang w:eastAsia="zh-TW"/>
        </w:rPr>
        <w:lastRenderedPageBreak/>
        <w:t xml:space="preserve">grip of worries and use worries to positively guide one’s cultivation, remain unexplored. Let it be clear that these are important questions that deserve serious attention and effort, for the answers to them give the bare bones of Confucian cultivation the much-needed flesh and practical relevance. </w:t>
      </w:r>
    </w:p>
    <w:p w14:paraId="6E324D94" w14:textId="77777777" w:rsidR="00830739" w:rsidRPr="00CF3053" w:rsidRDefault="00830739" w:rsidP="00CF3053">
      <w:pPr>
        <w:spacing w:line="480" w:lineRule="auto"/>
        <w:ind w:firstLine="720"/>
        <w:rPr>
          <w:rFonts w:cs="Times New Roman"/>
          <w:sz w:val="24"/>
          <w:szCs w:val="24"/>
          <w:lang w:eastAsia="zh-TW"/>
        </w:rPr>
      </w:pPr>
      <w:r w:rsidRPr="00CF3053">
        <w:rPr>
          <w:rFonts w:cs="Times New Roman"/>
          <w:sz w:val="24"/>
          <w:szCs w:val="24"/>
          <w:lang w:eastAsia="zh-TW"/>
        </w:rPr>
        <w:t xml:space="preserve">Then, there are a few theoretical implications worthy of mentioning. </w:t>
      </w:r>
      <w:r w:rsidRPr="00CF3053">
        <w:rPr>
          <w:rFonts w:cs="Times New Roman"/>
          <w:sz w:val="24"/>
          <w:szCs w:val="24"/>
        </w:rPr>
        <w:t xml:space="preserve">The most obvious one is a further refutation against the standard interpretation. Put bluntly, the result of cultivation would unlikely be a person completely free of worries. In addition to the refutation discussed above regarding the absence of ethical worries, my view demonstrates that learning to worry is embedded in Confucian moral cultivation. Thus, it is highly unlikely that a person who is cultivated to worry broadly and deeply would in the final development become a person with no worries at all. This is demonstrated by the persona of Confucius, who demonstrates a variety of worries depending on the subjects. Given that Confucius was rarely in the position to offer concrete political advice, his advice to rulers regarding the </w:t>
      </w:r>
      <w:proofErr w:type="gramStart"/>
      <w:r w:rsidRPr="00CF3053">
        <w:rPr>
          <w:rFonts w:cs="Times New Roman"/>
          <w:sz w:val="24"/>
          <w:szCs w:val="24"/>
        </w:rPr>
        <w:t>general public</w:t>
      </w:r>
      <w:proofErr w:type="gramEnd"/>
      <w:r w:rsidRPr="00CF3053">
        <w:rPr>
          <w:rFonts w:cs="Times New Roman"/>
          <w:sz w:val="24"/>
          <w:szCs w:val="24"/>
        </w:rPr>
        <w:t xml:space="preserve"> was often a step away from politics (8.14, 14.26), and deep into the moral and social realm. He was concerned that the </w:t>
      </w:r>
      <w:proofErr w:type="gramStart"/>
      <w:r w:rsidRPr="00CF3053">
        <w:rPr>
          <w:rFonts w:cs="Times New Roman"/>
          <w:sz w:val="24"/>
          <w:szCs w:val="24"/>
        </w:rPr>
        <w:t>general public</w:t>
      </w:r>
      <w:proofErr w:type="gramEnd"/>
      <w:r w:rsidRPr="00CF3053">
        <w:rPr>
          <w:rFonts w:cs="Times New Roman"/>
          <w:sz w:val="24"/>
          <w:szCs w:val="24"/>
        </w:rPr>
        <w:t xml:space="preserve"> should have a government worthy of trust, respect and loyalty (2.20, 12.7), and that the rulers should govern with the guidance of virtues and orders of rites (rather than through fear of punishment) (2.3). Perhaps most importantly, the rulers should be upright and exemplary themselves (2.19, 12.11). Readers of the </w:t>
      </w:r>
      <w:r w:rsidRPr="00CF3053">
        <w:rPr>
          <w:rFonts w:cs="Times New Roman"/>
          <w:i/>
          <w:iCs/>
          <w:sz w:val="24"/>
          <w:szCs w:val="24"/>
        </w:rPr>
        <w:t>Analects</w:t>
      </w:r>
      <w:r w:rsidRPr="00CF3053">
        <w:rPr>
          <w:rFonts w:cs="Times New Roman"/>
          <w:sz w:val="24"/>
          <w:szCs w:val="24"/>
        </w:rPr>
        <w:t xml:space="preserve"> can get a clear sense that Confucius cared about the general </w:t>
      </w:r>
      <w:proofErr w:type="gramStart"/>
      <w:r w:rsidRPr="00CF3053">
        <w:rPr>
          <w:rFonts w:cs="Times New Roman"/>
          <w:sz w:val="24"/>
          <w:szCs w:val="24"/>
        </w:rPr>
        <w:t>public, but</w:t>
      </w:r>
      <w:proofErr w:type="gramEnd"/>
      <w:r w:rsidRPr="00CF3053">
        <w:rPr>
          <w:rFonts w:cs="Times New Roman"/>
          <w:sz w:val="24"/>
          <w:szCs w:val="24"/>
        </w:rPr>
        <w:t xml:space="preserve"> was concerned about them in a way that is broad and general. When it comes to his students, however, readers see a Confucius who cares deeply about them in a personal manner. He develops a deep relationship with his students, which is shown in his tailored instructions based upon his deep familiarity with students’ unique temperament (11.22). Such a deep relationship implies intimate and serious concerns over students’ well-being and </w:t>
      </w:r>
      <w:r w:rsidRPr="00CF3053">
        <w:rPr>
          <w:rFonts w:cs="Times New Roman"/>
          <w:sz w:val="24"/>
          <w:szCs w:val="24"/>
        </w:rPr>
        <w:lastRenderedPageBreak/>
        <w:t xml:space="preserve">leads to strong emotional reactions to their achievements, failures, and misfortunes. Thus, he would get worked up by </w:t>
      </w:r>
      <w:proofErr w:type="spellStart"/>
      <w:r w:rsidRPr="00CF3053">
        <w:rPr>
          <w:rFonts w:cs="Times New Roman"/>
          <w:sz w:val="24"/>
          <w:szCs w:val="24"/>
        </w:rPr>
        <w:t>Zaiyu</w:t>
      </w:r>
      <w:proofErr w:type="spellEnd"/>
      <w:r w:rsidRPr="00CF3053">
        <w:rPr>
          <w:rFonts w:cs="Times New Roman"/>
          <w:sz w:val="24"/>
          <w:szCs w:val="24"/>
        </w:rPr>
        <w:t xml:space="preserve"> who sleeps in daytime (5.10), lament intensely for Bo </w:t>
      </w:r>
      <w:proofErr w:type="spellStart"/>
      <w:r w:rsidRPr="00CF3053">
        <w:rPr>
          <w:rFonts w:cs="Times New Roman"/>
          <w:sz w:val="24"/>
          <w:szCs w:val="24"/>
        </w:rPr>
        <w:t>Niu’s</w:t>
      </w:r>
      <w:proofErr w:type="spellEnd"/>
      <w:r w:rsidRPr="00CF3053">
        <w:rPr>
          <w:rFonts w:cs="Times New Roman"/>
          <w:sz w:val="24"/>
          <w:szCs w:val="24"/>
        </w:rPr>
        <w:t xml:space="preserve"> disease (6.10), and sever the teacher-student relationship with fierce words when </w:t>
      </w:r>
      <w:proofErr w:type="spellStart"/>
      <w:r w:rsidRPr="00CF3053">
        <w:rPr>
          <w:rFonts w:cs="Times New Roman"/>
          <w:sz w:val="24"/>
          <w:szCs w:val="24"/>
        </w:rPr>
        <w:t>Ranyou</w:t>
      </w:r>
      <w:proofErr w:type="spellEnd"/>
      <w:r w:rsidRPr="00CF3053">
        <w:rPr>
          <w:rFonts w:cs="Times New Roman"/>
          <w:sz w:val="24"/>
          <w:szCs w:val="24"/>
        </w:rPr>
        <w:t xml:space="preserve"> gathers wealth for the usurper Ji family (11.17). We see in the very exemplar of the </w:t>
      </w:r>
      <w:r w:rsidRPr="00CF3053">
        <w:rPr>
          <w:rFonts w:cs="Times New Roman"/>
          <w:i/>
          <w:iCs/>
          <w:sz w:val="24"/>
          <w:szCs w:val="24"/>
        </w:rPr>
        <w:t>Analects</w:t>
      </w:r>
      <w:r w:rsidRPr="00CF3053">
        <w:rPr>
          <w:rFonts w:cs="Times New Roman"/>
          <w:sz w:val="24"/>
          <w:szCs w:val="24"/>
        </w:rPr>
        <w:t xml:space="preserve"> a person who cares and worries broadly regarding the general republic, and deeply for close students. </w:t>
      </w:r>
    </w:p>
    <w:p w14:paraId="1AD712BD" w14:textId="77777777" w:rsidR="00830739" w:rsidRPr="00CF3053" w:rsidRDefault="00830739" w:rsidP="00CF3053">
      <w:pPr>
        <w:spacing w:line="480" w:lineRule="auto"/>
        <w:ind w:firstLine="720"/>
        <w:rPr>
          <w:rFonts w:cs="Times New Roman"/>
          <w:sz w:val="24"/>
          <w:szCs w:val="24"/>
          <w:lang w:eastAsia="zh-CN"/>
        </w:rPr>
      </w:pPr>
      <w:r w:rsidRPr="00CF3053">
        <w:rPr>
          <w:rFonts w:cs="Times New Roman"/>
          <w:sz w:val="24"/>
          <w:szCs w:val="24"/>
        </w:rPr>
        <w:t>Relatedly, another important implication is that the notion of “control” central to the standard interpretation is arguably not helpful for understanding Confucian moral psychology. This is because first, proper objects of moral concerns, such as the well-being of fellow citizens or parents, do not fall neatly into one’s control or hopelessly outside of one’s control. Rather, how much one can make a difference seems a matter of uncertainty, which the notion of “control” does not capture. Second, even for things that fall out of one’s control, such as the order of the state, it is not clearly that the learner should not care about them. Lastly, even when one has tried one’s utmost, it is not clear that one can therefore rejoice or should, in Slingerland’s memorable words, have “an attitude of joyful acceptance of all that life may bring.”</w:t>
      </w:r>
      <w:r w:rsidRPr="00CF3053">
        <w:rPr>
          <w:rStyle w:val="FootnoteReference"/>
          <w:rFonts w:cs="Times New Roman"/>
          <w:sz w:val="24"/>
          <w:szCs w:val="24"/>
        </w:rPr>
        <w:footnoteReference w:id="53"/>
      </w:r>
      <w:r w:rsidRPr="00CF3053">
        <w:rPr>
          <w:rFonts w:cs="Times New Roman"/>
          <w:sz w:val="24"/>
          <w:szCs w:val="24"/>
        </w:rPr>
        <w:t xml:space="preserve"> 4.18 makes it clear that trying one’s utmost should not exculpate one from caring and concerning oneself with parents’ well-being. While one might self-affirm that continuing arduous remonstration is doing the right thing, there is no joyful acceptance of what may come. In fact, there should be worries until parents change and improve. Thus, the usefulness of the notion of “control” is questionable.</w:t>
      </w:r>
    </w:p>
    <w:p w14:paraId="47F6ACC2" w14:textId="77777777" w:rsidR="00830739" w:rsidRPr="00CF3053" w:rsidRDefault="00830739" w:rsidP="00CF3053">
      <w:pPr>
        <w:spacing w:line="480" w:lineRule="auto"/>
        <w:ind w:firstLine="720"/>
        <w:rPr>
          <w:rFonts w:cs="Times New Roman"/>
          <w:sz w:val="24"/>
          <w:szCs w:val="24"/>
        </w:rPr>
      </w:pPr>
      <w:r w:rsidRPr="00CF3053">
        <w:rPr>
          <w:rFonts w:cs="Times New Roman"/>
          <w:sz w:val="24"/>
          <w:szCs w:val="24"/>
        </w:rPr>
        <w:t xml:space="preserve">It is important, however, to also see what this paper did not do. The standard interpretation speaks truly that Confucius’ claims and demonstrations of tranquility (4.2, 7.37, </w:t>
      </w:r>
      <w:r w:rsidRPr="00CF3053">
        <w:rPr>
          <w:rFonts w:cs="Times New Roman"/>
          <w:sz w:val="24"/>
          <w:szCs w:val="24"/>
        </w:rPr>
        <w:lastRenderedPageBreak/>
        <w:t>9.29, 12.4, 14.28) and intense joy (7.14, 7.19) are philosophically interesting and significant. While the standard account fails to give due significance to ethical worries, and therefore, offers an account of moral psychology and moral cultivation that is not accurate, its subjects of tranquility and joy are undeniably important. This paper has not provided an alternative view regarding the nature of tranquility and joy, or more pertinent to the project of this paper, an account of the relationship between these emotions</w:t>
      </w:r>
      <w:r w:rsidRPr="00CF3053">
        <w:rPr>
          <w:rFonts w:cs="Times New Roman"/>
          <w:i/>
          <w:iCs/>
          <w:sz w:val="24"/>
          <w:szCs w:val="24"/>
        </w:rPr>
        <w:t xml:space="preserve">. </w:t>
      </w:r>
      <w:r w:rsidRPr="00CF3053">
        <w:rPr>
          <w:rFonts w:cs="Times New Roman"/>
          <w:sz w:val="24"/>
          <w:szCs w:val="24"/>
        </w:rPr>
        <w:t xml:space="preserve">Both topics are significant topics that await dedicated treatises. Nonetheless, if this paper is on the right track, the </w:t>
      </w:r>
      <w:r w:rsidRPr="00CF3053">
        <w:rPr>
          <w:rFonts w:cs="Times New Roman"/>
          <w:i/>
          <w:iCs/>
          <w:sz w:val="24"/>
          <w:szCs w:val="24"/>
        </w:rPr>
        <w:t xml:space="preserve">Analects </w:t>
      </w:r>
      <w:r w:rsidRPr="00CF3053">
        <w:rPr>
          <w:rFonts w:cs="Times New Roman"/>
          <w:sz w:val="24"/>
          <w:szCs w:val="24"/>
        </w:rPr>
        <w:t xml:space="preserve">contains a complex picture of matured learners who are, as </w:t>
      </w:r>
      <w:proofErr w:type="spellStart"/>
      <w:r w:rsidRPr="00CF3053">
        <w:rPr>
          <w:rFonts w:cs="Times New Roman"/>
          <w:sz w:val="24"/>
          <w:szCs w:val="24"/>
        </w:rPr>
        <w:t>Mou</w:t>
      </w:r>
      <w:proofErr w:type="spellEnd"/>
      <w:r w:rsidRPr="00CF3053">
        <w:rPr>
          <w:rFonts w:cs="Times New Roman"/>
          <w:sz w:val="24"/>
          <w:szCs w:val="24"/>
        </w:rPr>
        <w:t xml:space="preserve"> suggested, profoundly worried </w:t>
      </w:r>
      <w:r w:rsidRPr="00CF3053">
        <w:rPr>
          <w:rFonts w:cs="Times New Roman"/>
          <w:i/>
          <w:iCs/>
          <w:sz w:val="24"/>
          <w:szCs w:val="24"/>
        </w:rPr>
        <w:t>and</w:t>
      </w:r>
      <w:r w:rsidRPr="00CF3053">
        <w:rPr>
          <w:rFonts w:cs="Times New Roman"/>
          <w:sz w:val="24"/>
          <w:szCs w:val="24"/>
        </w:rPr>
        <w:t xml:space="preserve"> joyful. How to square this circle is open to multiple interpretations.</w:t>
      </w:r>
      <w:r w:rsidRPr="00CF3053">
        <w:rPr>
          <w:rStyle w:val="FootnoteReference"/>
          <w:rFonts w:cs="Times New Roman"/>
          <w:sz w:val="24"/>
          <w:szCs w:val="24"/>
        </w:rPr>
        <w:footnoteReference w:id="54"/>
      </w:r>
      <w:r w:rsidRPr="00CF3053">
        <w:rPr>
          <w:rFonts w:cs="Times New Roman"/>
          <w:sz w:val="24"/>
          <w:szCs w:val="24"/>
        </w:rPr>
        <w:t xml:space="preserve"> What this paper shows, then, is that whatever interpretation one takes, worry should be a significant part of the picture. </w:t>
      </w:r>
    </w:p>
    <w:bookmarkEnd w:id="6"/>
    <w:p w14:paraId="5D4E6EFC" w14:textId="77777777" w:rsidR="00830739" w:rsidRDefault="00830739" w:rsidP="00830739">
      <w:pPr>
        <w:rPr>
          <w:rFonts w:cs="Times New Roman"/>
          <w:sz w:val="24"/>
          <w:szCs w:val="24"/>
        </w:rPr>
      </w:pPr>
      <w:r>
        <w:rPr>
          <w:rFonts w:cs="Times New Roman"/>
          <w:sz w:val="24"/>
          <w:szCs w:val="24"/>
        </w:rPr>
        <w:br w:type="page"/>
      </w:r>
    </w:p>
    <w:bookmarkStart w:id="13" w:name="_Toc102412726" w:displacedByCustomXml="next"/>
    <w:sdt>
      <w:sdtPr>
        <w:rPr>
          <w:rFonts w:eastAsiaTheme="minorEastAsia" w:cstheme="minorBidi"/>
          <w:color w:val="auto"/>
          <w:kern w:val="0"/>
          <w:sz w:val="22"/>
          <w:szCs w:val="22"/>
          <w:lang w:eastAsia="en-US"/>
        </w:rPr>
        <w:id w:val="-83847603"/>
        <w:docPartObj>
          <w:docPartGallery w:val="Bibliographies"/>
          <w:docPartUnique/>
        </w:docPartObj>
      </w:sdtPr>
      <w:sdtEndPr>
        <w:rPr>
          <w:rFonts w:eastAsia="SimSun" w:cs="Times New Roman"/>
        </w:rPr>
      </w:sdtEndPr>
      <w:sdtContent>
        <w:p w14:paraId="25049197" w14:textId="77777777" w:rsidR="00830739" w:rsidRPr="002C4B5F" w:rsidRDefault="00830739" w:rsidP="002C4B5F">
          <w:pPr>
            <w:pStyle w:val="Heading2"/>
            <w:rPr>
              <w:rStyle w:val="Heading2Char"/>
            </w:rPr>
          </w:pPr>
          <w:r w:rsidRPr="00CF3053">
            <w:rPr>
              <w:rStyle w:val="Heading2Char"/>
              <w:rFonts w:cs="Times New Roman"/>
            </w:rPr>
            <w:t>Bibliography</w:t>
          </w:r>
          <w:bookmarkEnd w:id="13"/>
        </w:p>
        <w:sdt>
          <w:sdtPr>
            <w:rPr>
              <w:rFonts w:cs="Times New Roman"/>
            </w:rPr>
            <w:id w:val="111145805"/>
            <w:bibliography/>
          </w:sdtPr>
          <w:sdtEndPr/>
          <w:sdtContent>
            <w:p w14:paraId="3B5211BE" w14:textId="77777777" w:rsidR="00830739" w:rsidRDefault="00830739" w:rsidP="00830739">
              <w:pPr>
                <w:pStyle w:val="Bibliography"/>
                <w:rPr>
                  <w:rFonts w:cs="Times New Roman"/>
                </w:rPr>
              </w:pPr>
              <w:r>
                <w:rPr>
                  <w:rFonts w:cs="Times New Roman"/>
                </w:rPr>
                <w:fldChar w:fldCharType="begin"/>
              </w:r>
              <w:r>
                <w:rPr>
                  <w:rFonts w:cs="Times New Roman"/>
                </w:rPr>
                <w:instrText xml:space="preserve"> ADDIN ZOTERO_BIBL {"uncited":[],"omitted":[],"custom":[]} CSL_BIBLIOGRAPHY </w:instrText>
              </w:r>
              <w:r>
                <w:rPr>
                  <w:rFonts w:cs="Times New Roman"/>
                </w:rPr>
                <w:fldChar w:fldCharType="separate"/>
              </w:r>
              <w:r>
                <w:rPr>
                  <w:rFonts w:cs="Times New Roman"/>
                </w:rPr>
                <w:t xml:space="preserve">Cheng </w:t>
              </w:r>
              <w:r>
                <w:rPr>
                  <w:rFonts w:ascii="MS Gothic" w:eastAsia="MS Gothic" w:hAnsi="MS Gothic" w:cs="MS Gothic" w:hint="eastAsia"/>
                </w:rPr>
                <w:t>程</w:t>
              </w:r>
              <w:r>
                <w:rPr>
                  <w:rFonts w:cs="Times New Roman"/>
                </w:rPr>
                <w:t xml:space="preserve">, Shude </w:t>
              </w:r>
              <w:r>
                <w:rPr>
                  <w:rFonts w:ascii="MS Gothic" w:eastAsia="MS Gothic" w:hAnsi="MS Gothic" w:cs="MS Gothic" w:hint="eastAsia"/>
                </w:rPr>
                <w:t>樹德</w:t>
              </w:r>
              <w:r>
                <w:rPr>
                  <w:rFonts w:cs="Times New Roman"/>
                </w:rPr>
                <w:t xml:space="preserve">. </w:t>
              </w:r>
              <w:r>
                <w:rPr>
                  <w:rFonts w:cs="Times New Roman"/>
                  <w:i/>
                  <w:iCs/>
                </w:rPr>
                <w:t xml:space="preserve">Lun Yu Ji Shi </w:t>
              </w:r>
              <w:r>
                <w:rPr>
                  <w:rFonts w:ascii="MS Gothic" w:eastAsia="MS Gothic" w:hAnsi="MS Gothic" w:cs="MS Gothic" w:hint="eastAsia"/>
                  <w:i/>
                  <w:iCs/>
                </w:rPr>
                <w:t>論語集釋</w:t>
              </w:r>
              <w:r>
                <w:rPr>
                  <w:rFonts w:cs="Times New Roman"/>
                </w:rPr>
                <w:t xml:space="preserve">. Edited by Junying </w:t>
              </w:r>
              <w:r>
                <w:rPr>
                  <w:rFonts w:ascii="MS Gothic" w:eastAsia="MS Gothic" w:hAnsi="MS Gothic" w:cs="MS Gothic" w:hint="eastAsia"/>
                </w:rPr>
                <w:t>俊英</w:t>
              </w:r>
              <w:r>
                <w:rPr>
                  <w:rFonts w:cs="Times New Roman"/>
                </w:rPr>
                <w:t xml:space="preserve"> Cheng </w:t>
              </w:r>
              <w:r>
                <w:rPr>
                  <w:rFonts w:ascii="MS Gothic" w:eastAsia="MS Gothic" w:hAnsi="MS Gothic" w:cs="MS Gothic" w:hint="eastAsia"/>
                </w:rPr>
                <w:t>程</w:t>
              </w:r>
              <w:r>
                <w:rPr>
                  <w:rFonts w:cs="Times New Roman"/>
                </w:rPr>
                <w:t xml:space="preserve"> and Jianyuan </w:t>
              </w:r>
              <w:r>
                <w:rPr>
                  <w:rFonts w:ascii="MS Gothic" w:eastAsia="MS Gothic" w:hAnsi="MS Gothic" w:cs="MS Gothic" w:hint="eastAsia"/>
                </w:rPr>
                <w:t>見元</w:t>
              </w:r>
              <w:r>
                <w:rPr>
                  <w:rFonts w:cs="Times New Roman"/>
                </w:rPr>
                <w:t xml:space="preserve"> Jiang </w:t>
              </w:r>
              <w:r>
                <w:rPr>
                  <w:rFonts w:ascii="MS Gothic" w:eastAsia="MS Gothic" w:hAnsi="MS Gothic" w:cs="MS Gothic" w:hint="eastAsia"/>
                </w:rPr>
                <w:t>蔣</w:t>
              </w:r>
              <w:r>
                <w:rPr>
                  <w:rFonts w:cs="Times New Roman"/>
                </w:rPr>
                <w:t xml:space="preserve">. Xin Bian Zhu Zi Ji Cheng. Beijing </w:t>
              </w:r>
              <w:r>
                <w:rPr>
                  <w:rFonts w:ascii="MS Gothic" w:eastAsia="MS Gothic" w:hAnsi="MS Gothic" w:cs="MS Gothic" w:hint="eastAsia"/>
                </w:rPr>
                <w:t>北京</w:t>
              </w:r>
              <w:r>
                <w:rPr>
                  <w:rFonts w:cs="Times New Roman"/>
                </w:rPr>
                <w:t xml:space="preserve">: Zhonghua shu ju : Xin hua shu dian Beijing fa xing suo fa xing </w:t>
              </w:r>
              <w:r>
                <w:rPr>
                  <w:rFonts w:ascii="MS Gothic" w:eastAsia="MS Gothic" w:hAnsi="MS Gothic" w:cs="MS Gothic" w:hint="eastAsia"/>
                </w:rPr>
                <w:t>新華書店：北京發行所發行</w:t>
              </w:r>
              <w:r>
                <w:rPr>
                  <w:rFonts w:cs="Times New Roman"/>
                </w:rPr>
                <w:t>, 1990.</w:t>
              </w:r>
            </w:p>
            <w:p w14:paraId="567F6F3A" w14:textId="77777777" w:rsidR="00830739" w:rsidRDefault="00830739" w:rsidP="00830739">
              <w:pPr>
                <w:pStyle w:val="Bibliography"/>
                <w:rPr>
                  <w:rFonts w:cs="Times New Roman"/>
                </w:rPr>
              </w:pPr>
              <w:r>
                <w:rPr>
                  <w:rFonts w:cs="Times New Roman"/>
                </w:rPr>
                <w:t xml:space="preserve">Csikszentmihalyi, Mark. </w:t>
              </w:r>
              <w:r>
                <w:rPr>
                  <w:rFonts w:cs="Times New Roman"/>
                  <w:i/>
                  <w:iCs/>
                </w:rPr>
                <w:t>Material Virtue: Ethics and the Body in Early China</w:t>
              </w:r>
              <w:r>
                <w:rPr>
                  <w:rFonts w:cs="Times New Roman"/>
                </w:rPr>
                <w:t>. Sinica Leidensia, v. 66. Leiden ; Boston: Brill, 2004.</w:t>
              </w:r>
            </w:p>
            <w:p w14:paraId="71DAEFAA" w14:textId="77777777" w:rsidR="00830739" w:rsidRDefault="00830739" w:rsidP="00830739">
              <w:pPr>
                <w:pStyle w:val="Bibliography"/>
                <w:rPr>
                  <w:rFonts w:cs="Times New Roman"/>
                </w:rPr>
              </w:pPr>
              <w:r>
                <w:rPr>
                  <w:rFonts w:cs="Times New Roman"/>
                </w:rPr>
                <w:t xml:space="preserve">Hall, David L., and Roger T. Ames. </w:t>
              </w:r>
              <w:r>
                <w:rPr>
                  <w:rFonts w:cs="Times New Roman"/>
                  <w:i/>
                  <w:iCs/>
                </w:rPr>
                <w:t>Thinking through Confucius</w:t>
              </w:r>
              <w:r>
                <w:rPr>
                  <w:rFonts w:cs="Times New Roman"/>
                </w:rPr>
                <w:t>. SUNY Series in Systematic Philosophy. Albany: State University of New York Press, 1987.</w:t>
              </w:r>
            </w:p>
            <w:p w14:paraId="772946AA" w14:textId="77777777" w:rsidR="00830739" w:rsidRDefault="00830739" w:rsidP="00830739">
              <w:pPr>
                <w:pStyle w:val="Bibliography"/>
                <w:rPr>
                  <w:rFonts w:cs="Times New Roman"/>
                </w:rPr>
              </w:pPr>
              <w:r>
                <w:rPr>
                  <w:rFonts w:cs="Times New Roman"/>
                </w:rPr>
                <w:t xml:space="preserve">Huang, Yong. </w:t>
              </w:r>
              <w:r>
                <w:rPr>
                  <w:rFonts w:cs="Times New Roman"/>
                  <w:i/>
                  <w:iCs/>
                </w:rPr>
                <w:t>Confucius: A Guide for the Perplexed</w:t>
              </w:r>
              <w:r>
                <w:rPr>
                  <w:rFonts w:cs="Times New Roman"/>
                </w:rPr>
                <w:t>. Guides for the Perplexed. New York: Continuum, 2012.</w:t>
              </w:r>
            </w:p>
            <w:p w14:paraId="0588D5FB" w14:textId="77777777" w:rsidR="00830739" w:rsidRDefault="00830739" w:rsidP="00830739">
              <w:pPr>
                <w:pStyle w:val="Bibliography"/>
                <w:rPr>
                  <w:rFonts w:cs="Times New Roman"/>
                </w:rPr>
              </w:pPr>
              <w:r>
                <w:rPr>
                  <w:rFonts w:cs="Times New Roman"/>
                </w:rPr>
                <w:t xml:space="preserve">Ing, Michael David Kaulana. </w:t>
              </w:r>
              <w:r>
                <w:rPr>
                  <w:rFonts w:cs="Times New Roman"/>
                  <w:i/>
                  <w:iCs/>
                </w:rPr>
                <w:t>The Vulnerability of Integrity in Early Confucian Thought</w:t>
              </w:r>
              <w:r>
                <w:rPr>
                  <w:rFonts w:cs="Times New Roman"/>
                </w:rPr>
                <w:t>. New York, NY: Oxford University Press, 2017.</w:t>
              </w:r>
            </w:p>
            <w:p w14:paraId="6D85B926" w14:textId="77777777" w:rsidR="00830739" w:rsidRDefault="00830739" w:rsidP="00830739">
              <w:pPr>
                <w:pStyle w:val="Bibliography"/>
                <w:rPr>
                  <w:rFonts w:cs="Times New Roman"/>
                </w:rPr>
              </w:pPr>
              <w:r>
                <w:rPr>
                  <w:rFonts w:cs="Times New Roman"/>
                </w:rPr>
                <w:t xml:space="preserve">Lo, Yuet Keung. “Confucius and His Community.” In </w:t>
              </w:r>
              <w:r>
                <w:rPr>
                  <w:rFonts w:cs="Times New Roman"/>
                  <w:i/>
                  <w:iCs/>
                </w:rPr>
                <w:t>Dao Companion to the Analects</w:t>
              </w:r>
              <w:r>
                <w:rPr>
                  <w:rFonts w:cs="Times New Roman"/>
                </w:rPr>
                <w:t>, edited by Amy Olberding, 55–79. Dordrecht: Springer Netherlands, 2014. https://doi.org/10.1007/978-94-007-7113-0_4.</w:t>
              </w:r>
            </w:p>
            <w:p w14:paraId="3E1CE522" w14:textId="77777777" w:rsidR="00830739" w:rsidRDefault="00830739" w:rsidP="00830739">
              <w:pPr>
                <w:pStyle w:val="Bibliography"/>
                <w:rPr>
                  <w:rFonts w:cs="Times New Roman"/>
                </w:rPr>
              </w:pPr>
              <w:r>
                <w:rPr>
                  <w:rFonts w:cs="Times New Roman"/>
                </w:rPr>
                <w:t xml:space="preserve">McRae, Emily. “The Cultivation of Moral Feelings and Mengzi’s Method of Extension.” </w:t>
              </w:r>
              <w:r>
                <w:rPr>
                  <w:rFonts w:cs="Times New Roman"/>
                  <w:i/>
                  <w:iCs/>
                </w:rPr>
                <w:t>Philosophy East and West</w:t>
              </w:r>
              <w:r>
                <w:rPr>
                  <w:rFonts w:cs="Times New Roman"/>
                </w:rPr>
                <w:t xml:space="preserve"> 61, no. 4 (2011): 587–608. https://doi.org/10.1353/pew.2011.0050.</w:t>
              </w:r>
            </w:p>
            <w:p w14:paraId="758F2CC7" w14:textId="77777777" w:rsidR="00830739" w:rsidRDefault="00830739" w:rsidP="00830739">
              <w:pPr>
                <w:pStyle w:val="Bibliography"/>
                <w:rPr>
                  <w:rFonts w:cs="Times New Roman"/>
                </w:rPr>
              </w:pPr>
              <w:r>
                <w:rPr>
                  <w:rFonts w:cs="Times New Roman"/>
                </w:rPr>
                <w:t xml:space="preserve">Mou </w:t>
              </w:r>
              <w:r>
                <w:rPr>
                  <w:rFonts w:ascii="MS Gothic" w:eastAsia="MS Gothic" w:hAnsi="MS Gothic" w:cs="MS Gothic" w:hint="eastAsia"/>
                </w:rPr>
                <w:t>牟</w:t>
              </w:r>
              <w:r>
                <w:rPr>
                  <w:rFonts w:cs="Times New Roman"/>
                </w:rPr>
                <w:t xml:space="preserve">, Zongsan </w:t>
              </w:r>
              <w:r>
                <w:rPr>
                  <w:rFonts w:ascii="MS Gothic" w:eastAsia="MS Gothic" w:hAnsi="MS Gothic" w:cs="MS Gothic" w:hint="eastAsia"/>
                </w:rPr>
                <w:t>宗三</w:t>
              </w:r>
              <w:r>
                <w:rPr>
                  <w:rFonts w:cs="Times New Roman"/>
                </w:rPr>
                <w:t xml:space="preserve">. </w:t>
              </w:r>
              <w:r>
                <w:rPr>
                  <w:rFonts w:cs="Times New Roman"/>
                  <w:i/>
                  <w:iCs/>
                </w:rPr>
                <w:t xml:space="preserve">Zhong guo zhe xue de te zhi </w:t>
              </w:r>
              <w:r>
                <w:rPr>
                  <w:rFonts w:ascii="MS Gothic" w:eastAsia="MS Gothic" w:hAnsi="MS Gothic" w:cs="MS Gothic" w:hint="eastAsia"/>
                  <w:i/>
                  <w:iCs/>
                </w:rPr>
                <w:t>中國哲學的特質</w:t>
              </w:r>
              <w:r>
                <w:rPr>
                  <w:rFonts w:cs="Times New Roman"/>
                </w:rPr>
                <w:t>. Zai ban. Xin ya yan jiu suo cong shu. Tai bei: Tai wan xue sheng shu ju, 1994.</w:t>
              </w:r>
            </w:p>
            <w:p w14:paraId="10B5CFEC" w14:textId="77777777" w:rsidR="00830739" w:rsidRDefault="00830739" w:rsidP="00830739">
              <w:pPr>
                <w:pStyle w:val="Bibliography"/>
                <w:rPr>
                  <w:rFonts w:cs="Times New Roman"/>
                </w:rPr>
              </w:pPr>
              <w:r>
                <w:rPr>
                  <w:rFonts w:cs="Times New Roman"/>
                </w:rPr>
                <w:t xml:space="preserve">Pang-White, Ann A. “Caring in Confucian Philosophy: Caring in Confucian Philosophy.” </w:t>
              </w:r>
              <w:r>
                <w:rPr>
                  <w:rFonts w:cs="Times New Roman"/>
                  <w:i/>
                  <w:iCs/>
                </w:rPr>
                <w:t>Philosophy Compass</w:t>
              </w:r>
              <w:r>
                <w:rPr>
                  <w:rFonts w:cs="Times New Roman"/>
                </w:rPr>
                <w:t xml:space="preserve"> 6, no. 6 (June 2011): 374–84. https://doi.org/10.1111/j.1747-9991.2011.00405.x.</w:t>
              </w:r>
            </w:p>
            <w:p w14:paraId="29F64D81" w14:textId="77777777" w:rsidR="00830739" w:rsidRDefault="00830739" w:rsidP="00830739">
              <w:pPr>
                <w:pStyle w:val="Bibliography"/>
                <w:rPr>
                  <w:rFonts w:cs="Times New Roman"/>
                </w:rPr>
              </w:pPr>
              <w:r>
                <w:rPr>
                  <w:rFonts w:cs="Times New Roman"/>
                </w:rPr>
                <w:t xml:space="preserve">Ramsey, John. “Confucian Role Ethics: A Critical Survey: Confucian Role Ethics: A Critical Survey.” </w:t>
              </w:r>
              <w:r>
                <w:rPr>
                  <w:rFonts w:cs="Times New Roman"/>
                  <w:i/>
                  <w:iCs/>
                </w:rPr>
                <w:t>Philosophy Compass</w:t>
              </w:r>
              <w:r>
                <w:rPr>
                  <w:rFonts w:cs="Times New Roman"/>
                </w:rPr>
                <w:t xml:space="preserve"> 11, no. 5 (May 2016): 235–45. https://doi.org/10.1111/phc3.12324.</w:t>
              </w:r>
            </w:p>
            <w:p w14:paraId="69080D40" w14:textId="77777777" w:rsidR="00830739" w:rsidRDefault="00830739" w:rsidP="00830739">
              <w:pPr>
                <w:pStyle w:val="Bibliography"/>
                <w:rPr>
                  <w:rFonts w:cs="Times New Roman"/>
                </w:rPr>
              </w:pPr>
              <w:r>
                <w:rPr>
                  <w:rFonts w:cs="Times New Roman"/>
                </w:rPr>
                <w:t xml:space="preserve">Rosemont, Jr., Henry. “Rights-Bearing Individuals and Role-Bearing Persons.” In </w:t>
              </w:r>
              <w:r>
                <w:rPr>
                  <w:rFonts w:cs="Times New Roman"/>
                  <w:i/>
                  <w:iCs/>
                </w:rPr>
                <w:t>Rules, Rituals, and Responsibility: Essays Dedicated to Herbert Fingarette</w:t>
              </w:r>
              <w:r>
                <w:rPr>
                  <w:rFonts w:cs="Times New Roman"/>
                </w:rPr>
                <w:t>, edited by Mary I. Bockover, 71–102. Open Court, 1991.</w:t>
              </w:r>
            </w:p>
            <w:p w14:paraId="74F143B6" w14:textId="77777777" w:rsidR="00830739" w:rsidRDefault="00830739" w:rsidP="00830739">
              <w:pPr>
                <w:pStyle w:val="Bibliography"/>
                <w:rPr>
                  <w:rFonts w:cs="Times New Roman"/>
                </w:rPr>
              </w:pPr>
              <w:r>
                <w:rPr>
                  <w:rFonts w:cs="Times New Roman"/>
                </w:rPr>
                <w:t xml:space="preserve">Shun, Kwong-Loi. “Le in the Analects.” In </w:t>
              </w:r>
              <w:r>
                <w:rPr>
                  <w:rFonts w:cs="Times New Roman"/>
                  <w:i/>
                  <w:iCs/>
                </w:rPr>
                <w:t>A Concise Companion to Confucius</w:t>
              </w:r>
              <w:r>
                <w:rPr>
                  <w:rFonts w:cs="Times New Roman"/>
                </w:rPr>
                <w:t>, edited by Paul Rakita Goldin, 2017.</w:t>
              </w:r>
            </w:p>
            <w:p w14:paraId="66BF99CC" w14:textId="77777777" w:rsidR="00830739" w:rsidRDefault="00830739" w:rsidP="00830739">
              <w:pPr>
                <w:pStyle w:val="Bibliography"/>
                <w:rPr>
                  <w:rFonts w:cs="Times New Roman"/>
                </w:rPr>
              </w:pPr>
              <w:r>
                <w:rPr>
                  <w:rFonts w:cs="Times New Roman"/>
                </w:rPr>
                <w:t xml:space="preserve">———. “Moral Reasons in Confucian Ethics.” </w:t>
              </w:r>
              <w:r>
                <w:rPr>
                  <w:rFonts w:cs="Times New Roman"/>
                  <w:i/>
                  <w:iCs/>
                </w:rPr>
                <w:t>Journal of Chinese Philosophy</w:t>
              </w:r>
              <w:r>
                <w:rPr>
                  <w:rFonts w:cs="Times New Roman"/>
                </w:rPr>
                <w:t xml:space="preserve"> 16, no. 3–4 (1989): 317–43. https://doi.org/10.1111/j.1540-6253.1989.tb00441.x.</w:t>
              </w:r>
            </w:p>
            <w:p w14:paraId="5F7C0A8A" w14:textId="77777777" w:rsidR="00830739" w:rsidRDefault="00830739" w:rsidP="00830739">
              <w:pPr>
                <w:pStyle w:val="Bibliography"/>
                <w:rPr>
                  <w:rFonts w:cs="Times New Roman"/>
                </w:rPr>
              </w:pPr>
              <w:r>
                <w:rPr>
                  <w:rFonts w:cs="Times New Roman"/>
                </w:rPr>
                <w:t xml:space="preserve">Shun, Kwong-loi. “Zhu Xi and the Idea of One Body.” In </w:t>
              </w:r>
              <w:r>
                <w:rPr>
                  <w:rFonts w:cs="Times New Roman"/>
                  <w:i/>
                  <w:iCs/>
                </w:rPr>
                <w:t>Dao Companion to ZHU Xi’s Philosophy</w:t>
              </w:r>
              <w:r>
                <w:rPr>
                  <w:rFonts w:cs="Times New Roman"/>
                </w:rPr>
                <w:t>, edited by Kai-chiu Ng and Yong Huang, 13:389–444. Dao Companions to Chinese Philosophy. Cham: Springer International Publishing, 2020. https://doi.org/10.1007/978-3-030-29175-4_19.</w:t>
              </w:r>
            </w:p>
            <w:p w14:paraId="34AD2B66" w14:textId="77777777" w:rsidR="00830739" w:rsidRDefault="00830739" w:rsidP="00830739">
              <w:pPr>
                <w:pStyle w:val="Bibliography"/>
                <w:rPr>
                  <w:rFonts w:cs="Times New Roman"/>
                </w:rPr>
              </w:pPr>
              <w:r>
                <w:rPr>
                  <w:rFonts w:cs="Times New Roman"/>
                </w:rPr>
                <w:t xml:space="preserve">Slingerland, Edward G., trans. </w:t>
              </w:r>
              <w:r>
                <w:rPr>
                  <w:rFonts w:cs="Times New Roman"/>
                  <w:i/>
                  <w:iCs/>
                </w:rPr>
                <w:t>Confucius Analects: With Selection from Traditional Commentaries</w:t>
              </w:r>
              <w:r>
                <w:rPr>
                  <w:rFonts w:cs="Times New Roman"/>
                </w:rPr>
                <w:t>. Indianapolis, IN: Hackett Pub. Co, 2003.</w:t>
              </w:r>
            </w:p>
            <w:p w14:paraId="7266A4AB" w14:textId="77777777" w:rsidR="00830739" w:rsidRDefault="00830739" w:rsidP="00830739">
              <w:pPr>
                <w:pStyle w:val="Bibliography"/>
                <w:rPr>
                  <w:rFonts w:cs="Times New Roman"/>
                </w:rPr>
              </w:pPr>
              <w:r>
                <w:rPr>
                  <w:rFonts w:cs="Times New Roman"/>
                </w:rPr>
                <w:t xml:space="preserve">Slingerland, Edward G. </w:t>
              </w:r>
              <w:r>
                <w:rPr>
                  <w:rFonts w:cs="Times New Roman"/>
                  <w:i/>
                  <w:iCs/>
                </w:rPr>
                <w:t>Effortless Action: Wu-Wei as Conceptual Metaphor and Spiritual Ideal in Early China</w:t>
              </w:r>
              <w:r>
                <w:rPr>
                  <w:rFonts w:cs="Times New Roman"/>
                </w:rPr>
                <w:t>. Oxford ; New York: Oxford University Press, 2003.</w:t>
              </w:r>
            </w:p>
            <w:p w14:paraId="66C8324C" w14:textId="77777777" w:rsidR="00830739" w:rsidRDefault="00830739" w:rsidP="00830739">
              <w:pPr>
                <w:pStyle w:val="Bibliography"/>
                <w:rPr>
                  <w:rFonts w:cs="Times New Roman"/>
                </w:rPr>
              </w:pPr>
              <w:r>
                <w:rPr>
                  <w:rFonts w:cs="Times New Roman"/>
                </w:rPr>
                <w:lastRenderedPageBreak/>
                <w:t xml:space="preserve">Slingerland, Ted. “The Conception of Ming in Early Confucian Thought.” </w:t>
              </w:r>
              <w:r>
                <w:rPr>
                  <w:rFonts w:cs="Times New Roman"/>
                  <w:i/>
                  <w:iCs/>
                </w:rPr>
                <w:t>Philosophy East and West</w:t>
              </w:r>
              <w:r>
                <w:rPr>
                  <w:rFonts w:cs="Times New Roman"/>
                </w:rPr>
                <w:t xml:space="preserve"> 46, no. 4 (1996): 567–81. https://doi.org/10.2307/1399496.</w:t>
              </w:r>
            </w:p>
            <w:p w14:paraId="293E8951" w14:textId="77777777" w:rsidR="00830739" w:rsidRDefault="00830739" w:rsidP="00830739">
              <w:pPr>
                <w:pStyle w:val="Bibliography"/>
                <w:rPr>
                  <w:rFonts w:cs="Times New Roman"/>
                </w:rPr>
              </w:pPr>
              <w:r>
                <w:rPr>
                  <w:rFonts w:cs="Times New Roman"/>
                </w:rPr>
                <w:t xml:space="preserve">Van Norden, Bryan W. “Kwong-Loi Shun on Moral Reasons in Mencius.” </w:t>
              </w:r>
              <w:r>
                <w:rPr>
                  <w:rFonts w:cs="Times New Roman"/>
                  <w:i/>
                  <w:iCs/>
                </w:rPr>
                <w:t>Journal of Chinese Philosophy</w:t>
              </w:r>
              <w:r>
                <w:rPr>
                  <w:rFonts w:cs="Times New Roman"/>
                </w:rPr>
                <w:t xml:space="preserve"> 18, no. 4 (1991): 353–70. https://doi.org/10.1111/j.1540-6253.1991.tb00733.x.</w:t>
              </w:r>
            </w:p>
            <w:p w14:paraId="5F26BDFE" w14:textId="77777777" w:rsidR="00830739" w:rsidRDefault="00830739" w:rsidP="00830739">
              <w:pPr>
                <w:pStyle w:val="Bibliography"/>
                <w:rPr>
                  <w:rFonts w:cs="Times New Roman"/>
                </w:rPr>
              </w:pPr>
              <w:r>
                <w:rPr>
                  <w:rFonts w:cs="Times New Roman"/>
                </w:rPr>
                <w:t xml:space="preserve">Wong, David B. “Cultivating the Self in Concert with Others.” In </w:t>
              </w:r>
              <w:r>
                <w:rPr>
                  <w:rFonts w:cs="Times New Roman"/>
                  <w:i/>
                  <w:iCs/>
                </w:rPr>
                <w:t>Dao Companion to the Analects</w:t>
              </w:r>
              <w:r>
                <w:rPr>
                  <w:rFonts w:cs="Times New Roman"/>
                </w:rPr>
                <w:t>, edited by Amy Olberding, 171–97. Dordrecht: Springer Netherlands, 2014. https://doi.org/10.1007/978-94-007-7113-0_10.</w:t>
              </w:r>
            </w:p>
            <w:p w14:paraId="6C53A3BF" w14:textId="77777777" w:rsidR="00830739" w:rsidRDefault="00830739" w:rsidP="00830739">
              <w:pPr>
                <w:pStyle w:val="Bibliography"/>
                <w:rPr>
                  <w:rFonts w:cs="Times New Roman"/>
                </w:rPr>
              </w:pPr>
              <w:r>
                <w:rPr>
                  <w:rFonts w:cs="Times New Roman"/>
                </w:rPr>
                <w:t xml:space="preserve">———. “Reasons and Analogical Reasoning in Mengzi.” In </w:t>
              </w:r>
              <w:r>
                <w:rPr>
                  <w:rFonts w:cs="Times New Roman"/>
                  <w:i/>
                  <w:iCs/>
                </w:rPr>
                <w:t>Essays on the Moral Philosophy of Mengzi</w:t>
              </w:r>
              <w:r>
                <w:rPr>
                  <w:rFonts w:cs="Times New Roman"/>
                </w:rPr>
                <w:t>, edited by Liu Xiusheng and P. J. Ivanhoe, 187–220. Hackett Publishing Company, 2002. https://scholars.duke.edu/display/pub1023516.</w:t>
              </w:r>
            </w:p>
            <w:p w14:paraId="5FBDB47F" w14:textId="77777777" w:rsidR="00830739" w:rsidRDefault="00830739" w:rsidP="00830739">
              <w:pPr>
                <w:pStyle w:val="Bibliography"/>
                <w:rPr>
                  <w:rFonts w:cs="Times New Roman"/>
                </w:rPr>
              </w:pPr>
              <w:r>
                <w:rPr>
                  <w:rFonts w:cs="Times New Roman"/>
                </w:rPr>
                <w:t xml:space="preserve">———. “Relational and Autonomous Selves.” </w:t>
              </w:r>
              <w:r>
                <w:rPr>
                  <w:rFonts w:cs="Times New Roman"/>
                  <w:i/>
                  <w:iCs/>
                </w:rPr>
                <w:t>Journal of Chinese Philosophy</w:t>
              </w:r>
              <w:r>
                <w:rPr>
                  <w:rFonts w:cs="Times New Roman"/>
                </w:rPr>
                <w:t xml:space="preserve"> 31, no. 4 (December 2004): 419–32. https://doi.org/10.1111/j.1540-6253.2004.00163.x.</w:t>
              </w:r>
            </w:p>
            <w:p w14:paraId="0BC24B60" w14:textId="77777777" w:rsidR="00830739" w:rsidRDefault="00830739" w:rsidP="00830739">
              <w:pPr>
                <w:pStyle w:val="Bibliography"/>
                <w:rPr>
                  <w:rFonts w:cs="Times New Roman"/>
                </w:rPr>
              </w:pPr>
              <w:r>
                <w:rPr>
                  <w:rFonts w:cs="Times New Roman"/>
                </w:rPr>
                <w:t xml:space="preserve">Yao, Xingzhong. “Joy, Wisdom and Virtue—The Confucian Paradigm of Good Life.” </w:t>
              </w:r>
              <w:r>
                <w:rPr>
                  <w:rFonts w:cs="Times New Roman"/>
                  <w:i/>
                  <w:iCs/>
                </w:rPr>
                <w:t>Journal of Chinese Philosophy</w:t>
              </w:r>
              <w:r>
                <w:rPr>
                  <w:rFonts w:cs="Times New Roman"/>
                </w:rPr>
                <w:t xml:space="preserve"> 45, no. 3–4 (2018): 222–32. https://doi.org/10.1111/1540-6253.12358.</w:t>
              </w:r>
            </w:p>
            <w:p w14:paraId="37D2502E" w14:textId="77777777" w:rsidR="00830739" w:rsidRDefault="00830739" w:rsidP="00830739">
              <w:pPr>
                <w:pStyle w:val="Bibliography"/>
                <w:rPr>
                  <w:rFonts w:cs="Times New Roman"/>
                </w:rPr>
              </w:pPr>
              <w:r>
                <w:rPr>
                  <w:rFonts w:cs="Times New Roman"/>
                </w:rPr>
                <w:t xml:space="preserve">Yu, Jiyuan. </w:t>
              </w:r>
              <w:r>
                <w:rPr>
                  <w:rFonts w:cs="Times New Roman"/>
                  <w:i/>
                  <w:iCs/>
                </w:rPr>
                <w:t>The Ethics of Confucius and Aristotle: Mirrors of Virtue</w:t>
              </w:r>
              <w:r>
                <w:rPr>
                  <w:rFonts w:cs="Times New Roman"/>
                </w:rPr>
                <w:t>. Routledge Studies in Ethics and Moral Theory 7. New York: Routledge, 2007.</w:t>
              </w:r>
            </w:p>
            <w:p w14:paraId="1A5AD84B" w14:textId="77777777" w:rsidR="00830739" w:rsidRDefault="00830739" w:rsidP="00830739">
              <w:pPr>
                <w:rPr>
                  <w:rFonts w:cs="Times New Roman"/>
                </w:rPr>
              </w:pPr>
              <w:r>
                <w:rPr>
                  <w:rFonts w:cs="Times New Roman"/>
                </w:rPr>
                <w:fldChar w:fldCharType="end"/>
              </w:r>
            </w:p>
          </w:sdtContent>
        </w:sdt>
      </w:sdtContent>
    </w:sdt>
    <w:p w14:paraId="2A287815" w14:textId="77777777" w:rsidR="00830739" w:rsidRDefault="00830739" w:rsidP="00830739">
      <w:pPr>
        <w:rPr>
          <w:rFonts w:cs="Times New Roman"/>
        </w:rPr>
      </w:pPr>
    </w:p>
    <w:p w14:paraId="6A375E99" w14:textId="77777777" w:rsidR="0092467A" w:rsidRDefault="0092467A" w:rsidP="00CF3053">
      <w:pPr>
        <w:pStyle w:val="Heading1"/>
        <w:rPr>
          <w:b/>
          <w:bCs/>
        </w:rPr>
        <w:sectPr w:rsidR="0092467A" w:rsidSect="00041FC6">
          <w:footnotePr>
            <w:numRestart w:val="eachSect"/>
          </w:footnotePr>
          <w:pgSz w:w="12240" w:h="15840"/>
          <w:pgMar w:top="1440" w:right="1440" w:bottom="1440" w:left="1440" w:header="720" w:footer="720" w:gutter="0"/>
          <w:cols w:space="720"/>
          <w:titlePg/>
          <w:docGrid w:linePitch="360"/>
        </w:sectPr>
      </w:pPr>
    </w:p>
    <w:p w14:paraId="008C4433" w14:textId="69350758" w:rsidR="00CF3053" w:rsidRPr="00CF3053" w:rsidRDefault="00CF3053" w:rsidP="00CF3053">
      <w:pPr>
        <w:pStyle w:val="Heading1"/>
        <w:rPr>
          <w:rFonts w:ascii="Times New Roman" w:hAnsi="Times New Roman" w:cs="Times New Roman"/>
          <w:i/>
          <w:iCs/>
        </w:rPr>
      </w:pPr>
      <w:bookmarkStart w:id="14" w:name="_Toc102412727"/>
      <w:r w:rsidRPr="00CF3053">
        <w:rPr>
          <w:rFonts w:ascii="Times New Roman" w:hAnsi="Times New Roman" w:cs="Times New Roman"/>
        </w:rPr>
        <w:lastRenderedPageBreak/>
        <w:t>Paper 2</w:t>
      </w:r>
      <w:r w:rsidRPr="00CF3053">
        <w:rPr>
          <w:rFonts w:ascii="Times New Roman" w:hAnsi="Times New Roman" w:cs="Times New Roman"/>
          <w:b/>
          <w:bCs/>
        </w:rPr>
        <w:t xml:space="preserve">: </w:t>
      </w:r>
      <w:r w:rsidRPr="00CF3053">
        <w:rPr>
          <w:rFonts w:ascii="Times New Roman" w:hAnsi="Times New Roman" w:cs="Times New Roman"/>
        </w:rPr>
        <w:t xml:space="preserve">Confucian Humility in the </w:t>
      </w:r>
      <w:r w:rsidRPr="00CF3053">
        <w:rPr>
          <w:rFonts w:ascii="Times New Roman" w:hAnsi="Times New Roman" w:cs="Times New Roman"/>
          <w:i/>
          <w:iCs/>
        </w:rPr>
        <w:t>Analects</w:t>
      </w:r>
      <w:bookmarkEnd w:id="14"/>
    </w:p>
    <w:p w14:paraId="2020F886" w14:textId="77777777" w:rsidR="00CF3053" w:rsidRDefault="00CF3053" w:rsidP="00CF3053"/>
    <w:p w14:paraId="2BEAF5AA" w14:textId="77777777" w:rsidR="00CF3053" w:rsidRDefault="00CF3053" w:rsidP="00CF3053">
      <w:pPr>
        <w:pStyle w:val="Heading2"/>
      </w:pPr>
      <w:bookmarkStart w:id="15" w:name="_Toc102412728"/>
      <w:r>
        <w:t>1. Abstract and Introduction</w:t>
      </w:r>
      <w:bookmarkEnd w:id="15"/>
    </w:p>
    <w:p w14:paraId="6FDF3696" w14:textId="69CA5454" w:rsidR="00CF3053" w:rsidRPr="00CF3053" w:rsidRDefault="00CF3053" w:rsidP="00CF3053">
      <w:pPr>
        <w:spacing w:line="480" w:lineRule="auto"/>
        <w:rPr>
          <w:rFonts w:cs="Times New Roman"/>
          <w:sz w:val="24"/>
          <w:szCs w:val="24"/>
        </w:rPr>
      </w:pPr>
      <w:r>
        <w:tab/>
      </w:r>
      <w:r w:rsidRPr="00CF3053">
        <w:rPr>
          <w:rFonts w:cs="Times New Roman"/>
          <w:sz w:val="24"/>
          <w:szCs w:val="24"/>
        </w:rPr>
        <w:t>The growing literature on humility in general has sparked interests regarding humility in Confucianism.</w:t>
      </w:r>
      <w:r w:rsidRPr="00CF3053">
        <w:rPr>
          <w:rStyle w:val="FootnoteReference"/>
          <w:rFonts w:cs="Times New Roman"/>
          <w:sz w:val="24"/>
          <w:szCs w:val="24"/>
        </w:rPr>
        <w:footnoteReference w:id="55"/>
      </w:r>
      <w:r w:rsidRPr="00CF3053">
        <w:rPr>
          <w:rFonts w:cs="Times New Roman"/>
          <w:sz w:val="24"/>
          <w:szCs w:val="24"/>
        </w:rPr>
        <w:t xml:space="preserve"> Scholars such as </w:t>
      </w:r>
      <w:proofErr w:type="spellStart"/>
      <w:r w:rsidRPr="00CF3053">
        <w:rPr>
          <w:rFonts w:cs="Times New Roman"/>
          <w:sz w:val="24"/>
          <w:szCs w:val="24"/>
        </w:rPr>
        <w:t>Jin</w:t>
      </w:r>
      <w:proofErr w:type="spellEnd"/>
      <w:r w:rsidRPr="00CF3053">
        <w:rPr>
          <w:rFonts w:cs="Times New Roman"/>
          <w:sz w:val="24"/>
          <w:szCs w:val="24"/>
        </w:rPr>
        <w:t xml:space="preserve"> Li, Sara Rushing, Alexus McLeod and Shun have offered related but distinct accounts of Confucian humility. Building upon their accounts and adding the new element of </w:t>
      </w:r>
      <w:r w:rsidRPr="00CF3053">
        <w:rPr>
          <w:rFonts w:cs="Times New Roman"/>
          <w:i/>
          <w:iCs/>
          <w:sz w:val="24"/>
          <w:szCs w:val="24"/>
        </w:rPr>
        <w:t>li</w:t>
      </w:r>
      <w:r w:rsidRPr="00CF3053">
        <w:rPr>
          <w:rFonts w:cs="Times New Roman"/>
          <w:sz w:val="24"/>
          <w:szCs w:val="24"/>
        </w:rPr>
        <w:t xml:space="preserve"> </w:t>
      </w:r>
      <w:r w:rsidRPr="00CF3053">
        <w:rPr>
          <w:rFonts w:eastAsia="MS Gothic" w:cs="Times New Roman"/>
          <w:sz w:val="24"/>
          <w:szCs w:val="24"/>
        </w:rPr>
        <w:t>禮</w:t>
      </w:r>
      <w:r w:rsidRPr="00CF3053">
        <w:rPr>
          <w:rFonts w:cs="Times New Roman"/>
          <w:sz w:val="24"/>
          <w:szCs w:val="24"/>
        </w:rPr>
        <w:t xml:space="preserve">, I argue that in the </w:t>
      </w:r>
      <w:r w:rsidRPr="00CF3053">
        <w:rPr>
          <w:rFonts w:cs="Times New Roman"/>
          <w:i/>
          <w:iCs/>
          <w:sz w:val="24"/>
          <w:szCs w:val="24"/>
        </w:rPr>
        <w:t>Analects</w:t>
      </w:r>
      <w:r w:rsidRPr="00CF3053">
        <w:rPr>
          <w:rFonts w:cs="Times New Roman"/>
          <w:sz w:val="24"/>
          <w:szCs w:val="24"/>
        </w:rPr>
        <w:t>,</w:t>
      </w:r>
      <w:r w:rsidRPr="00CF3053">
        <w:rPr>
          <w:rStyle w:val="FootnoteReference"/>
          <w:rFonts w:cs="Times New Roman"/>
          <w:sz w:val="24"/>
          <w:szCs w:val="24"/>
        </w:rPr>
        <w:footnoteReference w:id="56"/>
      </w:r>
      <w:r w:rsidRPr="00CF3053">
        <w:rPr>
          <w:rFonts w:cs="Times New Roman"/>
          <w:sz w:val="24"/>
          <w:szCs w:val="24"/>
        </w:rPr>
        <w:t xml:space="preserve"> there are two strands of Confucian humility. Focusing on the agent herself, the first strand can be characterized as vigilance rooted in loving learning. Focusing on others and responsibilities in general, the second strand can be characterized as devotion to responsibility. When they are effectively communicated through </w:t>
      </w:r>
      <w:r w:rsidRPr="00CF3053">
        <w:rPr>
          <w:rFonts w:cs="Times New Roman"/>
          <w:i/>
          <w:iCs/>
          <w:sz w:val="24"/>
          <w:szCs w:val="24"/>
        </w:rPr>
        <w:t>li</w:t>
      </w:r>
      <w:r w:rsidRPr="00CF3053">
        <w:rPr>
          <w:rFonts w:cs="Times New Roman"/>
          <w:sz w:val="24"/>
          <w:szCs w:val="24"/>
        </w:rPr>
        <w:t xml:space="preserve">, both strands are recognized as Confucian humility proper. To argue for my thesis, I first canvas four recent papers on Confucian humility in section two. Then, in section three, I elaborate on the two strands of Confucian humility and the significance of </w:t>
      </w:r>
      <w:r w:rsidRPr="00CF3053">
        <w:rPr>
          <w:rFonts w:cs="Times New Roman"/>
          <w:i/>
          <w:iCs/>
          <w:sz w:val="24"/>
          <w:szCs w:val="24"/>
        </w:rPr>
        <w:t>li</w:t>
      </w:r>
      <w:r w:rsidRPr="00CF3053">
        <w:rPr>
          <w:rFonts w:cs="Times New Roman"/>
          <w:sz w:val="24"/>
          <w:szCs w:val="24"/>
        </w:rPr>
        <w:t xml:space="preserve"> respectively. I conclude by </w:t>
      </w:r>
      <w:r w:rsidRPr="00CF3053">
        <w:rPr>
          <w:rFonts w:cs="Times New Roman"/>
          <w:sz w:val="24"/>
          <w:szCs w:val="24"/>
        </w:rPr>
        <w:lastRenderedPageBreak/>
        <w:t xml:space="preserve">reflecting on how my account incorporates and differs from </w:t>
      </w:r>
      <w:r w:rsidR="00485C36">
        <w:rPr>
          <w:rFonts w:cs="Times New Roman" w:hint="eastAsia"/>
          <w:sz w:val="24"/>
          <w:szCs w:val="24"/>
          <w:lang w:eastAsia="zh-CN"/>
        </w:rPr>
        <w:t>the</w:t>
      </w:r>
      <w:r w:rsidR="00485C36">
        <w:rPr>
          <w:rFonts w:cs="Times New Roman"/>
          <w:sz w:val="24"/>
          <w:szCs w:val="24"/>
        </w:rPr>
        <w:t xml:space="preserve"> </w:t>
      </w:r>
      <w:r w:rsidRPr="00CF3053">
        <w:rPr>
          <w:rFonts w:cs="Times New Roman"/>
          <w:sz w:val="24"/>
          <w:szCs w:val="24"/>
        </w:rPr>
        <w:t xml:space="preserve">four papers discussed in section two. </w:t>
      </w:r>
    </w:p>
    <w:p w14:paraId="613E070C" w14:textId="77777777" w:rsidR="00CF3053" w:rsidRDefault="00CF3053" w:rsidP="00CF3053">
      <w:pPr>
        <w:pStyle w:val="Heading2"/>
      </w:pPr>
      <w:bookmarkStart w:id="16" w:name="_Toc102412729"/>
      <w:r>
        <w:t>2. Four Recent Papers on Confucian Humility</w:t>
      </w:r>
      <w:bookmarkEnd w:id="16"/>
    </w:p>
    <w:p w14:paraId="23A144D5" w14:textId="77777777" w:rsidR="00CF3053" w:rsidRPr="00CF3053" w:rsidRDefault="00CF3053" w:rsidP="00CF3053">
      <w:pPr>
        <w:spacing w:line="480" w:lineRule="auto"/>
        <w:ind w:firstLine="720"/>
        <w:rPr>
          <w:rFonts w:cs="Times New Roman"/>
          <w:sz w:val="24"/>
          <w:szCs w:val="24"/>
        </w:rPr>
      </w:pPr>
      <w:proofErr w:type="spellStart"/>
      <w:r w:rsidRPr="00CF3053">
        <w:rPr>
          <w:rFonts w:cs="Times New Roman"/>
          <w:sz w:val="24"/>
          <w:szCs w:val="24"/>
        </w:rPr>
        <w:t>Jin</w:t>
      </w:r>
      <w:proofErr w:type="spellEnd"/>
      <w:r w:rsidRPr="00CF3053">
        <w:rPr>
          <w:rFonts w:cs="Times New Roman"/>
          <w:sz w:val="24"/>
          <w:szCs w:val="24"/>
        </w:rPr>
        <w:t xml:space="preserve"> Li’s paper published in 2016 considers Confucian humility from the perspective of psychology and culture.</w:t>
      </w:r>
      <w:r w:rsidRPr="00CF3053">
        <w:rPr>
          <w:rStyle w:val="FootnoteReference"/>
          <w:rFonts w:cs="Times New Roman"/>
          <w:sz w:val="24"/>
          <w:szCs w:val="24"/>
        </w:rPr>
        <w:footnoteReference w:id="57"/>
      </w:r>
      <w:r w:rsidRPr="00CF3053">
        <w:rPr>
          <w:rFonts w:cs="Times New Roman"/>
          <w:sz w:val="24"/>
          <w:szCs w:val="24"/>
        </w:rPr>
        <w:t xml:space="preserve"> While she does not provide a clear definition of Confucian humility, she offers numerous insights and observations about unique characteristics of it. Her discussion starts with an observation that humility is highly valued because of its connection to learning, which, for Confucianism, focuses on moral self-cultivation. Two points about Confucian self-cultivation contribute to Li’s account of Confucian humility. First, Confucians have a keen awareness of social interdependence and in particular, indebtedness that each person owes to those who enable their flourishing (such as, but not exclusively, parents), the latter of which generates a moral duty for reciprocity and acknowledgement. Second, self-cultivation is not only dependent upon others, but decidedly hard and “fraught with challenges, temptations, and disappointments,”</w:t>
      </w:r>
      <w:r w:rsidRPr="00CF3053">
        <w:rPr>
          <w:rStyle w:val="FootnoteReference"/>
          <w:rFonts w:cs="Times New Roman"/>
          <w:sz w:val="24"/>
          <w:szCs w:val="24"/>
        </w:rPr>
        <w:footnoteReference w:id="58"/>
      </w:r>
      <w:r w:rsidRPr="00CF3053">
        <w:rPr>
          <w:rFonts w:cs="Times New Roman"/>
          <w:sz w:val="24"/>
          <w:szCs w:val="24"/>
        </w:rPr>
        <w:t xml:space="preserve"> which makes it an arduous life-long project. These two points present challenges that explain the main function of humility, which “is removing unavoidable obstacles from the self-cultivating process.”</w:t>
      </w:r>
      <w:r w:rsidRPr="00CF3053">
        <w:rPr>
          <w:rStyle w:val="FootnoteReference"/>
          <w:rFonts w:cs="Times New Roman"/>
          <w:sz w:val="24"/>
          <w:szCs w:val="24"/>
        </w:rPr>
        <w:footnoteReference w:id="59"/>
      </w:r>
      <w:r w:rsidRPr="00CF3053">
        <w:rPr>
          <w:rFonts w:cs="Times New Roman"/>
          <w:sz w:val="24"/>
          <w:szCs w:val="24"/>
        </w:rPr>
        <w:t xml:space="preserve"> </w:t>
      </w:r>
    </w:p>
    <w:p w14:paraId="7CDA6150" w14:textId="77777777" w:rsidR="00CF3053" w:rsidRPr="00CF3053" w:rsidRDefault="00CF3053" w:rsidP="00CF3053">
      <w:pPr>
        <w:spacing w:line="480" w:lineRule="auto"/>
        <w:ind w:firstLine="720"/>
        <w:rPr>
          <w:rFonts w:cs="Times New Roman"/>
          <w:sz w:val="24"/>
          <w:szCs w:val="24"/>
        </w:rPr>
      </w:pPr>
      <w:r w:rsidRPr="00CF3053">
        <w:rPr>
          <w:rFonts w:cs="Times New Roman"/>
          <w:sz w:val="24"/>
          <w:szCs w:val="24"/>
        </w:rPr>
        <w:t>Li claims that Confucian humility has two parts: “self-focused work and other-focused work”</w:t>
      </w:r>
      <w:r w:rsidRPr="00CF3053">
        <w:rPr>
          <w:rStyle w:val="FootnoteReference"/>
          <w:rFonts w:cs="Times New Roman"/>
          <w:sz w:val="24"/>
          <w:szCs w:val="24"/>
        </w:rPr>
        <w:footnoteReference w:id="60"/>
      </w:r>
      <w:r w:rsidRPr="00CF3053">
        <w:rPr>
          <w:rFonts w:cs="Times New Roman"/>
          <w:sz w:val="24"/>
          <w:szCs w:val="24"/>
        </w:rPr>
        <w:t xml:space="preserve"> that address challenges having to do with oneself and with social interaction. The main challenge with oneself that Li discusses is “a full sense of self (</w:t>
      </w:r>
      <w:r w:rsidRPr="00CF3053">
        <w:rPr>
          <w:rFonts w:eastAsia="Microsoft JhengHei" w:cs="Times New Roman"/>
          <w:sz w:val="24"/>
          <w:szCs w:val="24"/>
        </w:rPr>
        <w:t>满</w:t>
      </w:r>
      <w:r w:rsidRPr="00CF3053">
        <w:rPr>
          <w:rFonts w:cs="Times New Roman"/>
          <w:sz w:val="24"/>
          <w:szCs w:val="24"/>
        </w:rPr>
        <w:t xml:space="preserve">, </w:t>
      </w:r>
      <w:r w:rsidRPr="00CF3053">
        <w:rPr>
          <w:rFonts w:cs="Times New Roman"/>
          <w:i/>
          <w:iCs/>
          <w:sz w:val="24"/>
          <w:szCs w:val="24"/>
        </w:rPr>
        <w:t>man</w:t>
      </w:r>
      <w:r w:rsidRPr="00CF3053">
        <w:rPr>
          <w:rFonts w:cs="Times New Roman"/>
          <w:sz w:val="24"/>
          <w:szCs w:val="24"/>
        </w:rPr>
        <w:t xml:space="preserve">, </w:t>
      </w:r>
      <w:proofErr w:type="gramStart"/>
      <w:r w:rsidRPr="00CF3053">
        <w:rPr>
          <w:rFonts w:cs="Times New Roman"/>
          <w:sz w:val="24"/>
          <w:szCs w:val="24"/>
        </w:rPr>
        <w:t>e.g.</w:t>
      </w:r>
      <w:proofErr w:type="gramEnd"/>
      <w:r w:rsidRPr="00CF3053">
        <w:rPr>
          <w:rFonts w:cs="Times New Roman"/>
          <w:sz w:val="24"/>
          <w:szCs w:val="24"/>
        </w:rPr>
        <w:t xml:space="preserve"> knowing all and </w:t>
      </w:r>
      <w:r w:rsidRPr="00CF3053">
        <w:rPr>
          <w:rFonts w:cs="Times New Roman"/>
          <w:sz w:val="24"/>
          <w:szCs w:val="24"/>
        </w:rPr>
        <w:lastRenderedPageBreak/>
        <w:t xml:space="preserve">controlling all)” that accompanies self-growth. Every improvement we achieve contributes to positive feelings about ourselves, which can potentially lead us to become “overoptimistic, overconfident, more egoistic, </w:t>
      </w:r>
      <w:proofErr w:type="gramStart"/>
      <w:r w:rsidRPr="00CF3053">
        <w:rPr>
          <w:rFonts w:cs="Times New Roman"/>
          <w:sz w:val="24"/>
          <w:szCs w:val="24"/>
        </w:rPr>
        <w:t>harsher</w:t>
      </w:r>
      <w:proofErr w:type="gramEnd"/>
      <w:r w:rsidRPr="00CF3053">
        <w:rPr>
          <w:rFonts w:cs="Times New Roman"/>
          <w:sz w:val="24"/>
          <w:szCs w:val="24"/>
        </w:rPr>
        <w:t xml:space="preserve"> and less forgiving toward others’ imperfections…”</w:t>
      </w:r>
      <w:r w:rsidRPr="00CF3053">
        <w:rPr>
          <w:rStyle w:val="FootnoteReference"/>
          <w:rFonts w:cs="Times New Roman"/>
          <w:sz w:val="24"/>
          <w:szCs w:val="24"/>
        </w:rPr>
        <w:footnoteReference w:id="61"/>
      </w:r>
      <w:r w:rsidRPr="00CF3053">
        <w:rPr>
          <w:rFonts w:cs="Times New Roman"/>
          <w:sz w:val="24"/>
          <w:szCs w:val="24"/>
        </w:rPr>
        <w:t xml:space="preserve"> Put differently, achievements we attain may become an obstacle for further improvement, because we feel good about achieving something, and the good feeling can foster our ego. In her memorable words, the self becomes “both the seeker and the impeder for this very process [of self-cultivation].”</w:t>
      </w:r>
      <w:r w:rsidRPr="00CF3053">
        <w:rPr>
          <w:rStyle w:val="FootnoteReference"/>
          <w:rFonts w:cs="Times New Roman"/>
          <w:sz w:val="24"/>
          <w:szCs w:val="24"/>
        </w:rPr>
        <w:footnoteReference w:id="62"/>
      </w:r>
      <w:r w:rsidRPr="00CF3053">
        <w:rPr>
          <w:rFonts w:cs="Times New Roman"/>
          <w:sz w:val="24"/>
          <w:szCs w:val="24"/>
        </w:rPr>
        <w:t xml:space="preserve"> Humility combats this full sense of self and helps check one’s ego “</w:t>
      </w:r>
      <w:proofErr w:type="gramStart"/>
      <w:r w:rsidRPr="00CF3053">
        <w:rPr>
          <w:rFonts w:cs="Times New Roman"/>
          <w:sz w:val="24"/>
          <w:szCs w:val="24"/>
        </w:rPr>
        <w:t>in order to</w:t>
      </w:r>
      <w:proofErr w:type="gramEnd"/>
      <w:r w:rsidRPr="00CF3053">
        <w:rPr>
          <w:rFonts w:cs="Times New Roman"/>
          <w:sz w:val="24"/>
          <w:szCs w:val="24"/>
        </w:rPr>
        <w:t xml:space="preserve"> submit oneself whole-heartedly to learning.”</w:t>
      </w:r>
      <w:r w:rsidRPr="00CF3053">
        <w:rPr>
          <w:rStyle w:val="FootnoteReference"/>
          <w:rFonts w:cs="Times New Roman"/>
          <w:sz w:val="24"/>
          <w:szCs w:val="24"/>
        </w:rPr>
        <w:footnoteReference w:id="63"/>
      </w:r>
      <w:r w:rsidRPr="00CF3053">
        <w:rPr>
          <w:rFonts w:cs="Times New Roman"/>
          <w:sz w:val="24"/>
          <w:szCs w:val="24"/>
        </w:rPr>
        <w:t xml:space="preserve"> The main challenge of social interaction is the social impact of achievement. Li cites psychological studies to argue that publicly recognized high achievements can incite ill-will and even impair relationship. Expressing humility through acts such as sharing “the spotlight by thanking the team rather than claiming credit for themselves, approaching people at a lower status with respect and understanding” can ease social tension and maintain relationships. </w:t>
      </w:r>
    </w:p>
    <w:p w14:paraId="60D43445" w14:textId="121215DA" w:rsidR="00CF3053" w:rsidRPr="00CF3053" w:rsidRDefault="00CF3053" w:rsidP="00CF3053">
      <w:pPr>
        <w:spacing w:line="480" w:lineRule="auto"/>
        <w:ind w:firstLine="720"/>
        <w:rPr>
          <w:rFonts w:cs="Times New Roman"/>
          <w:sz w:val="24"/>
          <w:szCs w:val="24"/>
        </w:rPr>
      </w:pPr>
      <w:r w:rsidRPr="00CF3053">
        <w:rPr>
          <w:rFonts w:cs="Times New Roman"/>
          <w:sz w:val="24"/>
          <w:szCs w:val="24"/>
        </w:rPr>
        <w:t>Li’s observations regarding “self-focused work and other-focused work” offer worthy insights for rumination.</w:t>
      </w:r>
      <w:r w:rsidRPr="00CF3053">
        <w:rPr>
          <w:rStyle w:val="FootnoteReference"/>
          <w:rFonts w:cs="Times New Roman"/>
          <w:sz w:val="24"/>
          <w:szCs w:val="24"/>
        </w:rPr>
        <w:footnoteReference w:id="64"/>
      </w:r>
      <w:r w:rsidRPr="00CF3053">
        <w:rPr>
          <w:rFonts w:cs="Times New Roman"/>
          <w:sz w:val="24"/>
          <w:szCs w:val="24"/>
        </w:rPr>
        <w:t xml:space="preserve"> Nonetheless, the paper focuses on the functional relevance of humility to learning and does not provide an account of humility that synthesizes the numerous observations. What Confucian humility </w:t>
      </w:r>
      <w:r w:rsidRPr="00CF3053">
        <w:rPr>
          <w:rFonts w:cs="Times New Roman"/>
          <w:i/>
          <w:iCs/>
          <w:sz w:val="24"/>
          <w:szCs w:val="24"/>
        </w:rPr>
        <w:t>is</w:t>
      </w:r>
      <w:r w:rsidRPr="00CF3053">
        <w:rPr>
          <w:rFonts w:cs="Times New Roman"/>
          <w:sz w:val="24"/>
          <w:szCs w:val="24"/>
        </w:rPr>
        <w:t xml:space="preserve"> remains only implied, but not stated. Moreover, Li’s paper sources discussions from psychology and cultural phenomena and does not focus on any </w:t>
      </w:r>
      <w:proofErr w:type="gramStart"/>
      <w:r w:rsidRPr="00CF3053">
        <w:rPr>
          <w:rFonts w:cs="Times New Roman"/>
          <w:sz w:val="24"/>
          <w:szCs w:val="24"/>
        </w:rPr>
        <w:t>particular texts</w:t>
      </w:r>
      <w:proofErr w:type="gramEnd"/>
      <w:r w:rsidRPr="00CF3053">
        <w:rPr>
          <w:rFonts w:cs="Times New Roman"/>
          <w:sz w:val="24"/>
          <w:szCs w:val="24"/>
        </w:rPr>
        <w:t xml:space="preserve"> of early Confucianism. Thus, her paper leaves room for philosophical discussions that center around Confucian texts such as the </w:t>
      </w:r>
      <w:r w:rsidRPr="00CF3053">
        <w:rPr>
          <w:rFonts w:cs="Times New Roman"/>
          <w:i/>
          <w:iCs/>
          <w:sz w:val="24"/>
          <w:szCs w:val="24"/>
        </w:rPr>
        <w:t>Analects</w:t>
      </w:r>
      <w:r w:rsidRPr="00CF3053">
        <w:rPr>
          <w:rFonts w:cs="Times New Roman"/>
          <w:sz w:val="24"/>
          <w:szCs w:val="24"/>
        </w:rPr>
        <w:t xml:space="preserve">. </w:t>
      </w:r>
    </w:p>
    <w:p w14:paraId="47E61ECC" w14:textId="77777777" w:rsidR="00CF3053" w:rsidRPr="00CF3053" w:rsidRDefault="00CF3053" w:rsidP="00CF3053">
      <w:pPr>
        <w:spacing w:line="480" w:lineRule="auto"/>
        <w:ind w:firstLine="720"/>
        <w:rPr>
          <w:rFonts w:cs="Times New Roman"/>
          <w:sz w:val="24"/>
          <w:szCs w:val="24"/>
        </w:rPr>
      </w:pPr>
      <w:bookmarkStart w:id="17" w:name="_Hlk64315741"/>
      <w:r w:rsidRPr="00CF3053">
        <w:rPr>
          <w:rFonts w:cs="Times New Roman"/>
          <w:sz w:val="24"/>
          <w:szCs w:val="24"/>
        </w:rPr>
        <w:lastRenderedPageBreak/>
        <w:t xml:space="preserve">Alexus McLeod offers such an account that focuses on the </w:t>
      </w:r>
      <w:r w:rsidRPr="00CF3053">
        <w:rPr>
          <w:rFonts w:cs="Times New Roman"/>
          <w:i/>
          <w:iCs/>
          <w:sz w:val="24"/>
          <w:szCs w:val="24"/>
        </w:rPr>
        <w:t>Analects</w:t>
      </w:r>
      <w:r w:rsidRPr="00CF3053">
        <w:rPr>
          <w:rFonts w:cs="Times New Roman"/>
          <w:sz w:val="24"/>
          <w:szCs w:val="24"/>
        </w:rPr>
        <w:t xml:space="preserve"> with brief mention of the </w:t>
      </w:r>
      <w:r w:rsidRPr="00CF3053">
        <w:rPr>
          <w:rFonts w:cs="Times New Roman"/>
          <w:i/>
          <w:iCs/>
          <w:sz w:val="24"/>
          <w:szCs w:val="24"/>
        </w:rPr>
        <w:t>Xunzi</w:t>
      </w:r>
      <w:r w:rsidRPr="00CF3053">
        <w:rPr>
          <w:rFonts w:cs="Times New Roman"/>
          <w:sz w:val="24"/>
          <w:szCs w:val="24"/>
        </w:rPr>
        <w:t>. McLeod argues that humility in Confucianism operates by “primarily being a tool for facilitating harmonious social interactions.”</w:t>
      </w:r>
      <w:r w:rsidRPr="00CF3053">
        <w:rPr>
          <w:rStyle w:val="FootnoteReference"/>
          <w:rFonts w:cs="Times New Roman"/>
          <w:sz w:val="24"/>
          <w:szCs w:val="24"/>
        </w:rPr>
        <w:footnoteReference w:id="65"/>
      </w:r>
      <w:r w:rsidRPr="00CF3053">
        <w:rPr>
          <w:rFonts w:cs="Times New Roman"/>
          <w:sz w:val="24"/>
          <w:szCs w:val="24"/>
        </w:rPr>
        <w:t xml:space="preserve"> McLeod’s view shares some similarity with Li’s view in that both emphasize the social relevance of humility. However, McLeod more strongly argues that humility is primarily that, a social tool. Importantly, this does not mean that McLeod’s view of Confucian humility reduces humility to a matter of social performance (or etiquette) without inner qualities of the psyche. Although humility is mainly for facilitating social harmony, social harmony is not a trivial matter of cohabiting together without conflict, but relates to communal commitments, the social roles one occupies, and identity.</w:t>
      </w:r>
      <w:r w:rsidRPr="00CF3053">
        <w:rPr>
          <w:rStyle w:val="FootnoteReference"/>
          <w:rFonts w:cs="Times New Roman"/>
          <w:sz w:val="24"/>
          <w:szCs w:val="24"/>
        </w:rPr>
        <w:footnoteReference w:id="66"/>
      </w:r>
      <w:r w:rsidRPr="00CF3053">
        <w:rPr>
          <w:rFonts w:cs="Times New Roman"/>
          <w:sz w:val="24"/>
          <w:szCs w:val="24"/>
        </w:rPr>
        <w:t xml:space="preserve"> Attaining humility, therefore, is not a simple matter of behaving humbly, but requires overcoming the “self” in a certain sense and developing it in another sense.</w:t>
      </w:r>
    </w:p>
    <w:p w14:paraId="623848E1" w14:textId="77777777" w:rsidR="00CF3053" w:rsidRPr="00CF3053" w:rsidRDefault="00CF3053" w:rsidP="00CF3053">
      <w:pPr>
        <w:spacing w:line="480" w:lineRule="auto"/>
        <w:ind w:firstLine="720"/>
        <w:rPr>
          <w:rFonts w:cs="Times New Roman"/>
          <w:sz w:val="24"/>
          <w:szCs w:val="24"/>
        </w:rPr>
      </w:pPr>
      <w:r w:rsidRPr="00CF3053">
        <w:rPr>
          <w:rFonts w:cs="Times New Roman"/>
          <w:sz w:val="24"/>
          <w:szCs w:val="24"/>
        </w:rPr>
        <w:t>The sense of self to be eradicated concerns our desire to “self-adore,” or “to be perceived as, or to believe oneself to be, different and superior (in some way or multiple ways) to others in the community.”</w:t>
      </w:r>
      <w:r w:rsidRPr="00CF3053">
        <w:rPr>
          <w:rStyle w:val="FootnoteReference"/>
          <w:rFonts w:cs="Times New Roman"/>
          <w:sz w:val="24"/>
          <w:szCs w:val="24"/>
        </w:rPr>
        <w:footnoteReference w:id="67"/>
      </w:r>
      <w:r w:rsidRPr="00CF3053">
        <w:rPr>
          <w:rFonts w:cs="Times New Roman"/>
          <w:sz w:val="24"/>
          <w:szCs w:val="24"/>
        </w:rPr>
        <w:t xml:space="preserve"> Such desire “leads one to separate, to compare, to spurn – and it is thus corrosive to community.”</w:t>
      </w:r>
      <w:r w:rsidRPr="00CF3053">
        <w:rPr>
          <w:rStyle w:val="FootnoteReference"/>
          <w:rFonts w:cs="Times New Roman"/>
          <w:sz w:val="24"/>
          <w:szCs w:val="24"/>
        </w:rPr>
        <w:footnoteReference w:id="68"/>
      </w:r>
      <w:r w:rsidRPr="00CF3053">
        <w:rPr>
          <w:rFonts w:cs="Times New Roman"/>
          <w:sz w:val="24"/>
          <w:szCs w:val="24"/>
        </w:rPr>
        <w:t xml:space="preserve"> At the same time, for humility to effectively facilitate social harmony, it needs to involve proper concern for the self as well, which includes the desire to “self-utilize,” or “to integrate into and play a role in the community.”</w:t>
      </w:r>
      <w:r w:rsidRPr="00CF3053">
        <w:rPr>
          <w:rStyle w:val="FootnoteReference"/>
          <w:rFonts w:cs="Times New Roman"/>
          <w:sz w:val="24"/>
          <w:szCs w:val="24"/>
        </w:rPr>
        <w:footnoteReference w:id="69"/>
      </w:r>
      <w:r w:rsidRPr="00CF3053">
        <w:rPr>
          <w:rFonts w:cs="Times New Roman"/>
          <w:sz w:val="24"/>
          <w:szCs w:val="24"/>
        </w:rPr>
        <w:t xml:space="preserve"> Thus, even though Confucian humility is primarily about fostering social harmony, it requires self-cultivation which </w:t>
      </w:r>
      <w:r w:rsidRPr="00CF3053">
        <w:rPr>
          <w:rFonts w:cs="Times New Roman"/>
          <w:sz w:val="24"/>
          <w:szCs w:val="24"/>
        </w:rPr>
        <w:lastRenderedPageBreak/>
        <w:t xml:space="preserve">on the one hand, overcomes the desire to put oneself over and above others, and on the other hand, develops the desire to consider and make oneself a contributing member of the community. </w:t>
      </w:r>
    </w:p>
    <w:p w14:paraId="2450D89A" w14:textId="77777777" w:rsidR="00CF3053" w:rsidRPr="00CF3053" w:rsidRDefault="00CF3053" w:rsidP="00CF3053">
      <w:pPr>
        <w:spacing w:line="480" w:lineRule="auto"/>
        <w:ind w:firstLine="720"/>
        <w:rPr>
          <w:rFonts w:cs="Times New Roman"/>
          <w:sz w:val="24"/>
          <w:szCs w:val="24"/>
        </w:rPr>
      </w:pPr>
      <w:r w:rsidRPr="00CF3053">
        <w:rPr>
          <w:rFonts w:cs="Times New Roman"/>
          <w:sz w:val="24"/>
          <w:szCs w:val="24"/>
        </w:rPr>
        <w:t>It seems to me that McLeod’s thesis that Confucian humility is primarily social is correct in its focus but misleading in its degree of emphasis. Promoting social harmony does seem to be an important and even indispensable part of Confucian humility. However, it is not clear that Confucian humility is simply that. In other words, there seem to be elements of Confucian humility that are not strictly or primarily about promoting social harmony. One such example is learning and self-cultivation. Per Li’s insight, humility checks the full sense of self so that one can continue to learn and improve. This aspect of humility does not have a direct and immediate relationship with promoting social harmony.</w:t>
      </w:r>
      <w:r w:rsidRPr="00CF3053">
        <w:rPr>
          <w:rStyle w:val="FootnoteReference"/>
          <w:rFonts w:cs="Times New Roman"/>
          <w:sz w:val="24"/>
          <w:szCs w:val="24"/>
        </w:rPr>
        <w:footnoteReference w:id="70"/>
      </w:r>
      <w:r w:rsidRPr="00CF3053">
        <w:rPr>
          <w:rFonts w:cs="Times New Roman"/>
          <w:sz w:val="24"/>
          <w:szCs w:val="24"/>
        </w:rPr>
        <w:t xml:space="preserve"> Thus, while promoting social harmony is clearly important, Confucian humility seems to involve more than that. </w:t>
      </w:r>
    </w:p>
    <w:bookmarkEnd w:id="17"/>
    <w:p w14:paraId="4C923EE5" w14:textId="77777777"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Sara Rushing argues for another conceptualization of Confucian humility in the </w:t>
      </w:r>
      <w:r w:rsidRPr="00CF3053">
        <w:rPr>
          <w:rFonts w:cs="Times New Roman"/>
          <w:i/>
          <w:iCs/>
          <w:sz w:val="24"/>
          <w:szCs w:val="24"/>
        </w:rPr>
        <w:t>Analects.</w:t>
      </w:r>
      <w:r w:rsidRPr="00CF3053">
        <w:rPr>
          <w:rStyle w:val="FootnoteReference"/>
          <w:rFonts w:cs="Times New Roman"/>
          <w:i/>
          <w:iCs/>
          <w:sz w:val="24"/>
          <w:szCs w:val="24"/>
        </w:rPr>
        <w:footnoteReference w:id="71"/>
      </w:r>
      <w:r w:rsidRPr="00CF3053">
        <w:rPr>
          <w:rFonts w:cs="Times New Roman"/>
          <w:i/>
          <w:iCs/>
          <w:sz w:val="24"/>
          <w:szCs w:val="24"/>
        </w:rPr>
        <w:t xml:space="preserve"> </w:t>
      </w:r>
      <w:r w:rsidRPr="00CF3053">
        <w:rPr>
          <w:rFonts w:cs="Times New Roman"/>
          <w:sz w:val="24"/>
          <w:szCs w:val="24"/>
        </w:rPr>
        <w:t xml:space="preserve">Although it has no corresponding characters or phrases, one can infer Confucian humility from three sub-themes: learning and reflection, realistic self-assessment, and human limitations. Further, Rushing says that Confucian humility “… is reciprocally related to those sub-themes, in as much as humility is also what </w:t>
      </w:r>
      <w:r w:rsidRPr="00CF3053">
        <w:rPr>
          <w:rFonts w:cs="Times New Roman"/>
          <w:i/>
          <w:iCs/>
          <w:sz w:val="24"/>
          <w:szCs w:val="24"/>
        </w:rPr>
        <w:t>enables</w:t>
      </w:r>
      <w:r w:rsidRPr="00CF3053">
        <w:rPr>
          <w:rFonts w:cs="Times New Roman"/>
          <w:sz w:val="24"/>
          <w:szCs w:val="24"/>
        </w:rPr>
        <w:t xml:space="preserve"> one properly to cultivate these essential Confucian orientations.”</w:t>
      </w:r>
      <w:r w:rsidRPr="00CF3053">
        <w:rPr>
          <w:rStyle w:val="FootnoteReference"/>
          <w:rFonts w:cs="Times New Roman"/>
          <w:sz w:val="24"/>
          <w:szCs w:val="24"/>
        </w:rPr>
        <w:footnoteReference w:id="72"/>
      </w:r>
      <w:r w:rsidRPr="00CF3053">
        <w:rPr>
          <w:rFonts w:cs="Times New Roman"/>
          <w:sz w:val="24"/>
          <w:szCs w:val="24"/>
        </w:rPr>
        <w:t xml:space="preserve">  Put differently, Rushing believes </w:t>
      </w:r>
      <w:proofErr w:type="gramStart"/>
      <w:r w:rsidRPr="00CF3053">
        <w:rPr>
          <w:rFonts w:cs="Times New Roman"/>
          <w:sz w:val="24"/>
          <w:szCs w:val="24"/>
        </w:rPr>
        <w:t>that,</w:t>
      </w:r>
      <w:proofErr w:type="gramEnd"/>
      <w:r w:rsidRPr="00CF3053">
        <w:rPr>
          <w:rFonts w:cs="Times New Roman"/>
          <w:sz w:val="24"/>
          <w:szCs w:val="24"/>
        </w:rPr>
        <w:t xml:space="preserve"> first, humility can be found in </w:t>
      </w:r>
      <w:r w:rsidRPr="00CF3053">
        <w:rPr>
          <w:rFonts w:cs="Times New Roman"/>
          <w:sz w:val="24"/>
          <w:szCs w:val="24"/>
        </w:rPr>
        <w:lastRenderedPageBreak/>
        <w:t xml:space="preserve">the three sub-themes in the </w:t>
      </w:r>
      <w:r w:rsidRPr="00CF3053">
        <w:rPr>
          <w:rFonts w:cs="Times New Roman"/>
          <w:i/>
          <w:iCs/>
          <w:sz w:val="24"/>
          <w:szCs w:val="24"/>
        </w:rPr>
        <w:t>Analects</w:t>
      </w:r>
      <w:r w:rsidRPr="00CF3053">
        <w:rPr>
          <w:rFonts w:cs="Times New Roman"/>
          <w:sz w:val="24"/>
          <w:szCs w:val="24"/>
        </w:rPr>
        <w:t>, and, second, humility is “foundational”</w:t>
      </w:r>
      <w:r w:rsidRPr="00CF3053">
        <w:rPr>
          <w:rStyle w:val="FootnoteReference"/>
          <w:rFonts w:cs="Times New Roman"/>
          <w:sz w:val="24"/>
          <w:szCs w:val="24"/>
        </w:rPr>
        <w:footnoteReference w:id="73"/>
      </w:r>
      <w:r w:rsidRPr="00CF3053">
        <w:rPr>
          <w:rFonts w:cs="Times New Roman"/>
          <w:sz w:val="24"/>
          <w:szCs w:val="24"/>
        </w:rPr>
        <w:t xml:space="preserve"> in the sense of enabling cultivation of other virtues.  </w:t>
      </w:r>
    </w:p>
    <w:p w14:paraId="2183C4D0" w14:textId="5BAC58D2" w:rsidR="00CF3053" w:rsidRPr="00CF3053" w:rsidRDefault="00CF3053" w:rsidP="00CF3053">
      <w:pPr>
        <w:spacing w:line="480" w:lineRule="auto"/>
        <w:ind w:firstLine="720"/>
        <w:jc w:val="both"/>
        <w:rPr>
          <w:rFonts w:cs="Times New Roman"/>
          <w:sz w:val="24"/>
          <w:szCs w:val="24"/>
        </w:rPr>
      </w:pPr>
      <w:r w:rsidRPr="00CF3053">
        <w:rPr>
          <w:rFonts w:cs="Times New Roman"/>
          <w:sz w:val="24"/>
          <w:szCs w:val="24"/>
        </w:rPr>
        <w:t xml:space="preserve">Regarding the first sub-theme of learning and reflection, Rushing argues that it requires both deference of judgment “until appropriate learning and reflection has occurred,” and a critical attitude that prevents such deference </w:t>
      </w:r>
      <w:r w:rsidR="00D854E6">
        <w:rPr>
          <w:rFonts w:cs="Times New Roman"/>
          <w:sz w:val="24"/>
          <w:szCs w:val="24"/>
        </w:rPr>
        <w:t>from becoming</w:t>
      </w:r>
      <w:r w:rsidRPr="00CF3053">
        <w:rPr>
          <w:rFonts w:cs="Times New Roman"/>
          <w:sz w:val="24"/>
          <w:szCs w:val="24"/>
        </w:rPr>
        <w:t xml:space="preserve"> blind obedience.</w:t>
      </w:r>
      <w:r w:rsidRPr="00CF3053">
        <w:rPr>
          <w:rStyle w:val="FootnoteReference"/>
          <w:rFonts w:cs="Times New Roman"/>
          <w:sz w:val="24"/>
          <w:szCs w:val="24"/>
        </w:rPr>
        <w:footnoteReference w:id="74"/>
      </w:r>
      <w:r w:rsidRPr="00CF3053">
        <w:rPr>
          <w:rFonts w:cs="Times New Roman"/>
          <w:sz w:val="24"/>
          <w:szCs w:val="24"/>
        </w:rPr>
        <w:t xml:space="preserve"> It is further marked by an openness that is committed to “true listening </w:t>
      </w:r>
      <w:r w:rsidRPr="00CF3053">
        <w:rPr>
          <w:rFonts w:cs="Times New Roman"/>
          <w:i/>
          <w:iCs/>
          <w:sz w:val="24"/>
          <w:szCs w:val="24"/>
        </w:rPr>
        <w:t>first</w:t>
      </w:r>
      <w:r w:rsidRPr="00CF3053">
        <w:rPr>
          <w:rFonts w:cs="Times New Roman"/>
          <w:sz w:val="24"/>
          <w:szCs w:val="24"/>
        </w:rPr>
        <w:t>.”</w:t>
      </w:r>
      <w:r w:rsidRPr="00CF3053">
        <w:rPr>
          <w:rStyle w:val="FootnoteReference"/>
          <w:rFonts w:cs="Times New Roman"/>
          <w:sz w:val="24"/>
          <w:szCs w:val="24"/>
        </w:rPr>
        <w:footnoteReference w:id="75"/>
      </w:r>
      <w:r w:rsidRPr="00CF3053">
        <w:rPr>
          <w:rFonts w:cs="Times New Roman"/>
          <w:sz w:val="24"/>
          <w:szCs w:val="24"/>
        </w:rPr>
        <w:t xml:space="preserve"> All these constitute parts of humility. Realistic self-reflection also comes into play since the focus of learning is to cultivate the self, and a key point of self-cultivation is knowing one’s limitation and strengths. This understanding is gained “from an attuned understanding of the larger set of earthly relations and abilities within which one must decide how to conduct oneself” and contribute to the community.</w:t>
      </w:r>
      <w:r w:rsidRPr="00CF3053">
        <w:rPr>
          <w:rStyle w:val="FootnoteReference"/>
          <w:rFonts w:cs="Times New Roman"/>
          <w:sz w:val="24"/>
          <w:szCs w:val="24"/>
        </w:rPr>
        <w:footnoteReference w:id="76"/>
      </w:r>
      <w:r w:rsidRPr="00CF3053">
        <w:rPr>
          <w:rFonts w:cs="Times New Roman"/>
          <w:sz w:val="24"/>
          <w:szCs w:val="24"/>
        </w:rPr>
        <w:t xml:space="preserve"> What one can in fact contribute and when one should stop have to do with the last theme of human limitations. Rushing argues that in the </w:t>
      </w:r>
      <w:r w:rsidRPr="00CF3053">
        <w:rPr>
          <w:rFonts w:cs="Times New Roman"/>
          <w:i/>
          <w:iCs/>
          <w:sz w:val="24"/>
          <w:szCs w:val="24"/>
        </w:rPr>
        <w:t>Analects</w:t>
      </w:r>
      <w:r w:rsidRPr="00CF3053">
        <w:rPr>
          <w:rFonts w:cs="Times New Roman"/>
          <w:sz w:val="24"/>
          <w:szCs w:val="24"/>
        </w:rPr>
        <w:t>, there is an emphasis in historicity as imposing limitations, that “Confucius believed himself to be out of step with his times.”</w:t>
      </w:r>
      <w:r w:rsidRPr="00CF3053">
        <w:rPr>
          <w:rStyle w:val="FootnoteReference"/>
          <w:rFonts w:cs="Times New Roman"/>
          <w:sz w:val="24"/>
          <w:szCs w:val="24"/>
        </w:rPr>
        <w:footnoteReference w:id="77"/>
      </w:r>
      <w:r w:rsidRPr="00CF3053">
        <w:rPr>
          <w:rFonts w:cs="Times New Roman"/>
          <w:sz w:val="24"/>
          <w:szCs w:val="24"/>
        </w:rPr>
        <w:t xml:space="preserve"> Such limitations should not demoralize oneself or make us “turn entirely inward or to cultivate a joyful attitude in the acceptance of subjection to external forces,” but “enable[s] us to understand that our actions can often have only a limited impact … and thus the purpose of acting cannot be determined by the likelihood of success.”</w:t>
      </w:r>
      <w:r w:rsidRPr="00CF3053">
        <w:rPr>
          <w:rStyle w:val="FootnoteReference"/>
          <w:rFonts w:cs="Times New Roman"/>
          <w:sz w:val="24"/>
          <w:szCs w:val="24"/>
        </w:rPr>
        <w:footnoteReference w:id="78"/>
      </w:r>
      <w:r w:rsidRPr="00CF3053">
        <w:rPr>
          <w:rFonts w:cs="Times New Roman"/>
          <w:sz w:val="24"/>
          <w:szCs w:val="24"/>
        </w:rPr>
        <w:t xml:space="preserve"> Rushing argues that this understanding of human limitation and humility enables “proper protest and remonstration” and even “righteous indignation.”</w:t>
      </w:r>
      <w:r w:rsidRPr="00CF3053">
        <w:rPr>
          <w:rStyle w:val="FootnoteReference"/>
          <w:rFonts w:cs="Times New Roman"/>
          <w:sz w:val="24"/>
          <w:szCs w:val="24"/>
        </w:rPr>
        <w:footnoteReference w:id="79"/>
      </w:r>
      <w:r w:rsidRPr="00CF3053">
        <w:rPr>
          <w:rFonts w:cs="Times New Roman"/>
          <w:sz w:val="24"/>
          <w:szCs w:val="24"/>
        </w:rPr>
        <w:t xml:space="preserve"> </w:t>
      </w:r>
    </w:p>
    <w:p w14:paraId="57222F6F" w14:textId="77777777" w:rsidR="00CF3053" w:rsidRPr="00CF3053" w:rsidRDefault="00CF3053" w:rsidP="00CF3053">
      <w:pPr>
        <w:spacing w:line="480" w:lineRule="auto"/>
        <w:jc w:val="both"/>
        <w:rPr>
          <w:rFonts w:cs="Times New Roman"/>
          <w:sz w:val="24"/>
          <w:szCs w:val="24"/>
        </w:rPr>
      </w:pPr>
      <w:r w:rsidRPr="00CF3053">
        <w:rPr>
          <w:rFonts w:cs="Times New Roman"/>
          <w:sz w:val="24"/>
          <w:szCs w:val="24"/>
        </w:rPr>
        <w:lastRenderedPageBreak/>
        <w:tab/>
        <w:t>Rushing usefully introduces realistic self-assessment</w:t>
      </w:r>
      <w:r w:rsidRPr="00CF3053">
        <w:rPr>
          <w:rStyle w:val="FootnoteReference"/>
          <w:rFonts w:cs="Times New Roman"/>
          <w:sz w:val="24"/>
          <w:szCs w:val="24"/>
        </w:rPr>
        <w:footnoteReference w:id="80"/>
      </w:r>
      <w:r w:rsidRPr="00CF3053">
        <w:rPr>
          <w:rFonts w:cs="Times New Roman"/>
          <w:sz w:val="24"/>
          <w:szCs w:val="24"/>
        </w:rPr>
        <w:t xml:space="preserve"> and historicity into the conversation, and a new perspective on learning that is different from Li’s. While Li focuses on humility’s function in checking ego, </w:t>
      </w:r>
      <w:proofErr w:type="gramStart"/>
      <w:r w:rsidRPr="00CF3053">
        <w:rPr>
          <w:rFonts w:cs="Times New Roman"/>
          <w:sz w:val="24"/>
          <w:szCs w:val="24"/>
        </w:rPr>
        <w:t>Rushing</w:t>
      </w:r>
      <w:proofErr w:type="gramEnd"/>
      <w:r w:rsidRPr="00CF3053">
        <w:rPr>
          <w:rFonts w:cs="Times New Roman"/>
          <w:sz w:val="24"/>
          <w:szCs w:val="24"/>
        </w:rPr>
        <w:t xml:space="preserve"> stresses that humility is important for learning but does not imply blind obedience. Much of what Rushing says makes good sense of Confucian humility. However, I have two small reservations about her account. First, it is not clear why self-assessment should be a separate theme from recognizing human limitations, since the latter is an important conclusion of the former, and in the Confucian context, historicity is an important reference point for making self-assessment. Separating the theme of human limitation from self-assessment seems odd and unnecessary. Second, it is not clear to me why Confucian humility is the foundational virtue of all. One might think humility itself is a result of cultivation and learning, rather than the prerequisite. </w:t>
      </w:r>
    </w:p>
    <w:p w14:paraId="5582A74A" w14:textId="77777777" w:rsidR="00CF3053" w:rsidRPr="00CF3053" w:rsidRDefault="00CF3053" w:rsidP="00CF3053">
      <w:pPr>
        <w:spacing w:line="480" w:lineRule="auto"/>
        <w:rPr>
          <w:rFonts w:cs="Times New Roman"/>
          <w:sz w:val="24"/>
          <w:szCs w:val="24"/>
        </w:rPr>
      </w:pPr>
      <w:r w:rsidRPr="00CF3053">
        <w:rPr>
          <w:rFonts w:cs="Times New Roman"/>
          <w:sz w:val="24"/>
          <w:szCs w:val="24"/>
        </w:rPr>
        <w:tab/>
        <w:t xml:space="preserve">Last but not least, </w:t>
      </w:r>
      <w:proofErr w:type="gramStart"/>
      <w:r w:rsidRPr="00CF3053">
        <w:rPr>
          <w:rFonts w:cs="Times New Roman"/>
          <w:sz w:val="24"/>
          <w:szCs w:val="24"/>
        </w:rPr>
        <w:t>Shun</w:t>
      </w:r>
      <w:proofErr w:type="gramEnd"/>
      <w:r w:rsidRPr="00CF3053">
        <w:rPr>
          <w:rFonts w:cs="Times New Roman"/>
          <w:sz w:val="24"/>
          <w:szCs w:val="24"/>
        </w:rPr>
        <w:t xml:space="preserve"> presents a comprehensive view of Confucian humility. He garners “humility” related characters and their hundreds of appearances from nineteen Han </w:t>
      </w:r>
      <w:proofErr w:type="spellStart"/>
      <w:r w:rsidRPr="00CF3053">
        <w:rPr>
          <w:rFonts w:eastAsia="MS Gothic" w:cs="Times New Roman"/>
          <w:sz w:val="24"/>
          <w:szCs w:val="24"/>
        </w:rPr>
        <w:t>漢</w:t>
      </w:r>
      <w:r w:rsidRPr="00CF3053">
        <w:rPr>
          <w:rFonts w:cs="Times New Roman"/>
          <w:sz w:val="24"/>
          <w:szCs w:val="24"/>
        </w:rPr>
        <w:t>Chinese</w:t>
      </w:r>
      <w:proofErr w:type="spellEnd"/>
      <w:r w:rsidRPr="00CF3053">
        <w:rPr>
          <w:rFonts w:cs="Times New Roman"/>
          <w:sz w:val="24"/>
          <w:szCs w:val="24"/>
        </w:rPr>
        <w:t xml:space="preserve"> </w:t>
      </w:r>
      <w:proofErr w:type="gramStart"/>
      <w:r w:rsidRPr="00CF3053">
        <w:rPr>
          <w:rFonts w:cs="Times New Roman"/>
          <w:sz w:val="24"/>
          <w:szCs w:val="24"/>
        </w:rPr>
        <w:t>texts, and</w:t>
      </w:r>
      <w:proofErr w:type="gramEnd"/>
      <w:r w:rsidRPr="00CF3053">
        <w:rPr>
          <w:rFonts w:cs="Times New Roman"/>
          <w:sz w:val="24"/>
          <w:szCs w:val="24"/>
        </w:rPr>
        <w:t xml:space="preserve"> organizes them into four clusters that discuss variations of pride and three dimensions of humility. Pride can take the form of </w:t>
      </w:r>
      <w:bookmarkStart w:id="18" w:name="_Hlk68694917"/>
      <w:proofErr w:type="spellStart"/>
      <w:r w:rsidRPr="00CF3053">
        <w:rPr>
          <w:rFonts w:cs="Times New Roman"/>
          <w:i/>
          <w:iCs/>
          <w:sz w:val="24"/>
          <w:szCs w:val="24"/>
        </w:rPr>
        <w:t>jiao</w:t>
      </w:r>
      <w:proofErr w:type="spellEnd"/>
      <w:r w:rsidRPr="00CF3053">
        <w:rPr>
          <w:rFonts w:cs="Times New Roman"/>
          <w:sz w:val="24"/>
          <w:szCs w:val="24"/>
        </w:rPr>
        <w:t xml:space="preserve"> </w:t>
      </w:r>
      <w:r w:rsidRPr="00CF3053">
        <w:rPr>
          <w:rFonts w:eastAsia="MS Mincho" w:cs="Times New Roman"/>
          <w:sz w:val="24"/>
          <w:szCs w:val="24"/>
        </w:rPr>
        <w:t>驕</w:t>
      </w:r>
      <w:bookmarkEnd w:id="18"/>
      <w:r w:rsidRPr="00CF3053">
        <w:rPr>
          <w:rFonts w:cs="Times New Roman"/>
          <w:sz w:val="24"/>
          <w:szCs w:val="24"/>
        </w:rPr>
        <w:t xml:space="preserve">, a self-conception of fullness, which can lead to excessiveness (i.e., </w:t>
      </w:r>
      <w:bookmarkStart w:id="19" w:name="_Hlk68694928"/>
      <w:r w:rsidRPr="00CF3053">
        <w:rPr>
          <w:rFonts w:cs="Times New Roman"/>
          <w:i/>
          <w:iCs/>
          <w:sz w:val="24"/>
          <w:szCs w:val="24"/>
        </w:rPr>
        <w:t>she</w:t>
      </w:r>
      <w:r w:rsidRPr="00CF3053">
        <w:rPr>
          <w:rFonts w:cs="Times New Roman"/>
          <w:sz w:val="24"/>
          <w:szCs w:val="24"/>
        </w:rPr>
        <w:t xml:space="preserve"> </w:t>
      </w:r>
      <w:r w:rsidRPr="00CF3053">
        <w:rPr>
          <w:rFonts w:eastAsia="MS Mincho" w:cs="Times New Roman"/>
          <w:sz w:val="24"/>
          <w:szCs w:val="24"/>
        </w:rPr>
        <w:t>奢</w:t>
      </w:r>
      <w:r w:rsidRPr="00CF3053">
        <w:rPr>
          <w:rFonts w:cs="Times New Roman"/>
          <w:sz w:val="24"/>
          <w:szCs w:val="24"/>
        </w:rPr>
        <w:t xml:space="preserve">, </w:t>
      </w:r>
      <w:r w:rsidRPr="00CF3053">
        <w:rPr>
          <w:rFonts w:cs="Times New Roman"/>
          <w:i/>
          <w:iCs/>
          <w:sz w:val="24"/>
          <w:szCs w:val="24"/>
        </w:rPr>
        <w:t>chi</w:t>
      </w:r>
      <w:r w:rsidRPr="00CF3053">
        <w:rPr>
          <w:rFonts w:cs="Times New Roman"/>
          <w:sz w:val="24"/>
          <w:szCs w:val="24"/>
        </w:rPr>
        <w:t xml:space="preserve"> </w:t>
      </w:r>
      <w:r w:rsidRPr="00CF3053">
        <w:rPr>
          <w:rFonts w:eastAsia="MS Mincho" w:cs="Times New Roman"/>
          <w:sz w:val="24"/>
          <w:szCs w:val="24"/>
        </w:rPr>
        <w:t>侈</w:t>
      </w:r>
      <w:r w:rsidRPr="00CF3053">
        <w:rPr>
          <w:rFonts w:cs="Times New Roman"/>
          <w:sz w:val="24"/>
          <w:szCs w:val="24"/>
        </w:rPr>
        <w:t xml:space="preserve">, and </w:t>
      </w:r>
      <w:r w:rsidRPr="00CF3053">
        <w:rPr>
          <w:rFonts w:cs="Times New Roman"/>
          <w:i/>
          <w:iCs/>
          <w:sz w:val="24"/>
          <w:szCs w:val="24"/>
        </w:rPr>
        <w:t>yin</w:t>
      </w:r>
      <w:r w:rsidRPr="00CF3053">
        <w:rPr>
          <w:rFonts w:cs="Times New Roman"/>
          <w:sz w:val="24"/>
          <w:szCs w:val="24"/>
        </w:rPr>
        <w:t xml:space="preserve"> </w:t>
      </w:r>
      <w:r w:rsidRPr="00CF3053">
        <w:rPr>
          <w:rFonts w:eastAsia="MS Mincho" w:cs="Times New Roman"/>
          <w:sz w:val="24"/>
          <w:szCs w:val="24"/>
        </w:rPr>
        <w:t>淫</w:t>
      </w:r>
      <w:bookmarkEnd w:id="19"/>
      <w:r w:rsidRPr="00CF3053">
        <w:rPr>
          <w:rFonts w:cs="Times New Roman"/>
          <w:sz w:val="24"/>
          <w:szCs w:val="24"/>
        </w:rPr>
        <w:t xml:space="preserve">), laxity (i.e., </w:t>
      </w:r>
      <w:proofErr w:type="spellStart"/>
      <w:r w:rsidRPr="00CF3053">
        <w:rPr>
          <w:rFonts w:cs="Times New Roman"/>
          <w:i/>
          <w:iCs/>
          <w:sz w:val="24"/>
          <w:szCs w:val="24"/>
        </w:rPr>
        <w:t>yi</w:t>
      </w:r>
      <w:proofErr w:type="spellEnd"/>
      <w:r w:rsidRPr="00CF3053">
        <w:rPr>
          <w:rFonts w:cs="Times New Roman"/>
          <w:i/>
          <w:iCs/>
          <w:sz w:val="24"/>
          <w:szCs w:val="24"/>
        </w:rPr>
        <w:t xml:space="preserve"> </w:t>
      </w:r>
      <w:r w:rsidRPr="00CF3053">
        <w:rPr>
          <w:rFonts w:eastAsia="MS Gothic" w:cs="Times New Roman"/>
          <w:sz w:val="24"/>
          <w:szCs w:val="24"/>
        </w:rPr>
        <w:t>佚</w:t>
      </w:r>
      <w:r w:rsidRPr="00CF3053">
        <w:rPr>
          <w:rFonts w:cs="Times New Roman"/>
          <w:i/>
          <w:iCs/>
          <w:sz w:val="24"/>
          <w:szCs w:val="24"/>
        </w:rPr>
        <w:t xml:space="preserve">, </w:t>
      </w:r>
      <w:proofErr w:type="spellStart"/>
      <w:r w:rsidRPr="00CF3053">
        <w:rPr>
          <w:rFonts w:cs="Times New Roman"/>
          <w:i/>
          <w:iCs/>
          <w:sz w:val="24"/>
          <w:szCs w:val="24"/>
        </w:rPr>
        <w:t>dai</w:t>
      </w:r>
      <w:proofErr w:type="spellEnd"/>
      <w:r w:rsidRPr="00CF3053">
        <w:rPr>
          <w:rFonts w:cs="Times New Roman"/>
          <w:i/>
          <w:iCs/>
          <w:sz w:val="24"/>
          <w:szCs w:val="24"/>
        </w:rPr>
        <w:t xml:space="preserve"> </w:t>
      </w:r>
      <w:proofErr w:type="spellStart"/>
      <w:r w:rsidRPr="00CF3053">
        <w:rPr>
          <w:rFonts w:cs="Times New Roman"/>
          <w:i/>
          <w:iCs/>
          <w:sz w:val="24"/>
          <w:szCs w:val="24"/>
        </w:rPr>
        <w:t>man</w:t>
      </w:r>
      <w:r w:rsidRPr="00CF3053">
        <w:rPr>
          <w:rFonts w:eastAsia="MS Gothic" w:cs="Times New Roman"/>
          <w:sz w:val="24"/>
          <w:szCs w:val="24"/>
        </w:rPr>
        <w:t>怠慢</w:t>
      </w:r>
      <w:proofErr w:type="spellEnd"/>
      <w:r w:rsidRPr="00CF3053">
        <w:rPr>
          <w:rFonts w:cs="Times New Roman"/>
          <w:i/>
          <w:iCs/>
          <w:sz w:val="24"/>
          <w:szCs w:val="24"/>
        </w:rPr>
        <w:t xml:space="preserve">, </w:t>
      </w:r>
      <w:r w:rsidRPr="00CF3053">
        <w:rPr>
          <w:rFonts w:cs="Times New Roman"/>
          <w:sz w:val="24"/>
          <w:szCs w:val="24"/>
        </w:rPr>
        <w:t>and</w:t>
      </w:r>
      <w:r w:rsidRPr="00CF3053">
        <w:rPr>
          <w:rFonts w:cs="Times New Roman"/>
          <w:i/>
          <w:iCs/>
          <w:sz w:val="24"/>
          <w:szCs w:val="24"/>
        </w:rPr>
        <w:t xml:space="preserve"> </w:t>
      </w:r>
      <w:proofErr w:type="spellStart"/>
      <w:r w:rsidRPr="00CF3053">
        <w:rPr>
          <w:rFonts w:cs="Times New Roman"/>
          <w:i/>
          <w:iCs/>
          <w:sz w:val="24"/>
          <w:szCs w:val="24"/>
        </w:rPr>
        <w:t>huan</w:t>
      </w:r>
      <w:proofErr w:type="spellEnd"/>
      <w:r w:rsidRPr="00CF3053">
        <w:rPr>
          <w:rFonts w:cs="Times New Roman"/>
          <w:i/>
          <w:iCs/>
          <w:sz w:val="24"/>
          <w:szCs w:val="24"/>
        </w:rPr>
        <w:t xml:space="preserve"> </w:t>
      </w:r>
      <w:proofErr w:type="spellStart"/>
      <w:r w:rsidRPr="00CF3053">
        <w:rPr>
          <w:rFonts w:cs="Times New Roman"/>
          <w:i/>
          <w:iCs/>
          <w:sz w:val="24"/>
          <w:szCs w:val="24"/>
        </w:rPr>
        <w:t>dai</w:t>
      </w:r>
      <w:proofErr w:type="spellEnd"/>
      <w:r w:rsidRPr="00CF3053">
        <w:rPr>
          <w:rFonts w:cs="Times New Roman"/>
          <w:i/>
          <w:iCs/>
          <w:sz w:val="24"/>
          <w:szCs w:val="24"/>
        </w:rPr>
        <w:t xml:space="preserve"> </w:t>
      </w:r>
      <w:proofErr w:type="spellStart"/>
      <w:r w:rsidRPr="00CF3053">
        <w:rPr>
          <w:rFonts w:eastAsia="MS Gothic" w:cs="Times New Roman"/>
          <w:sz w:val="24"/>
          <w:szCs w:val="24"/>
        </w:rPr>
        <w:t>緩怠</w:t>
      </w:r>
      <w:proofErr w:type="spellEnd"/>
      <w:r w:rsidRPr="00CF3053">
        <w:rPr>
          <w:rFonts w:cs="Times New Roman"/>
          <w:sz w:val="24"/>
          <w:szCs w:val="24"/>
        </w:rPr>
        <w:t xml:space="preserve">), greed, and “adverse comparative judgment on others” (e.g. </w:t>
      </w:r>
      <w:proofErr w:type="spellStart"/>
      <w:r w:rsidRPr="00CF3053">
        <w:rPr>
          <w:rFonts w:cs="Times New Roman"/>
          <w:sz w:val="24"/>
          <w:szCs w:val="24"/>
        </w:rPr>
        <w:t>jiao</w:t>
      </w:r>
      <w:proofErr w:type="spellEnd"/>
      <w:r w:rsidRPr="00CF3053">
        <w:rPr>
          <w:rFonts w:cs="Times New Roman"/>
          <w:sz w:val="24"/>
          <w:szCs w:val="24"/>
        </w:rPr>
        <w:t xml:space="preserve"> ren </w:t>
      </w:r>
      <w:proofErr w:type="spellStart"/>
      <w:r w:rsidRPr="00CF3053">
        <w:rPr>
          <w:rFonts w:eastAsia="MS Gothic" w:cs="Times New Roman"/>
          <w:sz w:val="24"/>
          <w:szCs w:val="24"/>
        </w:rPr>
        <w:t>驕人</w:t>
      </w:r>
      <w:proofErr w:type="spellEnd"/>
      <w:r w:rsidRPr="00CF3053">
        <w:rPr>
          <w:rFonts w:cs="Times New Roman"/>
          <w:sz w:val="24"/>
          <w:szCs w:val="24"/>
        </w:rPr>
        <w:t>).</w:t>
      </w:r>
      <w:r w:rsidRPr="00CF3053">
        <w:rPr>
          <w:rStyle w:val="FootnoteReference"/>
          <w:rFonts w:cs="Times New Roman"/>
          <w:sz w:val="24"/>
          <w:szCs w:val="24"/>
        </w:rPr>
        <w:footnoteReference w:id="81"/>
      </w:r>
      <w:r w:rsidRPr="00CF3053">
        <w:rPr>
          <w:rFonts w:cs="Times New Roman"/>
          <w:sz w:val="24"/>
          <w:szCs w:val="24"/>
        </w:rPr>
        <w:t xml:space="preserve"> Pride can take the form of </w:t>
      </w:r>
      <w:bookmarkStart w:id="20" w:name="_Hlk68694935"/>
      <w:proofErr w:type="spellStart"/>
      <w:r w:rsidRPr="00CF3053">
        <w:rPr>
          <w:rFonts w:cs="Times New Roman"/>
          <w:i/>
          <w:iCs/>
          <w:sz w:val="24"/>
          <w:szCs w:val="24"/>
        </w:rPr>
        <w:t>ao</w:t>
      </w:r>
      <w:proofErr w:type="spellEnd"/>
      <w:r w:rsidRPr="00CF3053">
        <w:rPr>
          <w:rFonts w:cs="Times New Roman"/>
          <w:sz w:val="24"/>
          <w:szCs w:val="24"/>
        </w:rPr>
        <w:t xml:space="preserve"> </w:t>
      </w:r>
      <w:r w:rsidRPr="00CF3053">
        <w:rPr>
          <w:rFonts w:eastAsia="MS Mincho" w:cs="Times New Roman"/>
          <w:sz w:val="24"/>
          <w:szCs w:val="24"/>
        </w:rPr>
        <w:t>傲</w:t>
      </w:r>
      <w:bookmarkEnd w:id="20"/>
      <w:r w:rsidRPr="00CF3053">
        <w:rPr>
          <w:rFonts w:cs="Times New Roman"/>
          <w:sz w:val="24"/>
          <w:szCs w:val="24"/>
        </w:rPr>
        <w:t xml:space="preserve">, which is related to </w:t>
      </w:r>
      <w:proofErr w:type="spellStart"/>
      <w:r w:rsidRPr="00CF3053">
        <w:rPr>
          <w:rFonts w:cs="Times New Roman"/>
          <w:i/>
          <w:iCs/>
          <w:sz w:val="24"/>
          <w:szCs w:val="24"/>
        </w:rPr>
        <w:t>jiao</w:t>
      </w:r>
      <w:proofErr w:type="spellEnd"/>
      <w:r w:rsidRPr="00CF3053">
        <w:rPr>
          <w:rFonts w:cs="Times New Roman"/>
          <w:sz w:val="24"/>
          <w:szCs w:val="24"/>
        </w:rPr>
        <w:t xml:space="preserve"> but is more about aloofness and sense of superiority than about others.</w:t>
      </w:r>
      <w:r w:rsidRPr="00CF3053">
        <w:rPr>
          <w:rStyle w:val="FootnoteReference"/>
          <w:rFonts w:cs="Times New Roman"/>
          <w:sz w:val="24"/>
          <w:szCs w:val="24"/>
        </w:rPr>
        <w:footnoteReference w:id="82"/>
      </w:r>
      <w:r w:rsidRPr="00CF3053">
        <w:rPr>
          <w:rFonts w:cs="Times New Roman"/>
          <w:sz w:val="24"/>
          <w:szCs w:val="24"/>
        </w:rPr>
        <w:t xml:space="preserve"> Pride can take the form of </w:t>
      </w:r>
      <w:r w:rsidRPr="00CF3053">
        <w:rPr>
          <w:rFonts w:cs="Times New Roman"/>
          <w:i/>
          <w:iCs/>
          <w:sz w:val="24"/>
          <w:szCs w:val="24"/>
        </w:rPr>
        <w:t xml:space="preserve"> </w:t>
      </w:r>
      <w:bookmarkStart w:id="21" w:name="_Hlk68694943"/>
      <w:proofErr w:type="spellStart"/>
      <w:r w:rsidRPr="00CF3053">
        <w:rPr>
          <w:rFonts w:cs="Times New Roman"/>
          <w:i/>
          <w:iCs/>
          <w:sz w:val="24"/>
          <w:szCs w:val="24"/>
        </w:rPr>
        <w:t>kua</w:t>
      </w:r>
      <w:proofErr w:type="spellEnd"/>
      <w:r w:rsidRPr="00CF3053">
        <w:rPr>
          <w:rFonts w:cs="Times New Roman"/>
          <w:i/>
          <w:iCs/>
          <w:sz w:val="24"/>
          <w:szCs w:val="24"/>
        </w:rPr>
        <w:t xml:space="preserve"> </w:t>
      </w:r>
      <w:r w:rsidRPr="00CF3053">
        <w:rPr>
          <w:rFonts w:eastAsia="MS Mincho" w:cs="Times New Roman"/>
          <w:sz w:val="24"/>
          <w:szCs w:val="24"/>
        </w:rPr>
        <w:t>夸</w:t>
      </w:r>
      <w:r w:rsidRPr="00CF3053">
        <w:rPr>
          <w:rFonts w:cs="Times New Roman"/>
          <w:sz w:val="24"/>
          <w:szCs w:val="24"/>
        </w:rPr>
        <w:t xml:space="preserve">(and its variant </w:t>
      </w:r>
      <w:proofErr w:type="spellStart"/>
      <w:r w:rsidRPr="00CF3053">
        <w:rPr>
          <w:rFonts w:cs="Times New Roman"/>
          <w:i/>
          <w:iCs/>
          <w:sz w:val="24"/>
          <w:szCs w:val="24"/>
        </w:rPr>
        <w:t>kua</w:t>
      </w:r>
      <w:proofErr w:type="spellEnd"/>
      <w:r w:rsidRPr="00CF3053">
        <w:rPr>
          <w:rFonts w:cs="Times New Roman"/>
          <w:i/>
          <w:iCs/>
          <w:sz w:val="24"/>
          <w:szCs w:val="24"/>
        </w:rPr>
        <w:t xml:space="preserve"> </w:t>
      </w:r>
      <w:r w:rsidRPr="00CF3053">
        <w:rPr>
          <w:rFonts w:eastAsia="MS Mincho" w:cs="Times New Roman"/>
          <w:sz w:val="24"/>
          <w:szCs w:val="24"/>
        </w:rPr>
        <w:t>侉</w:t>
      </w:r>
      <w:r w:rsidRPr="00CF3053">
        <w:rPr>
          <w:rFonts w:cs="Times New Roman"/>
          <w:sz w:val="24"/>
          <w:szCs w:val="24"/>
        </w:rPr>
        <w:t>),</w:t>
      </w:r>
      <w:r w:rsidRPr="00CF3053">
        <w:rPr>
          <w:rFonts w:cs="Times New Roman"/>
          <w:i/>
          <w:iCs/>
          <w:sz w:val="24"/>
          <w:szCs w:val="24"/>
        </w:rPr>
        <w:t xml:space="preserve"> fa</w:t>
      </w:r>
      <w:r w:rsidRPr="00CF3053">
        <w:rPr>
          <w:rFonts w:cs="Times New Roman"/>
          <w:sz w:val="24"/>
          <w:szCs w:val="24"/>
        </w:rPr>
        <w:t xml:space="preserve"> </w:t>
      </w:r>
      <w:r w:rsidRPr="00CF3053">
        <w:rPr>
          <w:rFonts w:eastAsia="MS Mincho" w:cs="Times New Roman"/>
          <w:sz w:val="24"/>
          <w:szCs w:val="24"/>
        </w:rPr>
        <w:t>伐</w:t>
      </w:r>
      <w:r w:rsidRPr="00CF3053">
        <w:rPr>
          <w:rFonts w:cs="Times New Roman"/>
          <w:i/>
          <w:iCs/>
          <w:sz w:val="24"/>
          <w:szCs w:val="24"/>
        </w:rPr>
        <w:t xml:space="preserve"> </w:t>
      </w:r>
      <w:r w:rsidRPr="00CF3053">
        <w:rPr>
          <w:rFonts w:cs="Times New Roman"/>
          <w:sz w:val="24"/>
          <w:szCs w:val="24"/>
        </w:rPr>
        <w:t>and</w:t>
      </w:r>
      <w:r w:rsidRPr="00CF3053">
        <w:rPr>
          <w:rFonts w:cs="Times New Roman"/>
          <w:i/>
          <w:iCs/>
          <w:sz w:val="24"/>
          <w:szCs w:val="24"/>
        </w:rPr>
        <w:t xml:space="preserve"> </w:t>
      </w:r>
      <w:proofErr w:type="spellStart"/>
      <w:r w:rsidRPr="00CF3053">
        <w:rPr>
          <w:rFonts w:cs="Times New Roman"/>
          <w:i/>
          <w:iCs/>
          <w:sz w:val="24"/>
          <w:szCs w:val="24"/>
        </w:rPr>
        <w:t>jin</w:t>
      </w:r>
      <w:proofErr w:type="spellEnd"/>
      <w:r w:rsidRPr="00CF3053">
        <w:rPr>
          <w:rFonts w:cs="Times New Roman"/>
          <w:sz w:val="24"/>
          <w:szCs w:val="24"/>
        </w:rPr>
        <w:t xml:space="preserve"> </w:t>
      </w:r>
      <w:r w:rsidRPr="00CF3053">
        <w:rPr>
          <w:rFonts w:eastAsia="MS Mincho" w:cs="Times New Roman"/>
          <w:sz w:val="24"/>
          <w:szCs w:val="24"/>
        </w:rPr>
        <w:t>衿</w:t>
      </w:r>
      <w:bookmarkEnd w:id="21"/>
      <w:r w:rsidRPr="00CF3053">
        <w:rPr>
          <w:rFonts w:cs="Times New Roman"/>
          <w:sz w:val="24"/>
          <w:szCs w:val="24"/>
        </w:rPr>
        <w:t xml:space="preserve">, which concern self-presentation and drawing attention to one’s accomplishments </w:t>
      </w:r>
      <w:r w:rsidRPr="00CF3053">
        <w:rPr>
          <w:rFonts w:cs="Times New Roman"/>
          <w:sz w:val="24"/>
          <w:szCs w:val="24"/>
        </w:rPr>
        <w:lastRenderedPageBreak/>
        <w:t>and contributions so as to “‘buy’ a reputation and establish a name for oneself.”</w:t>
      </w:r>
      <w:r w:rsidRPr="00CF3053">
        <w:rPr>
          <w:rStyle w:val="FootnoteReference"/>
          <w:rFonts w:cs="Times New Roman"/>
          <w:sz w:val="24"/>
          <w:szCs w:val="24"/>
        </w:rPr>
        <w:footnoteReference w:id="83"/>
      </w:r>
      <w:r w:rsidRPr="00CF3053">
        <w:rPr>
          <w:rFonts w:cs="Times New Roman"/>
          <w:sz w:val="24"/>
          <w:szCs w:val="24"/>
        </w:rPr>
        <w:t xml:space="preserve"> These three terms suggest a self-conception that deserves the high opinion of others, and lead to another set of problems, including the adverse desire to win, an insistence on being right, refusing to admit errors, and so on.</w:t>
      </w:r>
      <w:r w:rsidRPr="00CF3053">
        <w:rPr>
          <w:rStyle w:val="FootnoteReference"/>
          <w:rFonts w:cs="Times New Roman"/>
          <w:sz w:val="24"/>
          <w:szCs w:val="24"/>
        </w:rPr>
        <w:footnoteReference w:id="84"/>
      </w:r>
    </w:p>
    <w:p w14:paraId="1058A64A" w14:textId="38B23976" w:rsidR="00CF3053" w:rsidRPr="00CF3053" w:rsidRDefault="00CF3053" w:rsidP="00CF3053">
      <w:pPr>
        <w:spacing w:line="480" w:lineRule="auto"/>
        <w:ind w:firstLine="720"/>
        <w:rPr>
          <w:rFonts w:cs="Times New Roman"/>
          <w:sz w:val="24"/>
          <w:szCs w:val="24"/>
        </w:rPr>
      </w:pPr>
      <w:r w:rsidRPr="00CF3053">
        <w:rPr>
          <w:rFonts w:cs="Times New Roman"/>
          <w:sz w:val="24"/>
          <w:szCs w:val="24"/>
        </w:rPr>
        <w:t>Humility is opposed to pride in all its variations and has three dimensions, which are first, a deflated self-conception; second, caution and fearfulness; and third, seriousness and awe.</w:t>
      </w:r>
      <w:r w:rsidRPr="00CF3053">
        <w:rPr>
          <w:rStyle w:val="FootnoteReference"/>
          <w:rFonts w:cs="Times New Roman"/>
          <w:sz w:val="24"/>
          <w:szCs w:val="24"/>
        </w:rPr>
        <w:footnoteReference w:id="85"/>
      </w:r>
      <w:r w:rsidRPr="00CF3053">
        <w:rPr>
          <w:rFonts w:cs="Times New Roman"/>
          <w:sz w:val="24"/>
          <w:szCs w:val="24"/>
        </w:rPr>
        <w:t xml:space="preserve"> The deflated sense of self is expressed through </w:t>
      </w:r>
      <w:bookmarkStart w:id="22" w:name="_Hlk68694969"/>
      <w:proofErr w:type="spellStart"/>
      <w:r w:rsidRPr="00CF3053">
        <w:rPr>
          <w:rFonts w:cs="Times New Roman"/>
          <w:i/>
          <w:iCs/>
          <w:sz w:val="24"/>
          <w:szCs w:val="24"/>
        </w:rPr>
        <w:t>qian</w:t>
      </w:r>
      <w:proofErr w:type="spellEnd"/>
      <w:r w:rsidRPr="00CF3053">
        <w:rPr>
          <w:rFonts w:cs="Times New Roman"/>
          <w:sz w:val="24"/>
          <w:szCs w:val="24"/>
        </w:rPr>
        <w:t xml:space="preserve"> </w:t>
      </w:r>
      <w:r w:rsidRPr="00CF3053">
        <w:rPr>
          <w:rFonts w:eastAsia="MS Mincho" w:cs="Times New Roman"/>
          <w:sz w:val="24"/>
          <w:szCs w:val="24"/>
        </w:rPr>
        <w:t>謙</w:t>
      </w:r>
      <w:r w:rsidRPr="00CF3053">
        <w:rPr>
          <w:rFonts w:cs="Times New Roman"/>
          <w:sz w:val="24"/>
          <w:szCs w:val="24"/>
        </w:rPr>
        <w:t xml:space="preserve">, </w:t>
      </w:r>
      <w:proofErr w:type="spellStart"/>
      <w:r w:rsidRPr="00CF3053">
        <w:rPr>
          <w:rFonts w:cs="Times New Roman"/>
          <w:i/>
          <w:iCs/>
          <w:sz w:val="24"/>
          <w:szCs w:val="24"/>
        </w:rPr>
        <w:t>bei</w:t>
      </w:r>
      <w:proofErr w:type="spellEnd"/>
      <w:r w:rsidRPr="00CF3053">
        <w:rPr>
          <w:rFonts w:cs="Times New Roman"/>
          <w:sz w:val="24"/>
          <w:szCs w:val="24"/>
        </w:rPr>
        <w:t xml:space="preserve"> </w:t>
      </w:r>
      <w:r w:rsidRPr="00CF3053">
        <w:rPr>
          <w:rFonts w:eastAsia="MS Mincho" w:cs="Times New Roman"/>
          <w:sz w:val="24"/>
          <w:szCs w:val="24"/>
        </w:rPr>
        <w:t>卑</w:t>
      </w:r>
      <w:r w:rsidRPr="00CF3053">
        <w:rPr>
          <w:rFonts w:cs="Times New Roman"/>
          <w:sz w:val="24"/>
          <w:szCs w:val="24"/>
        </w:rPr>
        <w:t xml:space="preserve"> and </w:t>
      </w:r>
      <w:r w:rsidRPr="00CF3053">
        <w:rPr>
          <w:rFonts w:cs="Times New Roman"/>
          <w:i/>
          <w:iCs/>
          <w:sz w:val="24"/>
          <w:szCs w:val="24"/>
        </w:rPr>
        <w:t>rang</w:t>
      </w:r>
      <w:r w:rsidRPr="00CF3053">
        <w:rPr>
          <w:rFonts w:cs="Times New Roman"/>
          <w:sz w:val="24"/>
          <w:szCs w:val="24"/>
        </w:rPr>
        <w:t xml:space="preserve"> </w:t>
      </w:r>
      <w:r w:rsidRPr="00CF3053">
        <w:rPr>
          <w:rFonts w:eastAsia="MS Mincho" w:cs="Times New Roman"/>
          <w:sz w:val="24"/>
          <w:szCs w:val="24"/>
        </w:rPr>
        <w:t>讓</w:t>
      </w:r>
      <w:bookmarkEnd w:id="22"/>
      <w:r w:rsidRPr="00CF3053">
        <w:rPr>
          <w:rFonts w:cs="Times New Roman"/>
          <w:sz w:val="24"/>
          <w:szCs w:val="24"/>
        </w:rPr>
        <w:t>. They are about not making a display of success, restraining oneself and yielding to others.</w:t>
      </w:r>
      <w:r w:rsidRPr="00CF3053">
        <w:rPr>
          <w:rStyle w:val="FootnoteReference"/>
          <w:rFonts w:cs="Times New Roman"/>
          <w:sz w:val="24"/>
          <w:szCs w:val="24"/>
        </w:rPr>
        <w:footnoteReference w:id="86"/>
      </w:r>
      <w:r w:rsidRPr="00CF3053">
        <w:rPr>
          <w:rFonts w:cs="Times New Roman"/>
          <w:sz w:val="24"/>
          <w:szCs w:val="24"/>
        </w:rPr>
        <w:t xml:space="preserve"> Being cautious and fearful is expressed through </w:t>
      </w:r>
      <w:bookmarkStart w:id="23" w:name="_Hlk68694976"/>
      <w:proofErr w:type="spellStart"/>
      <w:r w:rsidRPr="00CF3053">
        <w:rPr>
          <w:rFonts w:cs="Times New Roman"/>
          <w:i/>
          <w:iCs/>
          <w:sz w:val="24"/>
          <w:szCs w:val="24"/>
        </w:rPr>
        <w:t>shen</w:t>
      </w:r>
      <w:proofErr w:type="spellEnd"/>
      <w:r w:rsidRPr="00CF3053">
        <w:rPr>
          <w:rFonts w:cs="Times New Roman"/>
          <w:sz w:val="24"/>
          <w:szCs w:val="24"/>
        </w:rPr>
        <w:t xml:space="preserve"> </w:t>
      </w:r>
      <w:r w:rsidRPr="00CF3053">
        <w:rPr>
          <w:rFonts w:eastAsia="MS Mincho" w:cs="Times New Roman"/>
          <w:sz w:val="24"/>
          <w:szCs w:val="24"/>
        </w:rPr>
        <w:t>慎</w:t>
      </w:r>
      <w:r w:rsidRPr="00CF3053">
        <w:rPr>
          <w:rFonts w:cs="Times New Roman"/>
          <w:sz w:val="24"/>
          <w:szCs w:val="24"/>
        </w:rPr>
        <w:t xml:space="preserve">, </w:t>
      </w:r>
      <w:proofErr w:type="spellStart"/>
      <w:r w:rsidRPr="00CF3053">
        <w:rPr>
          <w:rFonts w:cs="Times New Roman"/>
          <w:i/>
          <w:iCs/>
          <w:sz w:val="24"/>
          <w:szCs w:val="24"/>
        </w:rPr>
        <w:t>ju</w:t>
      </w:r>
      <w:proofErr w:type="spellEnd"/>
      <w:r w:rsidRPr="00CF3053">
        <w:rPr>
          <w:rFonts w:cs="Times New Roman"/>
          <w:sz w:val="24"/>
          <w:szCs w:val="24"/>
        </w:rPr>
        <w:t xml:space="preserve"> </w:t>
      </w:r>
      <w:r w:rsidRPr="00CF3053">
        <w:rPr>
          <w:rFonts w:eastAsia="MS Mincho" w:cs="Times New Roman"/>
          <w:sz w:val="24"/>
          <w:szCs w:val="24"/>
        </w:rPr>
        <w:t>懼</w:t>
      </w:r>
      <w:r w:rsidRPr="00CF3053">
        <w:rPr>
          <w:rFonts w:cs="Times New Roman"/>
          <w:sz w:val="24"/>
          <w:szCs w:val="24"/>
        </w:rPr>
        <w:t xml:space="preserve">, </w:t>
      </w:r>
      <w:proofErr w:type="spellStart"/>
      <w:r w:rsidRPr="00CF3053">
        <w:rPr>
          <w:rFonts w:cs="Times New Roman"/>
          <w:i/>
          <w:iCs/>
          <w:sz w:val="24"/>
          <w:szCs w:val="24"/>
        </w:rPr>
        <w:t>kong</w:t>
      </w:r>
      <w:proofErr w:type="spellEnd"/>
      <w:r w:rsidRPr="00CF3053">
        <w:rPr>
          <w:rFonts w:cs="Times New Roman"/>
          <w:sz w:val="24"/>
          <w:szCs w:val="24"/>
        </w:rPr>
        <w:t xml:space="preserve"> </w:t>
      </w:r>
      <w:r w:rsidRPr="00CF3053">
        <w:rPr>
          <w:rFonts w:eastAsia="MS Mincho" w:cs="Times New Roman"/>
          <w:sz w:val="24"/>
          <w:szCs w:val="24"/>
        </w:rPr>
        <w:t>恐</w:t>
      </w:r>
      <w:r w:rsidRPr="00CF3053">
        <w:rPr>
          <w:rFonts w:cs="Times New Roman"/>
          <w:sz w:val="24"/>
          <w:szCs w:val="24"/>
        </w:rPr>
        <w:t xml:space="preserve">, and </w:t>
      </w:r>
      <w:proofErr w:type="spellStart"/>
      <w:r w:rsidRPr="00CF3053">
        <w:rPr>
          <w:rFonts w:cs="Times New Roman"/>
          <w:i/>
          <w:iCs/>
          <w:sz w:val="24"/>
          <w:szCs w:val="24"/>
        </w:rPr>
        <w:t>jie</w:t>
      </w:r>
      <w:proofErr w:type="spellEnd"/>
      <w:r w:rsidRPr="00CF3053">
        <w:rPr>
          <w:rFonts w:cs="Times New Roman"/>
          <w:sz w:val="24"/>
          <w:szCs w:val="24"/>
        </w:rPr>
        <w:t xml:space="preserve"> </w:t>
      </w:r>
      <w:r w:rsidRPr="00CF3053">
        <w:rPr>
          <w:rFonts w:eastAsia="MS Mincho" w:cs="Times New Roman"/>
          <w:sz w:val="24"/>
          <w:szCs w:val="24"/>
        </w:rPr>
        <w:t>戒</w:t>
      </w:r>
      <w:bookmarkEnd w:id="23"/>
      <w:r w:rsidRPr="00CF3053">
        <w:rPr>
          <w:rFonts w:cs="Times New Roman"/>
          <w:sz w:val="24"/>
          <w:szCs w:val="24"/>
        </w:rPr>
        <w:t xml:space="preserve">. This theme emphasizes taking an overall preemptive, vigilant stance so that one might avoid the problems caused by pride and laxity regardless of whether the problems are imminent or potential, threatening or minute. Lastly, </w:t>
      </w:r>
      <w:bookmarkStart w:id="24" w:name="_Hlk68695075"/>
      <w:r w:rsidRPr="00CF3053">
        <w:rPr>
          <w:rFonts w:cs="Times New Roman"/>
          <w:sz w:val="24"/>
          <w:szCs w:val="24"/>
        </w:rPr>
        <w:t xml:space="preserve">seriousness and awe </w:t>
      </w:r>
      <w:bookmarkEnd w:id="24"/>
      <w:r w:rsidRPr="00CF3053">
        <w:rPr>
          <w:rFonts w:cs="Times New Roman"/>
          <w:sz w:val="24"/>
          <w:szCs w:val="24"/>
        </w:rPr>
        <w:t xml:space="preserve">are expressed through </w:t>
      </w:r>
      <w:bookmarkStart w:id="25" w:name="_Hlk68694984"/>
      <w:r w:rsidRPr="00CF3053">
        <w:rPr>
          <w:rFonts w:cs="Times New Roman"/>
          <w:i/>
          <w:iCs/>
          <w:sz w:val="24"/>
          <w:szCs w:val="24"/>
        </w:rPr>
        <w:t>gong</w:t>
      </w:r>
      <w:r w:rsidRPr="00CF3053">
        <w:rPr>
          <w:rFonts w:cs="Times New Roman"/>
          <w:sz w:val="24"/>
          <w:szCs w:val="24"/>
        </w:rPr>
        <w:t xml:space="preserve"> </w:t>
      </w:r>
      <w:r w:rsidRPr="00CF3053">
        <w:rPr>
          <w:rFonts w:eastAsia="MS Mincho" w:cs="Times New Roman"/>
          <w:sz w:val="24"/>
          <w:szCs w:val="24"/>
        </w:rPr>
        <w:t>恭</w:t>
      </w:r>
      <w:r w:rsidRPr="00CF3053">
        <w:rPr>
          <w:rFonts w:cs="Times New Roman"/>
          <w:sz w:val="24"/>
          <w:szCs w:val="24"/>
        </w:rPr>
        <w:t xml:space="preserve">, </w:t>
      </w:r>
      <w:proofErr w:type="spellStart"/>
      <w:r w:rsidRPr="00CF3053">
        <w:rPr>
          <w:rFonts w:cs="Times New Roman"/>
          <w:i/>
          <w:iCs/>
          <w:sz w:val="24"/>
          <w:szCs w:val="24"/>
        </w:rPr>
        <w:t>zhuang</w:t>
      </w:r>
      <w:proofErr w:type="spellEnd"/>
      <w:r w:rsidRPr="00CF3053">
        <w:rPr>
          <w:rFonts w:cs="Times New Roman"/>
          <w:sz w:val="24"/>
          <w:szCs w:val="24"/>
        </w:rPr>
        <w:t xml:space="preserve"> </w:t>
      </w:r>
      <w:r w:rsidRPr="00CF3053">
        <w:rPr>
          <w:rFonts w:eastAsia="MS Mincho" w:cs="Times New Roman"/>
          <w:sz w:val="24"/>
          <w:szCs w:val="24"/>
        </w:rPr>
        <w:t>莊</w:t>
      </w:r>
      <w:r w:rsidRPr="00CF3053">
        <w:rPr>
          <w:rFonts w:cs="Times New Roman"/>
          <w:sz w:val="24"/>
          <w:szCs w:val="24"/>
        </w:rPr>
        <w:t xml:space="preserve">, and </w:t>
      </w:r>
      <w:proofErr w:type="spellStart"/>
      <w:r w:rsidRPr="00CF3053">
        <w:rPr>
          <w:rFonts w:cs="Times New Roman"/>
          <w:i/>
          <w:iCs/>
          <w:sz w:val="24"/>
          <w:szCs w:val="24"/>
        </w:rPr>
        <w:t>wei</w:t>
      </w:r>
      <w:proofErr w:type="spellEnd"/>
      <w:r w:rsidRPr="00CF3053">
        <w:rPr>
          <w:rFonts w:cs="Times New Roman"/>
          <w:sz w:val="24"/>
          <w:szCs w:val="24"/>
        </w:rPr>
        <w:t xml:space="preserve"> </w:t>
      </w:r>
      <w:r w:rsidRPr="00CF3053">
        <w:rPr>
          <w:rFonts w:eastAsia="MS Mincho" w:cs="Times New Roman"/>
          <w:sz w:val="24"/>
          <w:szCs w:val="24"/>
        </w:rPr>
        <w:t>畏</w:t>
      </w:r>
      <w:bookmarkEnd w:id="25"/>
      <w:r w:rsidRPr="00CF3053">
        <w:rPr>
          <w:rFonts w:cs="Times New Roman"/>
          <w:sz w:val="24"/>
          <w:szCs w:val="24"/>
        </w:rPr>
        <w:t xml:space="preserve">. While </w:t>
      </w:r>
      <w:r w:rsidRPr="00CF3053">
        <w:rPr>
          <w:rFonts w:cs="Times New Roman"/>
          <w:i/>
          <w:iCs/>
          <w:sz w:val="24"/>
          <w:szCs w:val="24"/>
        </w:rPr>
        <w:t>gong</w:t>
      </w:r>
      <w:r w:rsidRPr="00CF3053">
        <w:rPr>
          <w:rFonts w:cs="Times New Roman"/>
          <w:sz w:val="24"/>
          <w:szCs w:val="24"/>
        </w:rPr>
        <w:t xml:space="preserve"> and </w:t>
      </w:r>
      <w:proofErr w:type="spellStart"/>
      <w:r w:rsidRPr="00CF3053">
        <w:rPr>
          <w:rFonts w:cs="Times New Roman"/>
          <w:i/>
          <w:iCs/>
          <w:sz w:val="24"/>
          <w:szCs w:val="24"/>
        </w:rPr>
        <w:t>zhuang</w:t>
      </w:r>
      <w:proofErr w:type="spellEnd"/>
      <w:r w:rsidRPr="00CF3053">
        <w:rPr>
          <w:rFonts w:cs="Times New Roman"/>
          <w:i/>
          <w:iCs/>
          <w:sz w:val="24"/>
          <w:szCs w:val="24"/>
        </w:rPr>
        <w:t xml:space="preserve"> </w:t>
      </w:r>
      <w:r w:rsidRPr="00CF3053">
        <w:rPr>
          <w:rFonts w:cs="Times New Roman"/>
          <w:sz w:val="24"/>
          <w:szCs w:val="24"/>
        </w:rPr>
        <w:t xml:space="preserve">indicate seriousness in both inner attitude and outer demeanor, </w:t>
      </w:r>
      <w:proofErr w:type="spellStart"/>
      <w:r w:rsidRPr="00CF3053">
        <w:rPr>
          <w:rFonts w:cs="Times New Roman"/>
          <w:i/>
          <w:iCs/>
          <w:sz w:val="24"/>
          <w:szCs w:val="24"/>
        </w:rPr>
        <w:t>wei</w:t>
      </w:r>
      <w:proofErr w:type="spellEnd"/>
      <w:r w:rsidRPr="00CF3053">
        <w:rPr>
          <w:rFonts w:cs="Times New Roman"/>
          <w:sz w:val="24"/>
          <w:szCs w:val="24"/>
        </w:rPr>
        <w:t xml:space="preserve"> involves a sense of submission towards the objects that inspire </w:t>
      </w:r>
      <w:proofErr w:type="spellStart"/>
      <w:r w:rsidRPr="00CF3053">
        <w:rPr>
          <w:rFonts w:cs="Times New Roman"/>
          <w:i/>
          <w:iCs/>
          <w:sz w:val="24"/>
          <w:szCs w:val="24"/>
        </w:rPr>
        <w:t>wei</w:t>
      </w:r>
      <w:proofErr w:type="spellEnd"/>
      <w:r w:rsidRPr="00CF3053">
        <w:rPr>
          <w:rFonts w:cs="Times New Roman"/>
          <w:sz w:val="24"/>
          <w:szCs w:val="24"/>
        </w:rPr>
        <w:t xml:space="preserve">, such as </w:t>
      </w:r>
      <w:r w:rsidRPr="00CF3053">
        <w:rPr>
          <w:rFonts w:cs="Times New Roman"/>
          <w:i/>
          <w:iCs/>
          <w:sz w:val="24"/>
          <w:szCs w:val="24"/>
        </w:rPr>
        <w:t>Tian</w:t>
      </w:r>
      <w:r w:rsidRPr="00CF3053">
        <w:rPr>
          <w:rFonts w:cs="Times New Roman"/>
          <w:sz w:val="24"/>
          <w:szCs w:val="24"/>
        </w:rPr>
        <w:t xml:space="preserve"> </w:t>
      </w:r>
      <w:proofErr w:type="spellStart"/>
      <w:r w:rsidRPr="00CF3053">
        <w:rPr>
          <w:rFonts w:eastAsia="MS Gothic" w:cs="Times New Roman"/>
          <w:sz w:val="24"/>
          <w:szCs w:val="24"/>
        </w:rPr>
        <w:t>天</w:t>
      </w:r>
      <w:r w:rsidRPr="00CF3053">
        <w:rPr>
          <w:rFonts w:cs="Times New Roman"/>
          <w:sz w:val="24"/>
          <w:szCs w:val="24"/>
        </w:rPr>
        <w:t>and</w:t>
      </w:r>
      <w:proofErr w:type="spellEnd"/>
      <w:r w:rsidRPr="00CF3053">
        <w:rPr>
          <w:rFonts w:cs="Times New Roman"/>
          <w:sz w:val="24"/>
          <w:szCs w:val="24"/>
        </w:rPr>
        <w:t xml:space="preserve"> superior persons</w:t>
      </w:r>
      <w:r w:rsidR="00D854E6">
        <w:rPr>
          <w:rFonts w:cs="Times New Roman"/>
          <w:sz w:val="24"/>
          <w:szCs w:val="24"/>
        </w:rPr>
        <w:t xml:space="preserve">. </w:t>
      </w:r>
      <w:r w:rsidRPr="00CF3053">
        <w:rPr>
          <w:rFonts w:cs="Times New Roman"/>
          <w:sz w:val="24"/>
          <w:szCs w:val="24"/>
        </w:rPr>
        <w:t xml:space="preserve">Shun argues that all three aspects of humility are encompassed in </w:t>
      </w:r>
      <w:proofErr w:type="spellStart"/>
      <w:r w:rsidRPr="00CF3053">
        <w:rPr>
          <w:rFonts w:cs="Times New Roman"/>
          <w:i/>
          <w:iCs/>
          <w:sz w:val="24"/>
          <w:szCs w:val="24"/>
        </w:rPr>
        <w:t>jing</w:t>
      </w:r>
      <w:proofErr w:type="spellEnd"/>
      <w:r w:rsidRPr="00CF3053">
        <w:rPr>
          <w:rFonts w:cs="Times New Roman"/>
          <w:sz w:val="24"/>
          <w:szCs w:val="24"/>
        </w:rPr>
        <w:t xml:space="preserve"> </w:t>
      </w:r>
      <w:r w:rsidRPr="00CF3053">
        <w:rPr>
          <w:rFonts w:eastAsia="MS Gothic" w:cs="Times New Roman"/>
          <w:sz w:val="24"/>
          <w:szCs w:val="24"/>
        </w:rPr>
        <w:t>敬</w:t>
      </w:r>
      <w:r w:rsidRPr="00CF3053">
        <w:rPr>
          <w:rFonts w:cs="Times New Roman"/>
          <w:sz w:val="24"/>
          <w:szCs w:val="24"/>
        </w:rPr>
        <w:t xml:space="preserve">, which is </w:t>
      </w:r>
    </w:p>
    <w:p w14:paraId="33F027A5" w14:textId="77777777" w:rsidR="00CF3053" w:rsidRPr="00CF3053" w:rsidRDefault="00CF3053" w:rsidP="00CF3053">
      <w:pPr>
        <w:spacing w:line="480" w:lineRule="auto"/>
        <w:ind w:left="720"/>
        <w:rPr>
          <w:rFonts w:cs="Times New Roman"/>
          <w:sz w:val="24"/>
          <w:szCs w:val="24"/>
        </w:rPr>
      </w:pPr>
      <w:bookmarkStart w:id="26" w:name="_Hlk68695149"/>
      <w:r w:rsidRPr="00CF3053">
        <w:rPr>
          <w:rFonts w:cs="Times New Roman"/>
          <w:sz w:val="24"/>
          <w:szCs w:val="24"/>
        </w:rPr>
        <w:t xml:space="preserve">a posture towards one’s life as such, a posture that involves one’s seeing one’s life as part of a larger ethical whole – one works with a deflated self-conception in all areas of life, exercises ethical caution and fearfulness in the way one conducts oneself, taking seriously this approach to life and at the same time being uplifted by the sense of participation in the Way. This posture of humility, encompassing all its three dimensions </w:t>
      </w:r>
      <w:r w:rsidRPr="00CF3053">
        <w:rPr>
          <w:rFonts w:cs="Times New Roman"/>
          <w:sz w:val="24"/>
          <w:szCs w:val="24"/>
        </w:rPr>
        <w:lastRenderedPageBreak/>
        <w:t xml:space="preserve">and not </w:t>
      </w:r>
      <w:proofErr w:type="spellStart"/>
      <w:r w:rsidRPr="00CF3053">
        <w:rPr>
          <w:rFonts w:cs="Times New Roman"/>
          <w:sz w:val="24"/>
          <w:szCs w:val="24"/>
        </w:rPr>
        <w:t>tired</w:t>
      </w:r>
      <w:proofErr w:type="spellEnd"/>
      <w:r w:rsidRPr="00CF3053">
        <w:rPr>
          <w:rFonts w:cs="Times New Roman"/>
          <w:sz w:val="24"/>
          <w:szCs w:val="24"/>
        </w:rPr>
        <w:t xml:space="preserve"> to any specific activity or area of life, is the overall posture that constitutes </w:t>
      </w:r>
      <w:proofErr w:type="spellStart"/>
      <w:r w:rsidRPr="00CF3053">
        <w:rPr>
          <w:rFonts w:cs="Times New Roman"/>
          <w:i/>
          <w:iCs/>
          <w:sz w:val="24"/>
          <w:szCs w:val="24"/>
        </w:rPr>
        <w:t>jing</w:t>
      </w:r>
      <w:proofErr w:type="spellEnd"/>
      <w:r w:rsidRPr="00CF3053">
        <w:rPr>
          <w:rFonts w:cs="Times New Roman"/>
          <w:sz w:val="24"/>
          <w:szCs w:val="24"/>
        </w:rPr>
        <w:t xml:space="preserve"> as a quality of the superior person</w:t>
      </w:r>
      <w:bookmarkEnd w:id="26"/>
      <w:r w:rsidRPr="00CF3053">
        <w:rPr>
          <w:rFonts w:cs="Times New Roman"/>
          <w:sz w:val="24"/>
          <w:szCs w:val="24"/>
        </w:rPr>
        <w:t>.</w:t>
      </w:r>
      <w:r w:rsidRPr="00CF3053">
        <w:rPr>
          <w:rStyle w:val="FootnoteReference"/>
          <w:rFonts w:cs="Times New Roman"/>
          <w:sz w:val="24"/>
          <w:szCs w:val="24"/>
        </w:rPr>
        <w:footnoteReference w:id="87"/>
      </w:r>
      <w:r w:rsidRPr="00CF3053">
        <w:rPr>
          <w:rFonts w:cs="Times New Roman"/>
          <w:sz w:val="24"/>
          <w:szCs w:val="24"/>
        </w:rPr>
        <w:t xml:space="preserve"> </w:t>
      </w:r>
    </w:p>
    <w:p w14:paraId="1F2DB8B7" w14:textId="77777777" w:rsidR="00CF3053" w:rsidRPr="00CF3053" w:rsidRDefault="00CF3053" w:rsidP="00CF3053">
      <w:pPr>
        <w:spacing w:line="480" w:lineRule="auto"/>
        <w:rPr>
          <w:rFonts w:cs="Times New Roman"/>
          <w:sz w:val="24"/>
          <w:szCs w:val="24"/>
        </w:rPr>
      </w:pPr>
      <w:r w:rsidRPr="00CF3053">
        <w:rPr>
          <w:rFonts w:cs="Times New Roman"/>
          <w:sz w:val="24"/>
          <w:szCs w:val="24"/>
        </w:rPr>
        <w:tab/>
        <w:t xml:space="preserve">A great deal can be said about </w:t>
      </w:r>
      <w:proofErr w:type="spellStart"/>
      <w:r w:rsidRPr="00CF3053">
        <w:rPr>
          <w:rFonts w:cs="Times New Roman"/>
          <w:sz w:val="24"/>
          <w:szCs w:val="24"/>
        </w:rPr>
        <w:t>Shun’s</w:t>
      </w:r>
      <w:proofErr w:type="spellEnd"/>
      <w:r w:rsidRPr="00CF3053">
        <w:rPr>
          <w:rFonts w:cs="Times New Roman"/>
          <w:sz w:val="24"/>
          <w:szCs w:val="24"/>
        </w:rPr>
        <w:t xml:space="preserve"> ever-inspiring paper in terms of methodology and content. I offer the following short comments to highlight its uniqueness. Then, I conclude this section by expressing what this paper can contribute </w:t>
      </w:r>
      <w:proofErr w:type="gramStart"/>
      <w:r w:rsidRPr="00CF3053">
        <w:rPr>
          <w:rFonts w:cs="Times New Roman"/>
          <w:sz w:val="24"/>
          <w:szCs w:val="24"/>
        </w:rPr>
        <w:t>in</w:t>
      </w:r>
      <w:proofErr w:type="gramEnd"/>
      <w:r w:rsidRPr="00CF3053">
        <w:rPr>
          <w:rFonts w:cs="Times New Roman"/>
          <w:sz w:val="24"/>
          <w:szCs w:val="24"/>
        </w:rPr>
        <w:t xml:space="preserve"> light of the contributions of these four papers on Confucian humility. </w:t>
      </w:r>
    </w:p>
    <w:p w14:paraId="3813FACE" w14:textId="1ADE966A"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Methodologically, </w:t>
      </w:r>
      <w:proofErr w:type="spellStart"/>
      <w:r w:rsidRPr="00CF3053">
        <w:rPr>
          <w:rFonts w:cs="Times New Roman"/>
          <w:sz w:val="24"/>
          <w:szCs w:val="24"/>
        </w:rPr>
        <w:t>Shun’s</w:t>
      </w:r>
      <w:proofErr w:type="spellEnd"/>
      <w:r w:rsidRPr="00CF3053">
        <w:rPr>
          <w:rFonts w:cs="Times New Roman"/>
          <w:sz w:val="24"/>
          <w:szCs w:val="24"/>
        </w:rPr>
        <w:t xml:space="preserve"> paper shows that Confucian humility is rich, multifaceted, and expressed in various characters. Even if one disagrees with Shun on the relevance of some characters to humility, his study shows that </w:t>
      </w:r>
      <w:proofErr w:type="spellStart"/>
      <w:r w:rsidRPr="00CF3053">
        <w:rPr>
          <w:rFonts w:cs="Times New Roman"/>
          <w:i/>
          <w:iCs/>
          <w:sz w:val="24"/>
          <w:szCs w:val="24"/>
        </w:rPr>
        <w:t>qian</w:t>
      </w:r>
      <w:proofErr w:type="spellEnd"/>
      <w:r w:rsidRPr="00CF3053">
        <w:rPr>
          <w:rFonts w:cs="Times New Roman"/>
          <w:sz w:val="24"/>
          <w:szCs w:val="24"/>
        </w:rPr>
        <w:t xml:space="preserve"> is not (and if </w:t>
      </w:r>
      <w:proofErr w:type="gramStart"/>
      <w:r w:rsidRPr="00CF3053">
        <w:rPr>
          <w:rFonts w:cs="Times New Roman"/>
          <w:sz w:val="24"/>
          <w:szCs w:val="24"/>
        </w:rPr>
        <w:t>Shun</w:t>
      </w:r>
      <w:proofErr w:type="gramEnd"/>
      <w:r w:rsidRPr="00CF3053">
        <w:rPr>
          <w:rFonts w:cs="Times New Roman"/>
          <w:sz w:val="24"/>
          <w:szCs w:val="24"/>
        </w:rPr>
        <w:t xml:space="preserve"> is right, far from) the only point of reference. The paper, therefore, provides a strong answer to McLeod’s question of “why then did the Confucians have no single term that we can unproblematically translate across contexts as ‘humility’?”</w:t>
      </w:r>
      <w:r w:rsidRPr="00CF3053">
        <w:rPr>
          <w:rStyle w:val="FootnoteReference"/>
          <w:rFonts w:cs="Times New Roman"/>
          <w:sz w:val="24"/>
          <w:szCs w:val="24"/>
        </w:rPr>
        <w:footnoteReference w:id="88"/>
      </w:r>
      <w:r w:rsidRPr="00CF3053">
        <w:rPr>
          <w:rFonts w:cs="Times New Roman"/>
          <w:sz w:val="24"/>
          <w:szCs w:val="24"/>
        </w:rPr>
        <w:t xml:space="preserve"> It is because first, Confucians take the overall phenomena seriously and deploy numerous terms to capture different aspects of what is generally called “humility;” second, even though there is a variety of terms around the phenomena of “humility,” if Shun is right, there is indeed a single term that can be used, namely, </w:t>
      </w:r>
      <w:proofErr w:type="spellStart"/>
      <w:r w:rsidRPr="00CF3053">
        <w:rPr>
          <w:rFonts w:cs="Times New Roman"/>
          <w:i/>
          <w:iCs/>
          <w:sz w:val="24"/>
          <w:szCs w:val="24"/>
        </w:rPr>
        <w:t>jing</w:t>
      </w:r>
      <w:proofErr w:type="spellEnd"/>
      <w:r w:rsidRPr="00CF3053">
        <w:rPr>
          <w:rFonts w:cs="Times New Roman"/>
          <w:sz w:val="24"/>
          <w:szCs w:val="24"/>
        </w:rPr>
        <w:t xml:space="preserve">. It seems to me that </w:t>
      </w:r>
      <w:proofErr w:type="spellStart"/>
      <w:r w:rsidRPr="00CF3053">
        <w:rPr>
          <w:rFonts w:cs="Times New Roman"/>
          <w:sz w:val="24"/>
          <w:szCs w:val="24"/>
        </w:rPr>
        <w:t>Shun’s</w:t>
      </w:r>
      <w:proofErr w:type="spellEnd"/>
      <w:r w:rsidRPr="00CF3053">
        <w:rPr>
          <w:rFonts w:cs="Times New Roman"/>
          <w:sz w:val="24"/>
          <w:szCs w:val="24"/>
        </w:rPr>
        <w:t xml:space="preserve"> paper makes a convincing case that early Chinese texts do not lack terminologies corresponding to “humility,” but rather employ a plethora of them to speak more precisely about concrete, relat</w:t>
      </w:r>
      <w:r w:rsidR="00D854E6">
        <w:rPr>
          <w:rFonts w:cs="Times New Roman"/>
          <w:sz w:val="24"/>
          <w:szCs w:val="24"/>
        </w:rPr>
        <w:t>ed</w:t>
      </w:r>
      <w:r w:rsidRPr="00CF3053">
        <w:rPr>
          <w:rFonts w:cs="Times New Roman"/>
          <w:sz w:val="24"/>
          <w:szCs w:val="24"/>
        </w:rPr>
        <w:t xml:space="preserve"> aspects of “humility.” </w:t>
      </w:r>
      <w:proofErr w:type="spellStart"/>
      <w:r w:rsidRPr="00CF3053">
        <w:rPr>
          <w:rFonts w:cs="Times New Roman"/>
          <w:sz w:val="24"/>
          <w:szCs w:val="24"/>
        </w:rPr>
        <w:t>Shun’s</w:t>
      </w:r>
      <w:proofErr w:type="spellEnd"/>
      <w:r w:rsidRPr="00CF3053">
        <w:rPr>
          <w:rFonts w:cs="Times New Roman"/>
          <w:sz w:val="24"/>
          <w:szCs w:val="24"/>
        </w:rPr>
        <w:t xml:space="preserve"> claim that </w:t>
      </w:r>
      <w:proofErr w:type="spellStart"/>
      <w:r w:rsidRPr="00CF3053">
        <w:rPr>
          <w:rFonts w:cs="Times New Roman"/>
          <w:i/>
          <w:iCs/>
          <w:sz w:val="24"/>
          <w:szCs w:val="24"/>
        </w:rPr>
        <w:t>jing</w:t>
      </w:r>
      <w:proofErr w:type="spellEnd"/>
      <w:r w:rsidRPr="00CF3053">
        <w:rPr>
          <w:rFonts w:cs="Times New Roman"/>
          <w:sz w:val="24"/>
          <w:szCs w:val="24"/>
        </w:rPr>
        <w:t xml:space="preserve"> captures “humility,” however, is quite a novel and complicated thesis the proper evaluation of which requires careful and dedicated </w:t>
      </w:r>
      <w:r w:rsidRPr="00CF3053">
        <w:rPr>
          <w:rFonts w:cs="Times New Roman"/>
          <w:sz w:val="24"/>
          <w:szCs w:val="24"/>
        </w:rPr>
        <w:lastRenderedPageBreak/>
        <w:t xml:space="preserve">engagement that is beyond scope and focus of this project. I shall, therefore, leave it for rumination. </w:t>
      </w:r>
    </w:p>
    <w:p w14:paraId="71897EC2" w14:textId="0A095E2A" w:rsidR="00CF3053" w:rsidRPr="00CF3053" w:rsidRDefault="00D854E6" w:rsidP="00CF3053">
      <w:pPr>
        <w:spacing w:line="480" w:lineRule="auto"/>
        <w:ind w:firstLine="720"/>
        <w:rPr>
          <w:rFonts w:cs="Times New Roman"/>
          <w:sz w:val="24"/>
          <w:szCs w:val="24"/>
        </w:rPr>
      </w:pPr>
      <w:r>
        <w:rPr>
          <w:rFonts w:cs="Times New Roman"/>
          <w:sz w:val="24"/>
          <w:szCs w:val="24"/>
        </w:rPr>
        <w:t>In terms of c</w:t>
      </w:r>
      <w:r w:rsidR="00CF3053" w:rsidRPr="00CF3053">
        <w:rPr>
          <w:rFonts w:cs="Times New Roman"/>
          <w:sz w:val="24"/>
          <w:szCs w:val="24"/>
        </w:rPr>
        <w:t xml:space="preserve">ontent, </w:t>
      </w:r>
      <w:proofErr w:type="spellStart"/>
      <w:r w:rsidR="00CF3053" w:rsidRPr="00CF3053">
        <w:rPr>
          <w:rFonts w:cs="Times New Roman"/>
          <w:sz w:val="24"/>
          <w:szCs w:val="24"/>
        </w:rPr>
        <w:t>Shun’s</w:t>
      </w:r>
      <w:proofErr w:type="spellEnd"/>
      <w:r w:rsidR="00CF3053" w:rsidRPr="00CF3053">
        <w:rPr>
          <w:rFonts w:cs="Times New Roman"/>
          <w:sz w:val="24"/>
          <w:szCs w:val="24"/>
        </w:rPr>
        <w:t xml:space="preserve"> account stands out as offering something unique while not mentioning what other scholars take to be important. </w:t>
      </w:r>
      <w:proofErr w:type="spellStart"/>
      <w:r w:rsidR="00CF3053" w:rsidRPr="00CF3053">
        <w:rPr>
          <w:rFonts w:cs="Times New Roman"/>
          <w:sz w:val="24"/>
          <w:szCs w:val="24"/>
        </w:rPr>
        <w:t>Shun’s</w:t>
      </w:r>
      <w:proofErr w:type="spellEnd"/>
      <w:r w:rsidR="00CF3053" w:rsidRPr="00CF3053">
        <w:rPr>
          <w:rFonts w:cs="Times New Roman"/>
          <w:sz w:val="24"/>
          <w:szCs w:val="24"/>
        </w:rPr>
        <w:t xml:space="preserve"> conceptualization does not discuss humility in terms of self-cultivation or social interaction. This is partly due to the range of texts where he sources his evidence, some of which, such as </w:t>
      </w:r>
      <w:proofErr w:type="spellStart"/>
      <w:r w:rsidR="00CF3053" w:rsidRPr="00CF3053">
        <w:rPr>
          <w:rFonts w:cs="Times New Roman"/>
          <w:i/>
          <w:iCs/>
          <w:sz w:val="24"/>
          <w:szCs w:val="24"/>
        </w:rPr>
        <w:t>Sunzi</w:t>
      </w:r>
      <w:proofErr w:type="spellEnd"/>
      <w:r w:rsidR="00CF3053" w:rsidRPr="00CF3053">
        <w:rPr>
          <w:rFonts w:cs="Times New Roman"/>
          <w:i/>
          <w:iCs/>
          <w:sz w:val="24"/>
          <w:szCs w:val="24"/>
        </w:rPr>
        <w:t xml:space="preserve"> </w:t>
      </w:r>
      <w:proofErr w:type="spellStart"/>
      <w:r w:rsidR="00CF3053" w:rsidRPr="00CF3053">
        <w:rPr>
          <w:rFonts w:cs="Times New Roman"/>
          <w:i/>
          <w:iCs/>
          <w:sz w:val="24"/>
          <w:szCs w:val="24"/>
        </w:rPr>
        <w:t>Bingfa</w:t>
      </w:r>
      <w:proofErr w:type="spellEnd"/>
      <w:r w:rsidR="00CF3053" w:rsidRPr="00CF3053">
        <w:rPr>
          <w:rFonts w:cs="Times New Roman"/>
          <w:i/>
          <w:iCs/>
          <w:sz w:val="24"/>
          <w:szCs w:val="24"/>
        </w:rPr>
        <w:t xml:space="preserve"> </w:t>
      </w:r>
      <w:proofErr w:type="spellStart"/>
      <w:r w:rsidR="00CF3053" w:rsidRPr="00CF3053">
        <w:rPr>
          <w:rFonts w:eastAsia="MS Gothic" w:cs="Times New Roman"/>
          <w:sz w:val="24"/>
          <w:szCs w:val="24"/>
        </w:rPr>
        <w:t>孫子兵法</w:t>
      </w:r>
      <w:proofErr w:type="spellEnd"/>
      <w:r w:rsidR="00CF3053" w:rsidRPr="00CF3053">
        <w:rPr>
          <w:rFonts w:cs="Times New Roman"/>
          <w:sz w:val="24"/>
          <w:szCs w:val="24"/>
        </w:rPr>
        <w:t xml:space="preserve">, offers little on self-cultivation. It is also partly due to his focus on moral psychology. This focus allows his detailed claims to shed light on the themes from a psychological perspective, even though he makes no dedicated comments on them. What Shun offers that is unique and not mentioned by other scholars is his discussion on the aspect of caution and fearfulness, and his overall claim of </w:t>
      </w:r>
      <w:proofErr w:type="spellStart"/>
      <w:r w:rsidR="00CF3053" w:rsidRPr="00CF3053">
        <w:rPr>
          <w:rFonts w:cs="Times New Roman"/>
          <w:i/>
          <w:iCs/>
          <w:sz w:val="24"/>
          <w:szCs w:val="24"/>
        </w:rPr>
        <w:t>jing</w:t>
      </w:r>
      <w:proofErr w:type="spellEnd"/>
      <w:r w:rsidR="00CF3053" w:rsidRPr="00CF3053">
        <w:rPr>
          <w:rFonts w:cs="Times New Roman"/>
          <w:sz w:val="24"/>
          <w:szCs w:val="24"/>
        </w:rPr>
        <w:t>. While other scholars have in various ways point</w:t>
      </w:r>
      <w:r>
        <w:rPr>
          <w:rFonts w:cs="Times New Roman"/>
          <w:sz w:val="24"/>
          <w:szCs w:val="24"/>
        </w:rPr>
        <w:t>ed</w:t>
      </w:r>
      <w:r w:rsidR="00CF3053" w:rsidRPr="00CF3053">
        <w:rPr>
          <w:rFonts w:cs="Times New Roman"/>
          <w:sz w:val="24"/>
          <w:szCs w:val="24"/>
        </w:rPr>
        <w:t xml:space="preserve"> to something </w:t>
      </w:r>
      <w:proofErr w:type="gramStart"/>
      <w:r w:rsidR="00CF3053" w:rsidRPr="00CF3053">
        <w:rPr>
          <w:rFonts w:cs="Times New Roman"/>
          <w:sz w:val="24"/>
          <w:szCs w:val="24"/>
        </w:rPr>
        <w:t>similar to</w:t>
      </w:r>
      <w:proofErr w:type="gramEnd"/>
      <w:r w:rsidR="00CF3053" w:rsidRPr="00CF3053">
        <w:rPr>
          <w:rFonts w:cs="Times New Roman"/>
          <w:sz w:val="24"/>
          <w:szCs w:val="24"/>
        </w:rPr>
        <w:t xml:space="preserve"> what Shun calls a deflated sense of self (i.e., his first aspect of humility) and seriousness (i.e., part of the third aspect), no one has yet pointed out that Confucian humility involves a kind of caution and vigilance against pride and laxity. Furthermore, no one has yet put forward the idea that </w:t>
      </w:r>
      <w:proofErr w:type="spellStart"/>
      <w:r w:rsidR="00CF3053" w:rsidRPr="00CF3053">
        <w:rPr>
          <w:rFonts w:cs="Times New Roman"/>
          <w:i/>
          <w:iCs/>
          <w:sz w:val="24"/>
          <w:szCs w:val="24"/>
        </w:rPr>
        <w:t>jing</w:t>
      </w:r>
      <w:proofErr w:type="spellEnd"/>
      <w:r w:rsidR="00CF3053" w:rsidRPr="00CF3053">
        <w:rPr>
          <w:rFonts w:cs="Times New Roman"/>
          <w:sz w:val="24"/>
          <w:szCs w:val="24"/>
        </w:rPr>
        <w:t xml:space="preserve">, which captures the Confucians’ conception of humility, is a posture towards life in general. One of the implications of this claim is that humility is in a certain sense </w:t>
      </w:r>
      <w:r w:rsidR="00CF3053" w:rsidRPr="00CF3053">
        <w:rPr>
          <w:rFonts w:cs="Times New Roman"/>
          <w:i/>
          <w:iCs/>
          <w:sz w:val="24"/>
          <w:szCs w:val="24"/>
        </w:rPr>
        <w:t>basic</w:t>
      </w:r>
      <w:r w:rsidR="00CF3053" w:rsidRPr="00CF3053">
        <w:rPr>
          <w:rFonts w:cs="Times New Roman"/>
          <w:sz w:val="24"/>
          <w:szCs w:val="24"/>
        </w:rPr>
        <w:t xml:space="preserve"> to all Confucian virtues, practices, and overall outlook. The claim is as inspiring as it is hard to grapple and evaluate. </w:t>
      </w:r>
    </w:p>
    <w:p w14:paraId="42D0D515" w14:textId="2DA21632" w:rsidR="00CF3053" w:rsidRPr="00CF3053" w:rsidRDefault="00CF3053" w:rsidP="00CF3053">
      <w:pPr>
        <w:spacing w:line="480" w:lineRule="auto"/>
        <w:ind w:firstLine="720"/>
        <w:rPr>
          <w:rFonts w:cs="Times New Roman"/>
          <w:sz w:val="24"/>
          <w:szCs w:val="24"/>
          <w:u w:val="single"/>
        </w:rPr>
      </w:pPr>
      <w:r w:rsidRPr="00CF3053">
        <w:rPr>
          <w:rFonts w:cs="Times New Roman"/>
          <w:sz w:val="24"/>
          <w:szCs w:val="24"/>
        </w:rPr>
        <w:t xml:space="preserve">Where, then, do I stand in relation to the landscape laid out by scholars’ work? First, while different scholars pay attention to different themes due to their respective foci and methodologies, the following themes seem to me to speak truly about Confucian humility. They are the theme of learning and self-cultivation highlighted by Li and Rushing, the theme of social interaction by Li, Rushing and McLeod, and the numerous insights by Shun on moral </w:t>
      </w:r>
      <w:r w:rsidRPr="00CF3053">
        <w:rPr>
          <w:rFonts w:cs="Times New Roman"/>
          <w:sz w:val="24"/>
          <w:szCs w:val="24"/>
        </w:rPr>
        <w:lastRenderedPageBreak/>
        <w:t xml:space="preserve">psychology, the </w:t>
      </w:r>
      <w:r w:rsidR="00320E7B">
        <w:rPr>
          <w:rFonts w:cs="Times New Roman"/>
          <w:sz w:val="24"/>
          <w:szCs w:val="24"/>
        </w:rPr>
        <w:t xml:space="preserve">most </w:t>
      </w:r>
      <w:r w:rsidRPr="00CF3053">
        <w:rPr>
          <w:rFonts w:cs="Times New Roman"/>
          <w:sz w:val="24"/>
          <w:szCs w:val="24"/>
        </w:rPr>
        <w:t xml:space="preserve">prominent of which is the aspect of caution and fearfulness. Offering an account that attends to all these themes while explaining an inner logic that connects them will be the first task of this paper. Secondly, the </w:t>
      </w:r>
      <w:r w:rsidRPr="00CF3053">
        <w:rPr>
          <w:rFonts w:cs="Times New Roman"/>
          <w:i/>
          <w:iCs/>
          <w:sz w:val="24"/>
          <w:szCs w:val="24"/>
        </w:rPr>
        <w:t>Analects</w:t>
      </w:r>
      <w:r w:rsidRPr="00CF3053">
        <w:rPr>
          <w:rFonts w:cs="Times New Roman"/>
          <w:sz w:val="24"/>
          <w:szCs w:val="24"/>
        </w:rPr>
        <w:t xml:space="preserve"> also contains an additional element that is not emphasized by previous scholars. This is the element of </w:t>
      </w:r>
      <w:r w:rsidRPr="00CF3053">
        <w:rPr>
          <w:rFonts w:cs="Times New Roman"/>
          <w:i/>
          <w:iCs/>
          <w:sz w:val="24"/>
          <w:szCs w:val="24"/>
        </w:rPr>
        <w:t>li</w:t>
      </w:r>
      <w:r w:rsidRPr="00CF3053">
        <w:rPr>
          <w:rFonts w:cs="Times New Roman"/>
          <w:sz w:val="24"/>
          <w:szCs w:val="24"/>
        </w:rPr>
        <w:t xml:space="preserve">. To argue and defend the significance of </w:t>
      </w:r>
      <w:r w:rsidRPr="00CF3053">
        <w:rPr>
          <w:rFonts w:cs="Times New Roman"/>
          <w:i/>
          <w:iCs/>
          <w:sz w:val="24"/>
          <w:szCs w:val="24"/>
        </w:rPr>
        <w:t xml:space="preserve">li </w:t>
      </w:r>
      <w:r w:rsidRPr="00CF3053">
        <w:rPr>
          <w:rFonts w:cs="Times New Roman"/>
          <w:sz w:val="24"/>
          <w:szCs w:val="24"/>
        </w:rPr>
        <w:t xml:space="preserve">regarding Confucian humility is the second task of this paper. To recall, I argue that in the </w:t>
      </w:r>
      <w:r w:rsidRPr="00CF3053">
        <w:rPr>
          <w:rFonts w:cs="Times New Roman"/>
          <w:i/>
          <w:iCs/>
          <w:sz w:val="24"/>
          <w:szCs w:val="24"/>
        </w:rPr>
        <w:t>Analects</w:t>
      </w:r>
      <w:r w:rsidRPr="00CF3053">
        <w:rPr>
          <w:rFonts w:cs="Times New Roman"/>
          <w:sz w:val="24"/>
          <w:szCs w:val="24"/>
        </w:rPr>
        <w:t xml:space="preserve">, there are two strands of humility. </w:t>
      </w:r>
      <w:bookmarkStart w:id="27" w:name="_Hlk68695451"/>
      <w:r w:rsidRPr="00CF3053">
        <w:rPr>
          <w:rFonts w:cs="Times New Roman"/>
          <w:sz w:val="24"/>
          <w:szCs w:val="24"/>
        </w:rPr>
        <w:t xml:space="preserve">The first focuses on the agent herself and can be characterized as vigilance rooted in loving learning. The second comes from a keen regard towards others and can be characterized as devotion to responsibility. In both strands, </w:t>
      </w:r>
      <w:r w:rsidRPr="00CF3053">
        <w:rPr>
          <w:rFonts w:cs="Times New Roman"/>
          <w:i/>
          <w:iCs/>
          <w:sz w:val="24"/>
          <w:szCs w:val="24"/>
        </w:rPr>
        <w:t>li</w:t>
      </w:r>
      <w:r w:rsidRPr="00CF3053">
        <w:rPr>
          <w:rFonts w:cs="Times New Roman"/>
          <w:sz w:val="24"/>
          <w:szCs w:val="24"/>
        </w:rPr>
        <w:t xml:space="preserve"> is an indispensable and necessary component. I explicate each claim sequentially below.</w:t>
      </w:r>
      <w:bookmarkEnd w:id="27"/>
    </w:p>
    <w:p w14:paraId="608B632A" w14:textId="77777777" w:rsidR="00CF3053" w:rsidRDefault="00CF3053" w:rsidP="00CF3053">
      <w:pPr>
        <w:pStyle w:val="Heading2"/>
        <w:rPr>
          <w:rFonts w:asciiTheme="majorHAnsi" w:hAnsiTheme="majorHAnsi"/>
        </w:rPr>
      </w:pPr>
      <w:bookmarkStart w:id="28" w:name="_Toc102412730"/>
      <w:r>
        <w:t>3. My View on Confucian Humility in the Analects</w:t>
      </w:r>
      <w:bookmarkEnd w:id="28"/>
    </w:p>
    <w:p w14:paraId="5E68289C" w14:textId="77777777" w:rsidR="00CF3053" w:rsidRPr="00CF3053" w:rsidRDefault="00CF3053" w:rsidP="00CF3053">
      <w:pPr>
        <w:pStyle w:val="Heading3"/>
        <w:rPr>
          <w:rFonts w:ascii="Times New Roman" w:hAnsi="Times New Roman" w:cs="Times New Roman"/>
        </w:rPr>
      </w:pPr>
      <w:bookmarkStart w:id="29" w:name="_Toc102412731"/>
      <w:r w:rsidRPr="00CF3053">
        <w:rPr>
          <w:rFonts w:ascii="Times New Roman" w:hAnsi="Times New Roman" w:cs="Times New Roman"/>
        </w:rPr>
        <w:t>3.1 First Strand of Confucian Humility: Vigilance Rooted in Loving Learning</w:t>
      </w:r>
      <w:bookmarkEnd w:id="29"/>
    </w:p>
    <w:p w14:paraId="5CEAC728" w14:textId="6B853B63"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To start with, a basic sense of humility is the ability (and willingness) to acknowledge one’s insufficiency, and corresponding reactions </w:t>
      </w:r>
      <w:proofErr w:type="gramStart"/>
      <w:r w:rsidRPr="00CF3053">
        <w:rPr>
          <w:rFonts w:cs="Times New Roman"/>
          <w:sz w:val="24"/>
          <w:szCs w:val="24"/>
        </w:rPr>
        <w:t>in light of</w:t>
      </w:r>
      <w:proofErr w:type="gramEnd"/>
      <w:r w:rsidRPr="00CF3053">
        <w:rPr>
          <w:rFonts w:cs="Times New Roman"/>
          <w:sz w:val="24"/>
          <w:szCs w:val="24"/>
        </w:rPr>
        <w:t xml:space="preserve"> such acknowledgement. The kind of reactions that Confucians are especially keen on is the desire to improve oneself. Zigong demonstrates </w:t>
      </w:r>
      <w:r w:rsidR="00320E7B">
        <w:rPr>
          <w:rFonts w:cs="Times New Roman"/>
          <w:sz w:val="24"/>
          <w:szCs w:val="24"/>
        </w:rPr>
        <w:t>this</w:t>
      </w:r>
      <w:r w:rsidRPr="00CF3053">
        <w:rPr>
          <w:rFonts w:cs="Times New Roman"/>
          <w:sz w:val="24"/>
          <w:szCs w:val="24"/>
        </w:rPr>
        <w:t xml:space="preserve"> kind of humility. When being prompted to compare himself with Yan Hui </w:t>
      </w:r>
      <w:proofErr w:type="spellStart"/>
      <w:r w:rsidRPr="00CF3053">
        <w:rPr>
          <w:rFonts w:eastAsia="Microsoft JhengHei" w:cs="Times New Roman"/>
          <w:sz w:val="24"/>
          <w:szCs w:val="24"/>
        </w:rPr>
        <w:t>颜回</w:t>
      </w:r>
      <w:proofErr w:type="spellEnd"/>
      <w:r w:rsidRPr="00CF3053">
        <w:rPr>
          <w:rFonts w:cs="Times New Roman"/>
          <w:sz w:val="24"/>
          <w:szCs w:val="24"/>
        </w:rPr>
        <w:t xml:space="preserve">, who is widely acknowledged to be the best student of </w:t>
      </w:r>
      <w:proofErr w:type="spellStart"/>
      <w:r w:rsidRPr="00CF3053">
        <w:rPr>
          <w:rFonts w:cs="Times New Roman"/>
          <w:sz w:val="24"/>
          <w:szCs w:val="24"/>
        </w:rPr>
        <w:t>Kongzi</w:t>
      </w:r>
      <w:proofErr w:type="spellEnd"/>
      <w:r w:rsidRPr="00CF3053">
        <w:rPr>
          <w:rFonts w:cs="Times New Roman"/>
          <w:sz w:val="24"/>
          <w:szCs w:val="24"/>
        </w:rPr>
        <w:t xml:space="preserve">, Zigong </w:t>
      </w:r>
      <w:proofErr w:type="spellStart"/>
      <w:r w:rsidRPr="00CF3053">
        <w:rPr>
          <w:rFonts w:eastAsia="MS Gothic" w:cs="Times New Roman"/>
          <w:sz w:val="24"/>
          <w:szCs w:val="24"/>
        </w:rPr>
        <w:t>子貢</w:t>
      </w:r>
      <w:r w:rsidRPr="00CF3053">
        <w:rPr>
          <w:rFonts w:cs="Times New Roman"/>
          <w:sz w:val="24"/>
          <w:szCs w:val="24"/>
        </w:rPr>
        <w:t>replies</w:t>
      </w:r>
      <w:proofErr w:type="spellEnd"/>
      <w:r w:rsidRPr="00CF3053">
        <w:rPr>
          <w:rFonts w:cs="Times New Roman"/>
          <w:sz w:val="24"/>
          <w:szCs w:val="24"/>
        </w:rPr>
        <w:t xml:space="preserve"> that he falls far behind (5.9). Zigong in this instance </w:t>
      </w:r>
      <w:proofErr w:type="gramStart"/>
      <w:r w:rsidRPr="00CF3053">
        <w:rPr>
          <w:rFonts w:cs="Times New Roman"/>
          <w:sz w:val="24"/>
          <w:szCs w:val="24"/>
        </w:rPr>
        <w:t>demonstrates clearly</w:t>
      </w:r>
      <w:proofErr w:type="gramEnd"/>
      <w:r w:rsidRPr="00CF3053">
        <w:rPr>
          <w:rFonts w:cs="Times New Roman"/>
          <w:sz w:val="24"/>
          <w:szCs w:val="24"/>
        </w:rPr>
        <w:t xml:space="preserve"> an acknowledgment of inferiority. He also demonstrates the desire to improve himself from his engagement with learning (1.15). It is appropriate to say that Zigong has this sense of humility where an awareness of self-insufficiency fosters a desire to improve oneself.  </w:t>
      </w:r>
    </w:p>
    <w:p w14:paraId="35E7253F" w14:textId="77777777" w:rsidR="00CF3053" w:rsidRPr="00CF3053" w:rsidRDefault="00CF3053" w:rsidP="00CF3053">
      <w:pPr>
        <w:spacing w:line="480" w:lineRule="auto"/>
        <w:ind w:firstLine="720"/>
        <w:rPr>
          <w:rFonts w:cs="Times New Roman"/>
          <w:sz w:val="24"/>
          <w:szCs w:val="24"/>
        </w:rPr>
      </w:pPr>
      <w:r w:rsidRPr="00CF3053">
        <w:rPr>
          <w:rFonts w:cs="Times New Roman"/>
          <w:sz w:val="24"/>
          <w:szCs w:val="24"/>
        </w:rPr>
        <w:t>There is a subtler sense of humility where dedication towards learning reveals to the agent the nature of the self-improvement project, which permanently humbles the agent. This sense of humility is rooted in “loving learning” or “</w:t>
      </w:r>
      <w:r w:rsidRPr="00CF3053">
        <w:rPr>
          <w:rFonts w:cs="Times New Roman"/>
          <w:i/>
          <w:iCs/>
          <w:sz w:val="24"/>
          <w:szCs w:val="24"/>
        </w:rPr>
        <w:t xml:space="preserve">hao </w:t>
      </w:r>
      <w:proofErr w:type="spellStart"/>
      <w:r w:rsidRPr="00CF3053">
        <w:rPr>
          <w:rFonts w:cs="Times New Roman"/>
          <w:i/>
          <w:iCs/>
          <w:sz w:val="24"/>
          <w:szCs w:val="24"/>
        </w:rPr>
        <w:t>xue</w:t>
      </w:r>
      <w:proofErr w:type="spellEnd"/>
      <w:r w:rsidRPr="00CF3053">
        <w:rPr>
          <w:rFonts w:cs="Times New Roman"/>
          <w:sz w:val="24"/>
          <w:szCs w:val="24"/>
        </w:rPr>
        <w:t>/</w:t>
      </w:r>
      <w:proofErr w:type="spellStart"/>
      <w:r w:rsidRPr="00CF3053">
        <w:rPr>
          <w:rFonts w:eastAsia="MS Gothic" w:cs="Times New Roman"/>
          <w:sz w:val="24"/>
          <w:szCs w:val="24"/>
        </w:rPr>
        <w:t>好學</w:t>
      </w:r>
      <w:proofErr w:type="spellEnd"/>
      <w:r w:rsidRPr="00CF3053">
        <w:rPr>
          <w:rFonts w:cs="Times New Roman"/>
          <w:sz w:val="24"/>
          <w:szCs w:val="24"/>
        </w:rPr>
        <w:t xml:space="preserve">.” One way to understand what </w:t>
      </w:r>
      <w:r w:rsidRPr="00CF3053">
        <w:rPr>
          <w:rFonts w:cs="Times New Roman"/>
          <w:sz w:val="24"/>
          <w:szCs w:val="24"/>
        </w:rPr>
        <w:lastRenderedPageBreak/>
        <w:t xml:space="preserve">“loving learning” involves and implies is to contrast it with what is similar but less than it. Zigong provides a case in point. </w:t>
      </w:r>
    </w:p>
    <w:p w14:paraId="7F8CA1F2" w14:textId="16B9136C"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Zigong, as discussed above, </w:t>
      </w:r>
      <w:proofErr w:type="gramStart"/>
      <w:r w:rsidRPr="00CF3053">
        <w:rPr>
          <w:rFonts w:cs="Times New Roman"/>
          <w:sz w:val="24"/>
          <w:szCs w:val="24"/>
        </w:rPr>
        <w:t>is capable of acknowledging</w:t>
      </w:r>
      <w:proofErr w:type="gramEnd"/>
      <w:r w:rsidRPr="00CF3053">
        <w:rPr>
          <w:rFonts w:cs="Times New Roman"/>
          <w:sz w:val="24"/>
          <w:szCs w:val="24"/>
        </w:rPr>
        <w:t xml:space="preserve"> one’s insufficiency. However, Zigong’s acknowledgement of insufficiency is limited and localized. Zigong is quick to judge others (14.29), and quick to comment that a historically important figure, </w:t>
      </w:r>
      <w:proofErr w:type="spellStart"/>
      <w:r w:rsidRPr="00CF3053">
        <w:rPr>
          <w:rFonts w:cs="Times New Roman"/>
          <w:sz w:val="24"/>
          <w:szCs w:val="24"/>
        </w:rPr>
        <w:t>Guanzhong</w:t>
      </w:r>
      <w:proofErr w:type="spellEnd"/>
      <w:r w:rsidRPr="00CF3053">
        <w:rPr>
          <w:rFonts w:cs="Times New Roman"/>
          <w:sz w:val="24"/>
          <w:szCs w:val="24"/>
        </w:rPr>
        <w:t xml:space="preserve">, is not morally good because he did not </w:t>
      </w:r>
      <w:r w:rsidR="00320E7B">
        <w:rPr>
          <w:rFonts w:cs="Times New Roman"/>
          <w:sz w:val="24"/>
          <w:szCs w:val="24"/>
        </w:rPr>
        <w:t>die</w:t>
      </w:r>
      <w:r w:rsidRPr="00CF3053">
        <w:rPr>
          <w:rFonts w:cs="Times New Roman"/>
          <w:sz w:val="24"/>
          <w:szCs w:val="24"/>
        </w:rPr>
        <w:t xml:space="preserve"> with the lord he served, and ever later served the one who killed his lord. </w:t>
      </w:r>
      <w:proofErr w:type="spellStart"/>
      <w:r w:rsidRPr="00CF3053">
        <w:rPr>
          <w:rFonts w:cs="Times New Roman"/>
          <w:sz w:val="24"/>
          <w:szCs w:val="24"/>
        </w:rPr>
        <w:t>Kongzi</w:t>
      </w:r>
      <w:proofErr w:type="spellEnd"/>
      <w:r w:rsidRPr="00CF3053">
        <w:rPr>
          <w:rFonts w:cs="Times New Roman"/>
          <w:sz w:val="24"/>
          <w:szCs w:val="24"/>
        </w:rPr>
        <w:t xml:space="preserve"> points out that generations of people after </w:t>
      </w:r>
      <w:proofErr w:type="spellStart"/>
      <w:r w:rsidRPr="00CF3053">
        <w:rPr>
          <w:rFonts w:cs="Times New Roman"/>
          <w:sz w:val="24"/>
          <w:szCs w:val="24"/>
        </w:rPr>
        <w:t>Guanzhong</w:t>
      </w:r>
      <w:proofErr w:type="spellEnd"/>
      <w:r w:rsidRPr="00CF3053">
        <w:rPr>
          <w:rFonts w:cs="Times New Roman"/>
          <w:sz w:val="24"/>
          <w:szCs w:val="24"/>
        </w:rPr>
        <w:t xml:space="preserve"> benefit from his effort in bringing peace to the then-warring world (14.17). In other words, Zigong should appreciate and remember </w:t>
      </w:r>
      <w:proofErr w:type="spellStart"/>
      <w:r w:rsidRPr="00CF3053">
        <w:rPr>
          <w:rFonts w:cs="Times New Roman"/>
          <w:sz w:val="24"/>
          <w:szCs w:val="24"/>
        </w:rPr>
        <w:t>Guanzhong’s</w:t>
      </w:r>
      <w:proofErr w:type="spellEnd"/>
      <w:r w:rsidRPr="00CF3053">
        <w:rPr>
          <w:rFonts w:cs="Times New Roman"/>
          <w:sz w:val="24"/>
          <w:szCs w:val="24"/>
        </w:rPr>
        <w:t xml:space="preserve"> great contribution, rather than picking out his flaws and expecting him to behave like commoners. These passages show that Zigong </w:t>
      </w:r>
      <w:proofErr w:type="gramStart"/>
      <w:r w:rsidRPr="00CF3053">
        <w:rPr>
          <w:rFonts w:cs="Times New Roman"/>
          <w:sz w:val="24"/>
          <w:szCs w:val="24"/>
        </w:rPr>
        <w:t>is able to</w:t>
      </w:r>
      <w:proofErr w:type="gramEnd"/>
      <w:r w:rsidRPr="00CF3053">
        <w:rPr>
          <w:rFonts w:cs="Times New Roman"/>
          <w:sz w:val="24"/>
          <w:szCs w:val="24"/>
        </w:rPr>
        <w:t xml:space="preserve"> acknowledge deficiency when prompted. However, without guidance, he picks out problems and mistakes others made and makes judgments of others based on them, without admitting the good of others or realizing one’s comparative inferiority. A way to summarize Zigong’s humility is that he is teachable and capable of </w:t>
      </w:r>
      <w:proofErr w:type="gramStart"/>
      <w:r w:rsidRPr="00CF3053">
        <w:rPr>
          <w:rFonts w:cs="Times New Roman"/>
          <w:sz w:val="24"/>
          <w:szCs w:val="24"/>
        </w:rPr>
        <w:t>improvement, since</w:t>
      </w:r>
      <w:proofErr w:type="gramEnd"/>
      <w:r w:rsidRPr="00CF3053">
        <w:rPr>
          <w:rFonts w:cs="Times New Roman"/>
          <w:sz w:val="24"/>
          <w:szCs w:val="24"/>
        </w:rPr>
        <w:t xml:space="preserve"> he can be made to become aware of self-insufficiency and does intend to learn. However, he is not a lover of </w:t>
      </w:r>
      <w:proofErr w:type="gramStart"/>
      <w:r w:rsidRPr="00CF3053">
        <w:rPr>
          <w:rFonts w:cs="Times New Roman"/>
          <w:sz w:val="24"/>
          <w:szCs w:val="24"/>
        </w:rPr>
        <w:t>learning, since</w:t>
      </w:r>
      <w:proofErr w:type="gramEnd"/>
      <w:r w:rsidRPr="00CF3053">
        <w:rPr>
          <w:rFonts w:cs="Times New Roman"/>
          <w:sz w:val="24"/>
          <w:szCs w:val="24"/>
        </w:rPr>
        <w:t xml:space="preserve"> his self-awareness as well as appreciation of others is limited. </w:t>
      </w:r>
    </w:p>
    <w:p w14:paraId="512DCCBB" w14:textId="72FD2B4E"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What is the difference between being teachable and being a lover of learning? What accounts for the difference? One significant point that accounts for </w:t>
      </w:r>
      <w:r w:rsidR="00320E7B">
        <w:rPr>
          <w:rFonts w:cs="Times New Roman"/>
          <w:sz w:val="24"/>
          <w:szCs w:val="24"/>
        </w:rPr>
        <w:t>this</w:t>
      </w:r>
      <w:r w:rsidRPr="00CF3053">
        <w:rPr>
          <w:rFonts w:cs="Times New Roman"/>
          <w:sz w:val="24"/>
          <w:szCs w:val="24"/>
        </w:rPr>
        <w:t xml:space="preserve"> difference concerns the attitude and goal of learning. To recall, Zigong likes to judge people. </w:t>
      </w:r>
      <w:proofErr w:type="spellStart"/>
      <w:r w:rsidRPr="00CF3053">
        <w:rPr>
          <w:rFonts w:cs="Times New Roman"/>
          <w:sz w:val="24"/>
          <w:szCs w:val="24"/>
        </w:rPr>
        <w:t>Kongzi</w:t>
      </w:r>
      <w:proofErr w:type="spellEnd"/>
      <w:r w:rsidRPr="00CF3053">
        <w:rPr>
          <w:rFonts w:cs="Times New Roman"/>
          <w:sz w:val="24"/>
          <w:szCs w:val="24"/>
        </w:rPr>
        <w:t xml:space="preserve"> responds that Zigong must be a worthy gentleman, for he has no time for judging others (14.29). Shrewd readers of the </w:t>
      </w:r>
      <w:r w:rsidRPr="00CF3053">
        <w:rPr>
          <w:rFonts w:cs="Times New Roman"/>
          <w:i/>
          <w:iCs/>
          <w:sz w:val="24"/>
          <w:szCs w:val="24"/>
        </w:rPr>
        <w:t>Analects</w:t>
      </w:r>
      <w:r w:rsidRPr="00CF3053">
        <w:rPr>
          <w:rFonts w:cs="Times New Roman"/>
          <w:sz w:val="24"/>
          <w:szCs w:val="24"/>
        </w:rPr>
        <w:t xml:space="preserve"> may ask for further explanations because Zigong is not alon</w:t>
      </w:r>
      <w:r w:rsidR="00320E7B">
        <w:rPr>
          <w:rFonts w:cs="Times New Roman"/>
          <w:sz w:val="24"/>
          <w:szCs w:val="24"/>
        </w:rPr>
        <w:t>e</w:t>
      </w:r>
      <w:r w:rsidRPr="00CF3053">
        <w:rPr>
          <w:rFonts w:cs="Times New Roman"/>
          <w:sz w:val="24"/>
          <w:szCs w:val="24"/>
        </w:rPr>
        <w:t xml:space="preserve"> in frequently judging others. The text contains countless records of </w:t>
      </w:r>
      <w:proofErr w:type="spellStart"/>
      <w:r w:rsidRPr="00CF3053">
        <w:rPr>
          <w:rFonts w:cs="Times New Roman"/>
          <w:sz w:val="24"/>
          <w:szCs w:val="24"/>
        </w:rPr>
        <w:t>Kongzi</w:t>
      </w:r>
      <w:proofErr w:type="spellEnd"/>
      <w:r w:rsidRPr="00CF3053">
        <w:rPr>
          <w:rFonts w:cs="Times New Roman"/>
          <w:sz w:val="24"/>
          <w:szCs w:val="24"/>
        </w:rPr>
        <w:t xml:space="preserve">, his students, and multiple figures making judgments of each other. Zigong’s mistake, therefore, cannot be simply </w:t>
      </w:r>
      <w:r w:rsidRPr="00CF3053">
        <w:rPr>
          <w:rFonts w:cs="Times New Roman"/>
          <w:sz w:val="24"/>
          <w:szCs w:val="24"/>
        </w:rPr>
        <w:lastRenderedPageBreak/>
        <w:t>that he judges others, but has to do with the mistaken goal and attitude of judging. The practice and behavior of making judgments of others is meant for facilitating learning. Learning, as expressed in 14.24, is done for oneself, rather than for others. Zigong’s mistake, therefore, is that he fails to keep a constant mind that the practice of judging others is meant for guiding oneself to learn from others and</w:t>
      </w:r>
      <w:r w:rsidR="00320E7B">
        <w:rPr>
          <w:rFonts w:cs="Times New Roman"/>
          <w:sz w:val="24"/>
          <w:szCs w:val="24"/>
        </w:rPr>
        <w:t xml:space="preserve"> to</w:t>
      </w:r>
      <w:r w:rsidRPr="00CF3053">
        <w:rPr>
          <w:rFonts w:cs="Times New Roman"/>
          <w:sz w:val="24"/>
          <w:szCs w:val="24"/>
        </w:rPr>
        <w:t xml:space="preserve"> improve oneself, rather than for criticizing others or claiming superiority of some sort. Returning to Zigong’s comment on </w:t>
      </w:r>
      <w:proofErr w:type="spellStart"/>
      <w:r w:rsidRPr="00CF3053">
        <w:rPr>
          <w:rFonts w:cs="Times New Roman"/>
          <w:sz w:val="24"/>
          <w:szCs w:val="24"/>
        </w:rPr>
        <w:t>Guanzhong</w:t>
      </w:r>
      <w:proofErr w:type="spellEnd"/>
      <w:r w:rsidRPr="00CF3053">
        <w:rPr>
          <w:rFonts w:cs="Times New Roman"/>
          <w:sz w:val="24"/>
          <w:szCs w:val="24"/>
        </w:rPr>
        <w:t xml:space="preserve">, it only contains reasons for thinking poorly of </w:t>
      </w:r>
      <w:proofErr w:type="spellStart"/>
      <w:r w:rsidRPr="00CF3053">
        <w:rPr>
          <w:rFonts w:cs="Times New Roman"/>
          <w:sz w:val="24"/>
          <w:szCs w:val="24"/>
        </w:rPr>
        <w:t>Guanzhong</w:t>
      </w:r>
      <w:proofErr w:type="spellEnd"/>
      <w:r w:rsidRPr="00CF3053">
        <w:rPr>
          <w:rFonts w:cs="Times New Roman"/>
          <w:sz w:val="24"/>
          <w:szCs w:val="24"/>
        </w:rPr>
        <w:t xml:space="preserve"> without acknowledgement of </w:t>
      </w:r>
      <w:proofErr w:type="spellStart"/>
      <w:r w:rsidRPr="00CF3053">
        <w:rPr>
          <w:rFonts w:cs="Times New Roman"/>
          <w:sz w:val="24"/>
          <w:szCs w:val="24"/>
        </w:rPr>
        <w:t>Guanzhong’s</w:t>
      </w:r>
      <w:proofErr w:type="spellEnd"/>
      <w:r w:rsidRPr="00CF3053">
        <w:rPr>
          <w:rFonts w:cs="Times New Roman"/>
          <w:sz w:val="24"/>
          <w:szCs w:val="24"/>
        </w:rPr>
        <w:t xml:space="preserve"> important legacy. More importantly, it </w:t>
      </w:r>
      <w:r w:rsidRPr="00CF3053">
        <w:rPr>
          <w:rFonts w:cs="Times New Roman"/>
          <w:i/>
          <w:iCs/>
          <w:sz w:val="24"/>
          <w:szCs w:val="24"/>
        </w:rPr>
        <w:t>ends</w:t>
      </w:r>
      <w:r w:rsidRPr="00CF3053">
        <w:rPr>
          <w:rFonts w:cs="Times New Roman"/>
          <w:sz w:val="24"/>
          <w:szCs w:val="24"/>
        </w:rPr>
        <w:t xml:space="preserve"> with speaking poorly of </w:t>
      </w:r>
      <w:proofErr w:type="spellStart"/>
      <w:r w:rsidRPr="00CF3053">
        <w:rPr>
          <w:rFonts w:cs="Times New Roman"/>
          <w:sz w:val="24"/>
          <w:szCs w:val="24"/>
        </w:rPr>
        <w:t>Guanzhong</w:t>
      </w:r>
      <w:proofErr w:type="spellEnd"/>
      <w:r w:rsidRPr="00CF3053">
        <w:rPr>
          <w:rFonts w:cs="Times New Roman"/>
          <w:sz w:val="24"/>
          <w:szCs w:val="24"/>
        </w:rPr>
        <w:t xml:space="preserve"> without any reflection on what could be learned from </w:t>
      </w:r>
      <w:proofErr w:type="spellStart"/>
      <w:r w:rsidRPr="00CF3053">
        <w:rPr>
          <w:rFonts w:cs="Times New Roman"/>
          <w:sz w:val="24"/>
          <w:szCs w:val="24"/>
        </w:rPr>
        <w:t>Guanzhong</w:t>
      </w:r>
      <w:proofErr w:type="spellEnd"/>
      <w:r w:rsidRPr="00CF3053">
        <w:rPr>
          <w:rFonts w:cs="Times New Roman"/>
          <w:sz w:val="24"/>
          <w:szCs w:val="24"/>
        </w:rPr>
        <w:t xml:space="preserve">. Zigong, therefore, is shown to be a learner whose dedication to learning is sporadic, and his desire for learning is mixed with desires unrelated to correcting and improving oneself. </w:t>
      </w:r>
    </w:p>
    <w:p w14:paraId="6513F9AC" w14:textId="66D23AC4"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A single-minded, dedicated lover of learning would do differently. They mark the mistakes as well as the good of others. What others have done right and well should not be understated even if they have also made mistakes (14.16, 14.17). Regarding others’ mistakes, they do not make a quick and negative judgment of </w:t>
      </w:r>
      <w:proofErr w:type="gramStart"/>
      <w:r w:rsidRPr="00CF3053">
        <w:rPr>
          <w:rFonts w:cs="Times New Roman"/>
          <w:sz w:val="24"/>
          <w:szCs w:val="24"/>
        </w:rPr>
        <w:t>them, but</w:t>
      </w:r>
      <w:proofErr w:type="gramEnd"/>
      <w:r w:rsidRPr="00CF3053">
        <w:rPr>
          <w:rFonts w:cs="Times New Roman"/>
          <w:sz w:val="24"/>
          <w:szCs w:val="24"/>
        </w:rPr>
        <w:t xml:space="preserve"> use them to warn oneself. Such is expressed explicitly at 4.17, which instructs: “upon seeing a worthy person, think about how to catch up with them. Upon seeing an unworthy person, introspect upon oneself [to see if one shares similar problems.] </w:t>
      </w:r>
      <w:bookmarkStart w:id="30" w:name="_Hlk68696047"/>
      <w:proofErr w:type="spellStart"/>
      <w:r w:rsidRPr="00CF3053">
        <w:rPr>
          <w:rFonts w:eastAsia="MS Mincho" w:cs="Times New Roman"/>
          <w:sz w:val="24"/>
          <w:szCs w:val="24"/>
        </w:rPr>
        <w:t>見賢思齊焉，見不賢而</w:t>
      </w:r>
      <w:r w:rsidRPr="00CF3053">
        <w:rPr>
          <w:rFonts w:eastAsia="Batang" w:cs="Times New Roman"/>
          <w:sz w:val="24"/>
          <w:szCs w:val="24"/>
        </w:rPr>
        <w:t>內自省也</w:t>
      </w:r>
      <w:bookmarkEnd w:id="30"/>
      <w:proofErr w:type="spellEnd"/>
      <w:r w:rsidRPr="00CF3053">
        <w:rPr>
          <w:rFonts w:cs="Times New Roman"/>
          <w:sz w:val="24"/>
          <w:szCs w:val="24"/>
        </w:rPr>
        <w:t xml:space="preserve">.” Other people, whether they are worthy, </w:t>
      </w:r>
      <w:proofErr w:type="gramStart"/>
      <w:r w:rsidRPr="00CF3053">
        <w:rPr>
          <w:rFonts w:cs="Times New Roman"/>
          <w:sz w:val="24"/>
          <w:szCs w:val="24"/>
        </w:rPr>
        <w:t>capable</w:t>
      </w:r>
      <w:proofErr w:type="gramEnd"/>
      <w:r w:rsidRPr="00CF3053">
        <w:rPr>
          <w:rFonts w:cs="Times New Roman"/>
          <w:sz w:val="24"/>
          <w:szCs w:val="24"/>
        </w:rPr>
        <w:t xml:space="preserve"> or not, can become targets of learning. This does not mean that one strictly mimics what they do. Rather, one takes inspiration from them to stimulate oneself towards self-improvement. This method of emulation has two specific foci: that one should learn what is good from the worthy, but also examine and rectify oneself when seeing the mistakes of those </w:t>
      </w:r>
      <w:r w:rsidRPr="00CF3053">
        <w:rPr>
          <w:rFonts w:cs="Times New Roman"/>
          <w:sz w:val="24"/>
          <w:szCs w:val="24"/>
        </w:rPr>
        <w:lastRenderedPageBreak/>
        <w:t>unworthy.</w:t>
      </w:r>
      <w:r w:rsidRPr="00CF3053">
        <w:rPr>
          <w:rStyle w:val="FootnoteReference"/>
          <w:rFonts w:cs="Times New Roman"/>
          <w:sz w:val="24"/>
          <w:szCs w:val="24"/>
        </w:rPr>
        <w:footnoteReference w:id="89"/>
      </w:r>
      <w:r w:rsidRPr="00CF3053">
        <w:rPr>
          <w:rFonts w:cs="Times New Roman"/>
          <w:sz w:val="24"/>
          <w:szCs w:val="24"/>
        </w:rPr>
        <w:t xml:space="preserve"> Put succinctly, the two foci are emulating the good (from others) and rectifying the wrongs (of oneself).</w:t>
      </w:r>
    </w:p>
    <w:p w14:paraId="4A5E3039" w14:textId="7910037E"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 7.22 further elaborates on this attitude as well as method of learning, which says that “when walking with two other people, I am bound to (</w:t>
      </w:r>
      <w:r w:rsidRPr="00CF3053">
        <w:rPr>
          <w:rFonts w:cs="Times New Roman"/>
          <w:i/>
          <w:iCs/>
          <w:sz w:val="24"/>
          <w:szCs w:val="24"/>
        </w:rPr>
        <w:t>bi</w:t>
      </w:r>
      <w:r w:rsidRPr="00CF3053">
        <w:rPr>
          <w:rFonts w:cs="Times New Roman"/>
          <w:sz w:val="24"/>
          <w:szCs w:val="24"/>
        </w:rPr>
        <w:t xml:space="preserve"> </w:t>
      </w:r>
      <w:r w:rsidRPr="00CF3053">
        <w:rPr>
          <w:rFonts w:eastAsia="MS Gothic" w:cs="Times New Roman"/>
          <w:sz w:val="24"/>
          <w:szCs w:val="24"/>
        </w:rPr>
        <w:t>必</w:t>
      </w:r>
      <w:r w:rsidRPr="00CF3053">
        <w:rPr>
          <w:rFonts w:cs="Times New Roman"/>
          <w:sz w:val="24"/>
          <w:szCs w:val="24"/>
        </w:rPr>
        <w:t xml:space="preserve">/must, certainly) find a teacher. Identify their strengths and learn from them, while noticing their weaknesses and change them [in myself]. </w:t>
      </w:r>
      <w:bookmarkStart w:id="31" w:name="_Hlk68696062"/>
      <w:proofErr w:type="spellStart"/>
      <w:r w:rsidRPr="00CF3053">
        <w:rPr>
          <w:rFonts w:eastAsia="MS Mincho" w:cs="Times New Roman"/>
          <w:sz w:val="24"/>
          <w:szCs w:val="24"/>
        </w:rPr>
        <w:t>三人行，必有我師焉。擇其善者而從之，其不善者而改之</w:t>
      </w:r>
      <w:bookmarkEnd w:id="31"/>
      <w:proofErr w:type="spellEnd"/>
      <w:r w:rsidRPr="00CF3053">
        <w:rPr>
          <w:rFonts w:cs="Times New Roman"/>
          <w:sz w:val="24"/>
          <w:szCs w:val="24"/>
        </w:rPr>
        <w:t xml:space="preserve">.” The last two lines of 7.22 speak of the same method and foci of learning. The first two lines, however, provide a context that makes 7.22 more elaborate than 4.17. It says that even among a small group of three people, I am bound to find a teacher. There is no emphasis on identifying the worthy or the </w:t>
      </w:r>
      <w:proofErr w:type="gramStart"/>
      <w:r w:rsidRPr="00CF3053">
        <w:rPr>
          <w:rFonts w:cs="Times New Roman"/>
          <w:sz w:val="24"/>
          <w:szCs w:val="24"/>
        </w:rPr>
        <w:t>unworthy, because</w:t>
      </w:r>
      <w:proofErr w:type="gramEnd"/>
      <w:r w:rsidRPr="00CF3053">
        <w:rPr>
          <w:rFonts w:cs="Times New Roman"/>
          <w:sz w:val="24"/>
          <w:szCs w:val="24"/>
        </w:rPr>
        <w:t xml:space="preserve"> others always have something for me to learn </w:t>
      </w:r>
      <w:r w:rsidR="001B0B71">
        <w:rPr>
          <w:rFonts w:cs="Times New Roman"/>
          <w:sz w:val="24"/>
          <w:szCs w:val="24"/>
        </w:rPr>
        <w:t xml:space="preserve">from </w:t>
      </w:r>
      <w:r w:rsidRPr="00CF3053">
        <w:rPr>
          <w:rFonts w:cs="Times New Roman"/>
          <w:sz w:val="24"/>
          <w:szCs w:val="24"/>
        </w:rPr>
        <w:t xml:space="preserve">and reflect upon, regardless of who they are. Further, </w:t>
      </w:r>
      <w:r w:rsidRPr="00CF3053">
        <w:rPr>
          <w:rFonts w:cs="Times New Roman"/>
          <w:i/>
          <w:iCs/>
          <w:sz w:val="24"/>
          <w:szCs w:val="24"/>
        </w:rPr>
        <w:t>I</w:t>
      </w:r>
      <w:r w:rsidRPr="00CF3053">
        <w:rPr>
          <w:rFonts w:cs="Times New Roman"/>
          <w:sz w:val="24"/>
          <w:szCs w:val="24"/>
        </w:rPr>
        <w:t xml:space="preserve"> always have something to learn and improve upon. This sense of clear insufficiency is a frequent remark of </w:t>
      </w:r>
      <w:proofErr w:type="spellStart"/>
      <w:r w:rsidRPr="00CF3053">
        <w:rPr>
          <w:rFonts w:cs="Times New Roman"/>
          <w:sz w:val="24"/>
          <w:szCs w:val="24"/>
        </w:rPr>
        <w:t>Kongzi</w:t>
      </w:r>
      <w:proofErr w:type="spellEnd"/>
      <w:r w:rsidRPr="00CF3053">
        <w:rPr>
          <w:rFonts w:cs="Times New Roman"/>
          <w:sz w:val="24"/>
          <w:szCs w:val="24"/>
        </w:rPr>
        <w:t xml:space="preserve"> about himself. Read literally, he does not think that he is more diligent (7.33), loyal or trustworthy (5.28) than others. What he has going for him is that he never gets tired of learning, practicing or enjoining others to become good (7.2; 7.34). In his words, he excels at loving learning (5.28). </w:t>
      </w:r>
    </w:p>
    <w:p w14:paraId="1A6CD466" w14:textId="77777777"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While </w:t>
      </w:r>
      <w:proofErr w:type="spellStart"/>
      <w:r w:rsidRPr="00CF3053">
        <w:rPr>
          <w:rFonts w:cs="Times New Roman"/>
          <w:sz w:val="24"/>
          <w:szCs w:val="24"/>
        </w:rPr>
        <w:t>Kongzi</w:t>
      </w:r>
      <w:proofErr w:type="spellEnd"/>
      <w:r w:rsidRPr="00CF3053">
        <w:rPr>
          <w:rFonts w:cs="Times New Roman"/>
          <w:sz w:val="24"/>
          <w:szCs w:val="24"/>
        </w:rPr>
        <w:t xml:space="preserve"> makes no explicit comments on what “loving learning” is, based on discussion so far, loving learning at least involves the following. First and most basically, it involves teachability, that a lover of learning </w:t>
      </w:r>
      <w:proofErr w:type="gramStart"/>
      <w:r w:rsidRPr="00CF3053">
        <w:rPr>
          <w:rFonts w:cs="Times New Roman"/>
          <w:sz w:val="24"/>
          <w:szCs w:val="24"/>
        </w:rPr>
        <w:t>is capable of acknowledging</w:t>
      </w:r>
      <w:proofErr w:type="gramEnd"/>
      <w:r w:rsidRPr="00CF3053">
        <w:rPr>
          <w:rFonts w:cs="Times New Roman"/>
          <w:sz w:val="24"/>
          <w:szCs w:val="24"/>
        </w:rPr>
        <w:t xml:space="preserve"> her own mistakes and has the desire to improve. This implies a sense of self that is not full, but receptive and capable </w:t>
      </w:r>
      <w:r w:rsidRPr="00CF3053">
        <w:rPr>
          <w:rFonts w:cs="Times New Roman"/>
          <w:sz w:val="24"/>
          <w:szCs w:val="24"/>
        </w:rPr>
        <w:lastRenderedPageBreak/>
        <w:t>of learning more.</w:t>
      </w:r>
      <w:r w:rsidRPr="00CF3053">
        <w:rPr>
          <w:rStyle w:val="FootnoteReference"/>
          <w:rFonts w:cs="Times New Roman"/>
          <w:sz w:val="24"/>
          <w:szCs w:val="24"/>
        </w:rPr>
        <w:footnoteReference w:id="90"/>
      </w:r>
      <w:r w:rsidRPr="00CF3053">
        <w:rPr>
          <w:rFonts w:cs="Times New Roman"/>
          <w:sz w:val="24"/>
          <w:szCs w:val="24"/>
        </w:rPr>
        <w:t xml:space="preserve"> Second, it involves the right view that learning is done for oneself. Learning amounts to nothing less than changing and improving the whole of </w:t>
      </w:r>
      <w:proofErr w:type="gramStart"/>
      <w:r w:rsidRPr="00CF3053">
        <w:rPr>
          <w:rFonts w:cs="Times New Roman"/>
          <w:sz w:val="24"/>
          <w:szCs w:val="24"/>
        </w:rPr>
        <w:t>oneself, and</w:t>
      </w:r>
      <w:proofErr w:type="gramEnd"/>
      <w:r w:rsidRPr="00CF3053">
        <w:rPr>
          <w:rFonts w:cs="Times New Roman"/>
          <w:sz w:val="24"/>
          <w:szCs w:val="24"/>
        </w:rPr>
        <w:t xml:space="preserve"> should not be done for impressing others or other motives. Third, it involves the attitude that </w:t>
      </w:r>
      <w:bookmarkStart w:id="32" w:name="_Hlk68696167"/>
      <w:r w:rsidRPr="00CF3053">
        <w:rPr>
          <w:rFonts w:cs="Times New Roman"/>
          <w:sz w:val="24"/>
          <w:szCs w:val="24"/>
        </w:rPr>
        <w:t>others can always teach or warn me, and I always need to learn and improve, and the desire for ceaseless learning</w:t>
      </w:r>
      <w:bookmarkEnd w:id="32"/>
      <w:r w:rsidRPr="00CF3053">
        <w:rPr>
          <w:rFonts w:cs="Times New Roman"/>
          <w:sz w:val="24"/>
          <w:szCs w:val="24"/>
        </w:rPr>
        <w:t>.</w:t>
      </w:r>
      <w:r w:rsidRPr="00CF3053">
        <w:rPr>
          <w:rStyle w:val="FootnoteReference"/>
          <w:rFonts w:cs="Times New Roman"/>
          <w:sz w:val="24"/>
          <w:szCs w:val="24"/>
        </w:rPr>
        <w:footnoteReference w:id="91"/>
      </w:r>
      <w:r w:rsidRPr="00CF3053">
        <w:rPr>
          <w:rFonts w:cs="Times New Roman"/>
          <w:sz w:val="24"/>
          <w:szCs w:val="24"/>
        </w:rPr>
        <w:t xml:space="preserve"> This overall package of a right sense of self, right attitude towards learning, right attitude towards others and desire for learning as well as methodology for learning constitutes “loving learning.” </w:t>
      </w:r>
    </w:p>
    <w:p w14:paraId="5C1D10CA" w14:textId="77777777"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Understood this way, loving learning can develop a subtle kind of humility where the agent recognizes that one might never be fully adequate to the total task of learning, and any progress one makes is viewed with caution and vigilance. This sense of humility can be characterized as vigilance rooted in love and dedication to learning. To understand this notion of humility, it is important to appreciate the task of learning. </w:t>
      </w:r>
    </w:p>
    <w:p w14:paraId="6219F703" w14:textId="3A551BBA"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Learning, as expressed in 14.24, should be done for oneself. As the above discussion indicates, this notion of learning is not merely intellectual or epistemic, but existential in the sense that that which </w:t>
      </w:r>
      <w:r w:rsidR="001B0B71">
        <w:rPr>
          <w:rFonts w:cs="Times New Roman"/>
          <w:sz w:val="24"/>
          <w:szCs w:val="24"/>
        </w:rPr>
        <w:t xml:space="preserve">is </w:t>
      </w:r>
      <w:r w:rsidRPr="00CF3053">
        <w:rPr>
          <w:rFonts w:cs="Times New Roman"/>
          <w:sz w:val="24"/>
          <w:szCs w:val="24"/>
        </w:rPr>
        <w:t>to be changed and improved is the entire person. From the deepest of one’s psychology to the slightest of one’s conduct, rarely anything can be left out of the range of learning and improvement. The demand of such</w:t>
      </w:r>
      <w:r w:rsidR="001B0B71">
        <w:rPr>
          <w:rFonts w:cs="Times New Roman"/>
          <w:sz w:val="24"/>
          <w:szCs w:val="24"/>
        </w:rPr>
        <w:t xml:space="preserve"> a</w:t>
      </w:r>
      <w:r w:rsidRPr="00CF3053">
        <w:rPr>
          <w:rFonts w:cs="Times New Roman"/>
          <w:sz w:val="24"/>
          <w:szCs w:val="24"/>
        </w:rPr>
        <w:t xml:space="preserve"> task is difficult to comprehend partly due to its sheer size and scope. I highlight one of the struggles involved in the task that has to do with knowing ourselves. For that, let us go back to Zigong. </w:t>
      </w:r>
    </w:p>
    <w:p w14:paraId="192621EF" w14:textId="6E158B54" w:rsidR="00CF3053" w:rsidRPr="00CF3053" w:rsidRDefault="00CF3053" w:rsidP="00CF3053">
      <w:pPr>
        <w:spacing w:line="480" w:lineRule="auto"/>
        <w:ind w:firstLine="720"/>
        <w:rPr>
          <w:rFonts w:cs="Times New Roman"/>
          <w:sz w:val="24"/>
          <w:szCs w:val="24"/>
        </w:rPr>
      </w:pPr>
      <w:r w:rsidRPr="00CF3053">
        <w:rPr>
          <w:rFonts w:cs="Times New Roman"/>
          <w:sz w:val="24"/>
          <w:szCs w:val="24"/>
        </w:rPr>
        <w:lastRenderedPageBreak/>
        <w:t xml:space="preserve">If we imagine how Zigong would react after </w:t>
      </w:r>
      <w:proofErr w:type="spellStart"/>
      <w:r w:rsidRPr="00CF3053">
        <w:rPr>
          <w:rFonts w:cs="Times New Roman"/>
          <w:sz w:val="24"/>
          <w:szCs w:val="24"/>
        </w:rPr>
        <w:t>Kongzi</w:t>
      </w:r>
      <w:proofErr w:type="spellEnd"/>
      <w:r w:rsidRPr="00CF3053">
        <w:rPr>
          <w:rFonts w:cs="Times New Roman"/>
          <w:sz w:val="24"/>
          <w:szCs w:val="24"/>
        </w:rPr>
        <w:t xml:space="preserve"> criticizes him for making quick and negative judgments of others, a reasonable guess is that he would stop doing that. Whenever his urge to judge others occurs, he might check himself and recall </w:t>
      </w:r>
      <w:proofErr w:type="spellStart"/>
      <w:r w:rsidRPr="00CF3053">
        <w:rPr>
          <w:rFonts w:cs="Times New Roman"/>
          <w:sz w:val="24"/>
          <w:szCs w:val="24"/>
        </w:rPr>
        <w:t>Kongzi’s</w:t>
      </w:r>
      <w:proofErr w:type="spellEnd"/>
      <w:r w:rsidRPr="00CF3053">
        <w:rPr>
          <w:rFonts w:cs="Times New Roman"/>
          <w:sz w:val="24"/>
          <w:szCs w:val="24"/>
        </w:rPr>
        <w:t xml:space="preserve"> comments on </w:t>
      </w:r>
      <w:proofErr w:type="spellStart"/>
      <w:r w:rsidRPr="00CF3053">
        <w:rPr>
          <w:rFonts w:cs="Times New Roman"/>
          <w:sz w:val="24"/>
          <w:szCs w:val="24"/>
        </w:rPr>
        <w:t>Guanzhong</w:t>
      </w:r>
      <w:proofErr w:type="spellEnd"/>
      <w:r w:rsidRPr="00CF3053">
        <w:rPr>
          <w:rFonts w:cs="Times New Roman"/>
          <w:sz w:val="24"/>
          <w:szCs w:val="24"/>
        </w:rPr>
        <w:t xml:space="preserve"> as a warning that he often fails to appreciate the achievements of others. He might further recall </w:t>
      </w:r>
      <w:proofErr w:type="spellStart"/>
      <w:r w:rsidRPr="00CF3053">
        <w:rPr>
          <w:rFonts w:cs="Times New Roman"/>
          <w:sz w:val="24"/>
          <w:szCs w:val="24"/>
        </w:rPr>
        <w:t>Kongzi’s</w:t>
      </w:r>
      <w:proofErr w:type="spellEnd"/>
      <w:r w:rsidRPr="00CF3053">
        <w:rPr>
          <w:rFonts w:cs="Times New Roman"/>
          <w:sz w:val="24"/>
          <w:szCs w:val="24"/>
        </w:rPr>
        <w:t xml:space="preserve"> teaching that he should always aim to work on himself and quit the habit of criticizing others. Nonetheless, he may still fail to understand that the problem is not judging </w:t>
      </w:r>
      <w:proofErr w:type="gramStart"/>
      <w:r w:rsidRPr="00CF3053">
        <w:rPr>
          <w:rFonts w:cs="Times New Roman"/>
          <w:sz w:val="24"/>
          <w:szCs w:val="24"/>
        </w:rPr>
        <w:t>others, and</w:t>
      </w:r>
      <w:proofErr w:type="gramEnd"/>
      <w:r w:rsidRPr="00CF3053">
        <w:rPr>
          <w:rFonts w:cs="Times New Roman"/>
          <w:sz w:val="24"/>
          <w:szCs w:val="24"/>
        </w:rPr>
        <w:t xml:space="preserve"> cannot be solved by recalling concrete teachings (5.12), for the counter measures deal with manifestations of a wavering mind, rather than changing the attitude and determination that are at the heart of the problems. Even if the specific habit is curbed, the lack of determination could set in motion other problems such as the desire for earning recognition for sake of reputation. In other words, if the deeper problem is not addressed, working on the obvious, superficial problems could hardly make any meaningful progress. </w:t>
      </w:r>
    </w:p>
    <w:p w14:paraId="66F07A41" w14:textId="4A834E20"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It is easy to retrospectively criticize Zigong from a third-person perspective. Coming down to </w:t>
      </w:r>
      <w:proofErr w:type="gramStart"/>
      <w:r w:rsidRPr="00CF3053">
        <w:rPr>
          <w:rFonts w:cs="Times New Roman"/>
          <w:sz w:val="24"/>
          <w:szCs w:val="24"/>
        </w:rPr>
        <w:t>each individual</w:t>
      </w:r>
      <w:proofErr w:type="gramEnd"/>
      <w:r w:rsidRPr="00CF3053">
        <w:rPr>
          <w:rFonts w:cs="Times New Roman"/>
          <w:sz w:val="24"/>
          <w:szCs w:val="24"/>
        </w:rPr>
        <w:t xml:space="preserve"> who desires to change oneself but encounters unique, idiosyncratic problems, how can one be sure whether one is merely addressing manifestations of deeper issues, rather than the issues themselves? The point of Zigong’s imaginary reaction is not that Zigong is an utter failure, but that for every individual engaging in the project of changing oneself, there lie deep uncertainties and struggles in the first step of knowing oneself. From a first-person perspective, how do and can we even know that we are in fact identifying and addressing the deeper issue rather than one of its manifestations when we can hardly take an unbiased look upon ourselves? And can we ever be certain that the improvements we made would never be reversed, that we would never repeat the old mistakes we always make due to laziness, arrogance, the recalcitrant nature of habits, or the subtle desire to self-deceive when challenge is </w:t>
      </w:r>
      <w:proofErr w:type="gramStart"/>
      <w:r w:rsidRPr="00CF3053">
        <w:rPr>
          <w:rFonts w:cs="Times New Roman"/>
          <w:sz w:val="24"/>
          <w:szCs w:val="24"/>
        </w:rPr>
        <w:t>high</w:t>
      </w:r>
      <w:proofErr w:type="gramEnd"/>
      <w:r w:rsidRPr="00CF3053">
        <w:rPr>
          <w:rFonts w:cs="Times New Roman"/>
          <w:sz w:val="24"/>
          <w:szCs w:val="24"/>
        </w:rPr>
        <w:t xml:space="preserve"> and effort </w:t>
      </w:r>
      <w:r w:rsidRPr="00CF3053">
        <w:rPr>
          <w:rFonts w:cs="Times New Roman"/>
          <w:sz w:val="24"/>
          <w:szCs w:val="24"/>
        </w:rPr>
        <w:lastRenderedPageBreak/>
        <w:t>yields no clear result?</w:t>
      </w:r>
      <w:r w:rsidRPr="00CF3053">
        <w:rPr>
          <w:rStyle w:val="FootnoteReference"/>
          <w:rFonts w:cs="Times New Roman"/>
          <w:sz w:val="24"/>
          <w:szCs w:val="24"/>
        </w:rPr>
        <w:footnoteReference w:id="92"/>
      </w:r>
      <w:r w:rsidRPr="00CF3053">
        <w:rPr>
          <w:rFonts w:cs="Times New Roman"/>
          <w:sz w:val="24"/>
          <w:szCs w:val="24"/>
        </w:rPr>
        <w:t xml:space="preserve"> These are but some problems of the learning project. Recognizing such weighty challenges of self-cultivation provide</w:t>
      </w:r>
      <w:r w:rsidR="001B0B71">
        <w:rPr>
          <w:rFonts w:cs="Times New Roman"/>
          <w:sz w:val="24"/>
          <w:szCs w:val="24"/>
        </w:rPr>
        <w:t>s</w:t>
      </w:r>
      <w:r w:rsidRPr="00CF3053">
        <w:rPr>
          <w:rFonts w:cs="Times New Roman"/>
          <w:sz w:val="24"/>
          <w:szCs w:val="24"/>
        </w:rPr>
        <w:t xml:space="preserve"> us another interpretation of 8.17, with which I summarize this strand of Confucian humility that focuses on the learning agent. </w:t>
      </w:r>
    </w:p>
    <w:p w14:paraId="328F04CD" w14:textId="3D0DF142" w:rsidR="00CF3053" w:rsidRPr="00CF3053" w:rsidRDefault="00CF3053" w:rsidP="00CF3053">
      <w:pPr>
        <w:spacing w:line="480" w:lineRule="auto"/>
        <w:ind w:firstLine="720"/>
        <w:rPr>
          <w:rFonts w:cs="Times New Roman"/>
          <w:sz w:val="24"/>
          <w:szCs w:val="24"/>
        </w:rPr>
      </w:pPr>
      <w:r w:rsidRPr="00CF3053">
        <w:rPr>
          <w:rFonts w:cs="Times New Roman"/>
          <w:sz w:val="24"/>
          <w:szCs w:val="24"/>
        </w:rPr>
        <w:t>8.17 says that “</w:t>
      </w:r>
      <w:bookmarkStart w:id="33" w:name="_Hlk68696399"/>
      <w:r w:rsidRPr="00CF3053">
        <w:rPr>
          <w:rFonts w:cs="Times New Roman"/>
          <w:sz w:val="24"/>
          <w:szCs w:val="24"/>
        </w:rPr>
        <w:t>learn as if you cannot catch up, and with the fear of losing it [</w:t>
      </w:r>
      <w:proofErr w:type="gramStart"/>
      <w:r w:rsidRPr="00CF3053">
        <w:rPr>
          <w:rFonts w:cs="Times New Roman"/>
          <w:sz w:val="24"/>
          <w:szCs w:val="24"/>
        </w:rPr>
        <w:t>i.e.</w:t>
      </w:r>
      <w:proofErr w:type="gramEnd"/>
      <w:r w:rsidRPr="00CF3053">
        <w:rPr>
          <w:rFonts w:cs="Times New Roman"/>
          <w:sz w:val="24"/>
          <w:szCs w:val="24"/>
        </w:rPr>
        <w:t xml:space="preserve"> what has attained] </w:t>
      </w:r>
      <w:bookmarkStart w:id="34" w:name="_Hlk68696389"/>
      <w:bookmarkEnd w:id="33"/>
      <w:proofErr w:type="spellStart"/>
      <w:r w:rsidRPr="00CF3053">
        <w:rPr>
          <w:rFonts w:eastAsia="MS Mincho" w:cs="Times New Roman"/>
          <w:sz w:val="24"/>
          <w:szCs w:val="24"/>
        </w:rPr>
        <w:t>學如不及，猶恐失之</w:t>
      </w:r>
      <w:bookmarkEnd w:id="34"/>
      <w:proofErr w:type="spellEnd"/>
      <w:r w:rsidRPr="00CF3053">
        <w:rPr>
          <w:rFonts w:cs="Times New Roman"/>
          <w:sz w:val="24"/>
          <w:szCs w:val="24"/>
        </w:rPr>
        <w:t xml:space="preserve">.” Wang </w:t>
      </w:r>
      <w:proofErr w:type="spellStart"/>
      <w:r w:rsidRPr="00CF3053">
        <w:rPr>
          <w:rFonts w:cs="Times New Roman"/>
          <w:sz w:val="24"/>
          <w:szCs w:val="24"/>
        </w:rPr>
        <w:t>Fuzhi</w:t>
      </w:r>
      <w:proofErr w:type="spellEnd"/>
      <w:r w:rsidRPr="00CF3053">
        <w:rPr>
          <w:rFonts w:cs="Times New Roman"/>
          <w:sz w:val="24"/>
          <w:szCs w:val="24"/>
        </w:rPr>
        <w:t xml:space="preserve"> </w:t>
      </w:r>
      <w:proofErr w:type="spellStart"/>
      <w:r w:rsidRPr="00CF3053">
        <w:rPr>
          <w:rFonts w:eastAsia="MS Gothic" w:cs="Times New Roman"/>
          <w:sz w:val="24"/>
          <w:szCs w:val="24"/>
        </w:rPr>
        <w:t>王夫之</w:t>
      </w:r>
      <w:r w:rsidRPr="00CF3053">
        <w:rPr>
          <w:rFonts w:cs="Times New Roman"/>
          <w:sz w:val="24"/>
          <w:szCs w:val="24"/>
        </w:rPr>
        <w:t>comments</w:t>
      </w:r>
      <w:proofErr w:type="spellEnd"/>
      <w:r w:rsidRPr="00CF3053">
        <w:rPr>
          <w:rFonts w:cs="Times New Roman"/>
          <w:sz w:val="24"/>
          <w:szCs w:val="24"/>
        </w:rPr>
        <w:t xml:space="preserve"> that “learn as if you cannot catch up” addresses what one has not learned, while “learn with the fear of losing it” addresses what one has learned.</w:t>
      </w:r>
      <w:r w:rsidRPr="00CF3053">
        <w:rPr>
          <w:rStyle w:val="FootnoteReference"/>
          <w:rFonts w:cs="Times New Roman"/>
          <w:sz w:val="24"/>
          <w:szCs w:val="24"/>
        </w:rPr>
        <w:footnoteReference w:id="93"/>
      </w:r>
      <w:r w:rsidRPr="00CF3053">
        <w:rPr>
          <w:rFonts w:cs="Times New Roman"/>
          <w:sz w:val="24"/>
          <w:szCs w:val="24"/>
        </w:rPr>
        <w:t xml:space="preserve"> Thus, this passage offers a recommendation that one should be concerned and diligent before </w:t>
      </w:r>
      <w:r w:rsidRPr="00CF3053">
        <w:rPr>
          <w:rFonts w:cs="Times New Roman"/>
          <w:i/>
          <w:iCs/>
          <w:sz w:val="24"/>
          <w:szCs w:val="24"/>
        </w:rPr>
        <w:t>and</w:t>
      </w:r>
      <w:r w:rsidRPr="00CF3053">
        <w:rPr>
          <w:rFonts w:cs="Times New Roman"/>
          <w:sz w:val="24"/>
          <w:szCs w:val="24"/>
        </w:rPr>
        <w:t xml:space="preserve"> after learning something </w:t>
      </w:r>
      <w:proofErr w:type="gramStart"/>
      <w:r w:rsidRPr="00CF3053">
        <w:rPr>
          <w:rFonts w:cs="Times New Roman"/>
          <w:sz w:val="24"/>
          <w:szCs w:val="24"/>
        </w:rPr>
        <w:t>so as to</w:t>
      </w:r>
      <w:proofErr w:type="gramEnd"/>
      <w:r w:rsidRPr="00CF3053">
        <w:rPr>
          <w:rFonts w:cs="Times New Roman"/>
          <w:sz w:val="24"/>
          <w:szCs w:val="24"/>
        </w:rPr>
        <w:t xml:space="preserve"> secure knowledge in one’s mind. Li Chong </w:t>
      </w:r>
      <w:proofErr w:type="spellStart"/>
      <w:r w:rsidRPr="00CF3053">
        <w:rPr>
          <w:rFonts w:eastAsia="MS Gothic" w:cs="Times New Roman"/>
          <w:sz w:val="24"/>
          <w:szCs w:val="24"/>
        </w:rPr>
        <w:t>李充</w:t>
      </w:r>
      <w:r w:rsidRPr="00CF3053">
        <w:rPr>
          <w:rFonts w:cs="Times New Roman"/>
          <w:sz w:val="24"/>
          <w:szCs w:val="24"/>
        </w:rPr>
        <w:t>points</w:t>
      </w:r>
      <w:proofErr w:type="spellEnd"/>
      <w:r w:rsidRPr="00CF3053">
        <w:rPr>
          <w:rFonts w:cs="Times New Roman"/>
          <w:sz w:val="24"/>
          <w:szCs w:val="24"/>
        </w:rPr>
        <w:t xml:space="preserve"> out one challenge of learning </w:t>
      </w:r>
      <w:r w:rsidR="001B0B71">
        <w:rPr>
          <w:rFonts w:cs="Times New Roman"/>
          <w:sz w:val="24"/>
          <w:szCs w:val="24"/>
        </w:rPr>
        <w:t xml:space="preserve">– </w:t>
      </w:r>
      <w:r w:rsidRPr="00CF3053">
        <w:rPr>
          <w:rFonts w:cs="Times New Roman"/>
          <w:sz w:val="24"/>
          <w:szCs w:val="24"/>
        </w:rPr>
        <w:t xml:space="preserve">it does not immediately </w:t>
      </w:r>
      <w:proofErr w:type="gramStart"/>
      <w:r w:rsidRPr="00CF3053">
        <w:rPr>
          <w:rFonts w:cs="Times New Roman"/>
          <w:sz w:val="24"/>
          <w:szCs w:val="24"/>
        </w:rPr>
        <w:t>brings</w:t>
      </w:r>
      <w:proofErr w:type="gramEnd"/>
      <w:r w:rsidRPr="00CF3053">
        <w:rPr>
          <w:rFonts w:cs="Times New Roman"/>
          <w:sz w:val="24"/>
          <w:szCs w:val="24"/>
        </w:rPr>
        <w:t xml:space="preserve"> profit, but does make one weary.</w:t>
      </w:r>
      <w:r w:rsidRPr="00CF3053">
        <w:rPr>
          <w:rStyle w:val="FootnoteReference"/>
          <w:rFonts w:cs="Times New Roman"/>
          <w:sz w:val="24"/>
          <w:szCs w:val="24"/>
        </w:rPr>
        <w:footnoteReference w:id="94"/>
      </w:r>
      <w:r w:rsidRPr="00CF3053">
        <w:rPr>
          <w:rFonts w:cs="Times New Roman"/>
          <w:sz w:val="24"/>
          <w:szCs w:val="24"/>
        </w:rPr>
        <w:t xml:space="preserve"> </w:t>
      </w:r>
      <w:proofErr w:type="spellStart"/>
      <w:r w:rsidRPr="00CF3053">
        <w:rPr>
          <w:rFonts w:cs="Times New Roman"/>
          <w:sz w:val="24"/>
          <w:szCs w:val="24"/>
        </w:rPr>
        <w:t>Miu</w:t>
      </w:r>
      <w:proofErr w:type="spellEnd"/>
      <w:r w:rsidRPr="00CF3053">
        <w:rPr>
          <w:rFonts w:cs="Times New Roman"/>
          <w:sz w:val="24"/>
          <w:szCs w:val="24"/>
        </w:rPr>
        <w:t xml:space="preserve"> </w:t>
      </w:r>
      <w:proofErr w:type="spellStart"/>
      <w:r w:rsidRPr="00CF3053">
        <w:rPr>
          <w:rFonts w:cs="Times New Roman"/>
          <w:sz w:val="24"/>
          <w:szCs w:val="24"/>
        </w:rPr>
        <w:t>Xie</w:t>
      </w:r>
      <w:r w:rsidRPr="00CF3053">
        <w:rPr>
          <w:rFonts w:eastAsia="MS Gothic" w:cs="Times New Roman"/>
          <w:sz w:val="24"/>
          <w:szCs w:val="24"/>
        </w:rPr>
        <w:t>繆協</w:t>
      </w:r>
      <w:proofErr w:type="spellEnd"/>
      <w:r w:rsidRPr="00CF3053">
        <w:rPr>
          <w:rFonts w:cs="Times New Roman"/>
          <w:sz w:val="24"/>
          <w:szCs w:val="24"/>
        </w:rPr>
        <w:t xml:space="preserve"> speaks another challenge that the “usefulness” of learning comes about only after persistent striving.</w:t>
      </w:r>
      <w:r w:rsidRPr="00CF3053">
        <w:rPr>
          <w:rStyle w:val="FootnoteReference"/>
          <w:rFonts w:cs="Times New Roman"/>
          <w:sz w:val="24"/>
          <w:szCs w:val="24"/>
        </w:rPr>
        <w:footnoteReference w:id="95"/>
      </w:r>
      <w:r w:rsidRPr="00CF3053">
        <w:rPr>
          <w:rFonts w:cs="Times New Roman"/>
          <w:sz w:val="24"/>
          <w:szCs w:val="24"/>
        </w:rPr>
        <w:t xml:space="preserve"> The toil of learning and the lack of immediate “return” make it easy for learners to become discouraged and even indolent. For Li and </w:t>
      </w:r>
      <w:proofErr w:type="spellStart"/>
      <w:r w:rsidRPr="00CF3053">
        <w:rPr>
          <w:rFonts w:cs="Times New Roman"/>
          <w:sz w:val="24"/>
          <w:szCs w:val="24"/>
        </w:rPr>
        <w:t>Miu</w:t>
      </w:r>
      <w:proofErr w:type="spellEnd"/>
      <w:r w:rsidRPr="00CF3053">
        <w:rPr>
          <w:rFonts w:cs="Times New Roman"/>
          <w:sz w:val="24"/>
          <w:szCs w:val="24"/>
        </w:rPr>
        <w:t xml:space="preserve">, being concerned and fearful about learning, therefore, helps keep learners on track. </w:t>
      </w:r>
    </w:p>
    <w:p w14:paraId="33B8099C" w14:textId="14A073FD"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These commentaries treat 8.17 as offering strategic advice for learning better. Based on discussion above, I suggest another interpretation. 8.17 can be descriptive. It describes the first-person experience of a learner who recognizes the weight and difficulty of changing oneself, who speaks that learning and making improvement is so fraught with uncertainty because one does not know whether one has really gotten it. Even after one has made some hard-earned progress, there is a fear of losing it and reversing backward. The kind of self-doubt expressed </w:t>
      </w:r>
      <w:r w:rsidRPr="00CF3053">
        <w:rPr>
          <w:rFonts w:cs="Times New Roman"/>
          <w:sz w:val="24"/>
          <w:szCs w:val="24"/>
        </w:rPr>
        <w:lastRenderedPageBreak/>
        <w:t xml:space="preserve">here is not the kind that endlessly questions (and subsequently rejects) every single bit of one’s moral progress. Rather, such awareness of the challenge and demand of the learning project already marks </w:t>
      </w:r>
      <w:r w:rsidR="001B0B71">
        <w:rPr>
          <w:rFonts w:cs="Times New Roman"/>
          <w:sz w:val="24"/>
          <w:szCs w:val="24"/>
        </w:rPr>
        <w:t xml:space="preserve">a </w:t>
      </w:r>
      <w:r w:rsidRPr="00CF3053">
        <w:rPr>
          <w:rFonts w:cs="Times New Roman"/>
          <w:sz w:val="24"/>
          <w:szCs w:val="24"/>
        </w:rPr>
        <w:t>certain moral state of development that likely goes amiss by learners not yet dedicated and developed. Thus, I contend that the kind of self-doubt we see here expresses vigilance, alertness, and caution based on a clear awareness that changing oneself is an on-going struggle with oneself.</w:t>
      </w:r>
      <w:r w:rsidRPr="00CF3053">
        <w:rPr>
          <w:rStyle w:val="FootnoteReference"/>
          <w:rFonts w:cs="Times New Roman"/>
          <w:sz w:val="24"/>
          <w:szCs w:val="24"/>
        </w:rPr>
        <w:footnoteReference w:id="96"/>
      </w:r>
      <w:r w:rsidRPr="00CF3053">
        <w:rPr>
          <w:rFonts w:cs="Times New Roman"/>
          <w:sz w:val="24"/>
          <w:szCs w:val="24"/>
        </w:rPr>
        <w:t xml:space="preserve"> Progress is marked as progress but does not give the confidence that “I” am thereby </w:t>
      </w:r>
      <w:r w:rsidRPr="00CF3053">
        <w:rPr>
          <w:rFonts w:cs="Times New Roman"/>
          <w:i/>
          <w:iCs/>
          <w:sz w:val="24"/>
          <w:szCs w:val="24"/>
        </w:rPr>
        <w:t xml:space="preserve">good. </w:t>
      </w:r>
      <w:r w:rsidRPr="00CF3053">
        <w:rPr>
          <w:rFonts w:cs="Times New Roman"/>
          <w:sz w:val="24"/>
          <w:szCs w:val="24"/>
        </w:rPr>
        <w:t xml:space="preserve">The journey of self-cultivation forever continues. Such vigilance of oneself is rooted in deep and active engagement with learning or in short, love of learning in the sense discussed above. </w:t>
      </w:r>
    </w:p>
    <w:p w14:paraId="3655770B" w14:textId="77777777"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In summary, we see one strand of Confucian humility that focuses on improving oneself. There is the basic kind where acknowledgement of self-insufficiency gives motivation to improve oneself. There is a subtler kind coming out of dedication and love towards learning. It is through prolonged engagement and unabated desires towards learning that one appreciates the difficulties and struggles of changing oneself. Such realization humbles the agent and generates an overall posture of vigilance and watchfulness. The subtler kind of humility is more prevalent in and unique to the </w:t>
      </w:r>
      <w:proofErr w:type="gramStart"/>
      <w:r w:rsidRPr="00CF3053">
        <w:rPr>
          <w:rFonts w:cs="Times New Roman"/>
          <w:i/>
          <w:iCs/>
          <w:sz w:val="24"/>
          <w:szCs w:val="24"/>
        </w:rPr>
        <w:t>Analects</w:t>
      </w:r>
      <w:r w:rsidRPr="00CF3053">
        <w:rPr>
          <w:rFonts w:cs="Times New Roman"/>
          <w:sz w:val="24"/>
          <w:szCs w:val="24"/>
        </w:rPr>
        <w:t>, and</w:t>
      </w:r>
      <w:proofErr w:type="gramEnd"/>
      <w:r w:rsidRPr="00CF3053">
        <w:rPr>
          <w:rFonts w:cs="Times New Roman"/>
          <w:sz w:val="24"/>
          <w:szCs w:val="24"/>
        </w:rPr>
        <w:t xml:space="preserve"> can be characterized as vigilance rooted in loving learning. </w:t>
      </w:r>
      <w:r w:rsidRPr="00CF3053">
        <w:rPr>
          <w:rFonts w:cs="Times New Roman"/>
          <w:i/>
          <w:iCs/>
          <w:sz w:val="24"/>
          <w:szCs w:val="24"/>
        </w:rPr>
        <w:t xml:space="preserve"> </w:t>
      </w:r>
    </w:p>
    <w:p w14:paraId="07C4C4E1" w14:textId="77777777" w:rsidR="00CF3053" w:rsidRPr="00CF3053" w:rsidRDefault="00CF3053" w:rsidP="00CF3053">
      <w:pPr>
        <w:pStyle w:val="Heading3"/>
        <w:rPr>
          <w:rFonts w:ascii="Times New Roman" w:hAnsi="Times New Roman" w:cs="Times New Roman"/>
        </w:rPr>
      </w:pPr>
      <w:bookmarkStart w:id="35" w:name="_Toc102412732"/>
      <w:r w:rsidRPr="00CF3053">
        <w:rPr>
          <w:rFonts w:ascii="Times New Roman" w:hAnsi="Times New Roman" w:cs="Times New Roman"/>
        </w:rPr>
        <w:t>3.2. Second Strand of Confucian Humility: Devotion to Responsibility</w:t>
      </w:r>
      <w:bookmarkEnd w:id="35"/>
      <w:r w:rsidRPr="00CF3053">
        <w:rPr>
          <w:rFonts w:ascii="Times New Roman" w:hAnsi="Times New Roman" w:cs="Times New Roman"/>
        </w:rPr>
        <w:t xml:space="preserve"> </w:t>
      </w:r>
    </w:p>
    <w:p w14:paraId="22C1A416" w14:textId="73A1E837"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In contrast to the first strand of Confucian humility, the second strand does not take the self as the object of concern. Rather, it redirects one’s attention away from oneself towards other people and matters. This is not to say that other people are not important in the first strand. Already present in the discussion of loving learning is a need for others. The recognition of self-insufficiency and the great difficulties of changing oneself is at the same time a recognition that </w:t>
      </w:r>
      <w:r w:rsidRPr="00CF3053">
        <w:rPr>
          <w:rFonts w:cs="Times New Roman"/>
          <w:sz w:val="24"/>
          <w:szCs w:val="24"/>
        </w:rPr>
        <w:lastRenderedPageBreak/>
        <w:t xml:space="preserve">“I” need help from others. Nonetheless, as 4.22 and 7.12 make clear, considerations of others serve to inspire or warn oneself. Other people are worthy objects of learning for self-improvement, and attention is given to how </w:t>
      </w:r>
      <w:r w:rsidRPr="00CF3053">
        <w:rPr>
          <w:rFonts w:cs="Times New Roman"/>
          <w:i/>
          <w:sz w:val="24"/>
          <w:szCs w:val="24"/>
        </w:rPr>
        <w:t>I</w:t>
      </w:r>
      <w:r w:rsidRPr="00CF3053">
        <w:rPr>
          <w:rFonts w:cs="Times New Roman"/>
          <w:sz w:val="24"/>
          <w:szCs w:val="24"/>
        </w:rPr>
        <w:t xml:space="preserve"> can improve. In the second strand of humility, various concerns of the </w:t>
      </w:r>
      <w:proofErr w:type="spellStart"/>
      <w:r w:rsidRPr="00CF3053">
        <w:rPr>
          <w:rFonts w:cs="Times New Roman"/>
          <w:sz w:val="24"/>
          <w:szCs w:val="24"/>
        </w:rPr>
        <w:t>self recede</w:t>
      </w:r>
      <w:proofErr w:type="spellEnd"/>
      <w:r w:rsidRPr="00CF3053">
        <w:rPr>
          <w:rFonts w:cs="Times New Roman"/>
          <w:sz w:val="24"/>
          <w:szCs w:val="24"/>
        </w:rPr>
        <w:t xml:space="preserve"> and give space to consideration of other people and matters in terms of their needs and demands. The starting point for understanding the second strand is an awareness that others are equally capable of helping and harming us. Allow me to elaborate. </w:t>
      </w:r>
    </w:p>
    <w:p w14:paraId="79C0AA3E" w14:textId="649B83F5"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The help we receive from others range far and deep. In fact, we receive help ever since we are born. </w:t>
      </w:r>
      <w:proofErr w:type="spellStart"/>
      <w:r w:rsidRPr="00CF3053">
        <w:rPr>
          <w:rFonts w:cs="Times New Roman"/>
          <w:sz w:val="24"/>
          <w:szCs w:val="24"/>
        </w:rPr>
        <w:t>Kongzi</w:t>
      </w:r>
      <w:proofErr w:type="spellEnd"/>
      <w:r w:rsidRPr="00CF3053">
        <w:rPr>
          <w:rFonts w:cs="Times New Roman"/>
          <w:sz w:val="24"/>
          <w:szCs w:val="24"/>
        </w:rPr>
        <w:t xml:space="preserve"> points out that babes born into the world require three years of fostering from parents before they can leave parents’ cradle and we should remember this fact with deep gratitude (17.21). As we grow up, different people with different relations enter our lives. They make obvious the problems we have but cannot see, stimulate us with ideas we understand but have not thought of (3.8), inspire and motivate us when we doubt our path (15.2), and accompany and provide us indispensable human warmth through disappointments and sorrow (9.12). </w:t>
      </w:r>
    </w:p>
    <w:p w14:paraId="6F500CF3" w14:textId="7AD803DD" w:rsidR="00CF3053" w:rsidRPr="00CF3053" w:rsidRDefault="00CF3053" w:rsidP="00CF3053">
      <w:pPr>
        <w:spacing w:line="480" w:lineRule="auto"/>
        <w:ind w:firstLine="720"/>
        <w:rPr>
          <w:rFonts w:cs="Times New Roman"/>
          <w:sz w:val="24"/>
          <w:szCs w:val="24"/>
          <w:shd w:val="clear" w:color="auto" w:fill="FFFFFF"/>
        </w:rPr>
      </w:pPr>
      <w:r w:rsidRPr="00CF3053">
        <w:rPr>
          <w:rFonts w:cs="Times New Roman"/>
          <w:sz w:val="24"/>
          <w:szCs w:val="24"/>
        </w:rPr>
        <w:t xml:space="preserve">Other than contemporaries living in the same age as us, we also receive help from ancestors whose contributions benefit generations afterwards. Here, the discussion of </w:t>
      </w:r>
      <w:proofErr w:type="spellStart"/>
      <w:r w:rsidRPr="00CF3053">
        <w:rPr>
          <w:rFonts w:cs="Times New Roman"/>
          <w:sz w:val="24"/>
          <w:szCs w:val="24"/>
        </w:rPr>
        <w:t>Guanzhong</w:t>
      </w:r>
      <w:proofErr w:type="spellEnd"/>
      <w:r w:rsidRPr="00CF3053">
        <w:rPr>
          <w:rFonts w:cs="Times New Roman"/>
          <w:sz w:val="24"/>
          <w:szCs w:val="24"/>
        </w:rPr>
        <w:t xml:space="preserve"> takes on a new significance. </w:t>
      </w:r>
      <w:proofErr w:type="spellStart"/>
      <w:r w:rsidRPr="00CF3053">
        <w:rPr>
          <w:rFonts w:cs="Times New Roman"/>
          <w:sz w:val="24"/>
          <w:szCs w:val="24"/>
        </w:rPr>
        <w:t>Kongzi</w:t>
      </w:r>
      <w:proofErr w:type="spellEnd"/>
      <w:r w:rsidRPr="00CF3053">
        <w:rPr>
          <w:rFonts w:cs="Times New Roman"/>
          <w:sz w:val="24"/>
          <w:szCs w:val="24"/>
        </w:rPr>
        <w:t xml:space="preserve"> says that </w:t>
      </w:r>
      <w:proofErr w:type="spellStart"/>
      <w:r w:rsidRPr="00CF3053">
        <w:rPr>
          <w:rFonts w:cs="Times New Roman"/>
          <w:sz w:val="24"/>
          <w:szCs w:val="24"/>
        </w:rPr>
        <w:t>Guanzhong</w:t>
      </w:r>
      <w:proofErr w:type="spellEnd"/>
      <w:r w:rsidRPr="00CF3053">
        <w:rPr>
          <w:rFonts w:cs="Times New Roman"/>
          <w:sz w:val="24"/>
          <w:szCs w:val="24"/>
        </w:rPr>
        <w:t xml:space="preserve"> united the battling states. “Were</w:t>
      </w:r>
      <w:r w:rsidR="004034D0">
        <w:rPr>
          <w:rFonts w:cs="Times New Roman"/>
          <w:sz w:val="24"/>
          <w:szCs w:val="24"/>
        </w:rPr>
        <w:t xml:space="preserve"> it</w:t>
      </w:r>
      <w:r w:rsidRPr="00CF3053">
        <w:rPr>
          <w:rFonts w:cs="Times New Roman"/>
          <w:sz w:val="24"/>
          <w:szCs w:val="24"/>
        </w:rPr>
        <w:t xml:space="preserve"> not</w:t>
      </w:r>
      <w:r w:rsidR="004034D0">
        <w:rPr>
          <w:rFonts w:cs="Times New Roman"/>
          <w:sz w:val="24"/>
          <w:szCs w:val="24"/>
        </w:rPr>
        <w:t xml:space="preserve"> for</w:t>
      </w:r>
      <w:r w:rsidRPr="00CF3053">
        <w:rPr>
          <w:rFonts w:cs="Times New Roman"/>
          <w:sz w:val="24"/>
          <w:szCs w:val="24"/>
        </w:rPr>
        <w:t xml:space="preserve"> [him], we would be wearing our hair loose and fastening our robes on the left </w:t>
      </w:r>
      <w:proofErr w:type="spellStart"/>
      <w:r w:rsidRPr="00CF3053">
        <w:rPr>
          <w:rFonts w:eastAsia="MS Gothic" w:cs="Times New Roman"/>
          <w:sz w:val="24"/>
          <w:szCs w:val="24"/>
          <w:shd w:val="clear" w:color="auto" w:fill="FFFFFF"/>
        </w:rPr>
        <w:t>微管仲，吾其被髮左衽矣</w:t>
      </w:r>
      <w:proofErr w:type="spellEnd"/>
      <w:r w:rsidRPr="00CF3053">
        <w:rPr>
          <w:rFonts w:cs="Times New Roman"/>
          <w:sz w:val="24"/>
          <w:szCs w:val="24"/>
          <w:shd w:val="clear" w:color="auto" w:fill="FFFFFF"/>
        </w:rPr>
        <w:t xml:space="preserve">” (14.17). In other words, </w:t>
      </w:r>
      <w:proofErr w:type="spellStart"/>
      <w:r w:rsidRPr="00CF3053">
        <w:rPr>
          <w:rFonts w:cs="Times New Roman"/>
          <w:sz w:val="24"/>
          <w:szCs w:val="24"/>
          <w:shd w:val="clear" w:color="auto" w:fill="FFFFFF"/>
        </w:rPr>
        <w:t>Guanzhong’s</w:t>
      </w:r>
      <w:proofErr w:type="spellEnd"/>
      <w:r w:rsidRPr="00CF3053">
        <w:rPr>
          <w:rFonts w:cs="Times New Roman"/>
          <w:sz w:val="24"/>
          <w:szCs w:val="24"/>
          <w:shd w:val="clear" w:color="auto" w:fill="FFFFFF"/>
        </w:rPr>
        <w:t xml:space="preserve"> effort preserves Zhou cultural practices which eventually get passed down to </w:t>
      </w:r>
      <w:proofErr w:type="spellStart"/>
      <w:r w:rsidRPr="00CF3053">
        <w:rPr>
          <w:rFonts w:cs="Times New Roman"/>
          <w:sz w:val="24"/>
          <w:szCs w:val="24"/>
          <w:shd w:val="clear" w:color="auto" w:fill="FFFFFF"/>
        </w:rPr>
        <w:t>Kongzi</w:t>
      </w:r>
      <w:proofErr w:type="spellEnd"/>
      <w:r w:rsidRPr="00CF3053">
        <w:rPr>
          <w:rFonts w:cs="Times New Roman"/>
          <w:sz w:val="24"/>
          <w:szCs w:val="24"/>
          <w:shd w:val="clear" w:color="auto" w:fill="FFFFFF"/>
        </w:rPr>
        <w:t xml:space="preserve">. Presumably, many of the practices continue to be general cultural knowledge that is familiar to </w:t>
      </w:r>
      <w:proofErr w:type="spellStart"/>
      <w:r w:rsidRPr="00CF3053">
        <w:rPr>
          <w:rFonts w:cs="Times New Roman"/>
          <w:sz w:val="24"/>
          <w:szCs w:val="24"/>
          <w:shd w:val="clear" w:color="auto" w:fill="FFFFFF"/>
        </w:rPr>
        <w:t>Kongzi’s</w:t>
      </w:r>
      <w:proofErr w:type="spellEnd"/>
      <w:r w:rsidRPr="00CF3053">
        <w:rPr>
          <w:rFonts w:cs="Times New Roman"/>
          <w:sz w:val="24"/>
          <w:szCs w:val="24"/>
          <w:shd w:val="clear" w:color="auto" w:fill="FFFFFF"/>
        </w:rPr>
        <w:t xml:space="preserve"> contemporaries and students, even though the practices are under threat of being broken and forgotten. Such familiarity may leave the impression that the cultural continuity is normal, expected, and nothing special. </w:t>
      </w:r>
      <w:proofErr w:type="spellStart"/>
      <w:r w:rsidRPr="00CF3053">
        <w:rPr>
          <w:rFonts w:cs="Times New Roman"/>
          <w:sz w:val="24"/>
          <w:szCs w:val="24"/>
          <w:shd w:val="clear" w:color="auto" w:fill="FFFFFF"/>
        </w:rPr>
        <w:t>Kongzi’s</w:t>
      </w:r>
      <w:proofErr w:type="spellEnd"/>
      <w:r w:rsidRPr="00CF3053">
        <w:rPr>
          <w:rFonts w:cs="Times New Roman"/>
          <w:sz w:val="24"/>
          <w:szCs w:val="24"/>
          <w:shd w:val="clear" w:color="auto" w:fill="FFFFFF"/>
        </w:rPr>
        <w:t xml:space="preserve"> </w:t>
      </w:r>
      <w:r w:rsidRPr="00CF3053">
        <w:rPr>
          <w:rFonts w:cs="Times New Roman"/>
          <w:sz w:val="24"/>
          <w:szCs w:val="24"/>
          <w:shd w:val="clear" w:color="auto" w:fill="FFFFFF"/>
        </w:rPr>
        <w:lastRenderedPageBreak/>
        <w:t xml:space="preserve">comment points out that certain facts of one’s life that are taken for granted would have been drastically different and are in fact significant contributions of predecessors, </w:t>
      </w:r>
      <w:r w:rsidR="004034D0">
        <w:rPr>
          <w:rFonts w:cs="Times New Roman"/>
          <w:sz w:val="24"/>
          <w:szCs w:val="24"/>
          <w:shd w:val="clear" w:color="auto" w:fill="FFFFFF"/>
        </w:rPr>
        <w:t>to</w:t>
      </w:r>
      <w:r w:rsidRPr="00CF3053">
        <w:rPr>
          <w:rFonts w:cs="Times New Roman"/>
          <w:sz w:val="24"/>
          <w:szCs w:val="24"/>
          <w:shd w:val="clear" w:color="auto" w:fill="FFFFFF"/>
        </w:rPr>
        <w:t xml:space="preserve"> whom one should remain grateful. </w:t>
      </w:r>
    </w:p>
    <w:p w14:paraId="6D0DAD00" w14:textId="3A9498F8" w:rsidR="00CF3053" w:rsidRPr="00CF3053" w:rsidRDefault="00CF3053" w:rsidP="00CF3053">
      <w:pPr>
        <w:spacing w:line="480" w:lineRule="auto"/>
        <w:ind w:firstLine="720"/>
        <w:rPr>
          <w:rFonts w:cs="Times New Roman"/>
          <w:sz w:val="24"/>
          <w:szCs w:val="24"/>
          <w:shd w:val="clear" w:color="auto" w:fill="FFFFFF"/>
        </w:rPr>
      </w:pPr>
      <w:r w:rsidRPr="00CF3053">
        <w:rPr>
          <w:rFonts w:cs="Times New Roman"/>
          <w:sz w:val="24"/>
          <w:szCs w:val="24"/>
          <w:shd w:val="clear" w:color="auto" w:fill="FFFFFF"/>
        </w:rPr>
        <w:t xml:space="preserve">In </w:t>
      </w:r>
      <w:proofErr w:type="spellStart"/>
      <w:r w:rsidRPr="00CF3053">
        <w:rPr>
          <w:rFonts w:cs="Times New Roman"/>
          <w:sz w:val="24"/>
          <w:szCs w:val="24"/>
          <w:shd w:val="clear" w:color="auto" w:fill="FFFFFF"/>
        </w:rPr>
        <w:t>Kongzi</w:t>
      </w:r>
      <w:proofErr w:type="spellEnd"/>
      <w:r w:rsidRPr="00CF3053">
        <w:rPr>
          <w:rFonts w:cs="Times New Roman"/>
          <w:sz w:val="24"/>
          <w:szCs w:val="24"/>
          <w:shd w:val="clear" w:color="auto" w:fill="FFFFFF"/>
        </w:rPr>
        <w:t>, this recognition of help and inherited benefits</w:t>
      </w:r>
      <w:r w:rsidR="004034D0">
        <w:rPr>
          <w:rFonts w:cs="Times New Roman"/>
          <w:sz w:val="24"/>
          <w:szCs w:val="24"/>
          <w:shd w:val="clear" w:color="auto" w:fill="FFFFFF"/>
        </w:rPr>
        <w:t xml:space="preserve"> find</w:t>
      </w:r>
      <w:r w:rsidRPr="00CF3053">
        <w:rPr>
          <w:rFonts w:cs="Times New Roman"/>
          <w:sz w:val="24"/>
          <w:szCs w:val="24"/>
          <w:shd w:val="clear" w:color="auto" w:fill="FFFFFF"/>
        </w:rPr>
        <w:t xml:space="preserve"> a further development that goes beyond concrete individuals (whether contemporary or historical) and develops into the realm of culture. </w:t>
      </w:r>
      <w:proofErr w:type="spellStart"/>
      <w:r w:rsidRPr="00CF3053">
        <w:rPr>
          <w:rFonts w:cs="Times New Roman"/>
          <w:sz w:val="24"/>
          <w:szCs w:val="24"/>
          <w:shd w:val="clear" w:color="auto" w:fill="FFFFFF"/>
        </w:rPr>
        <w:t>Kongzi</w:t>
      </w:r>
      <w:proofErr w:type="spellEnd"/>
      <w:r w:rsidRPr="00CF3053">
        <w:rPr>
          <w:rFonts w:cs="Times New Roman"/>
          <w:sz w:val="24"/>
          <w:szCs w:val="24"/>
          <w:shd w:val="clear" w:color="auto" w:fill="FFFFFF"/>
        </w:rPr>
        <w:t xml:space="preserve"> speaks dearly and fondly of the Zhou culture (3.14, 8.20, 15.11). Such fondness, however, is based on learned and considered judgment that Zhou </w:t>
      </w:r>
      <w:r w:rsidRPr="00CF3053">
        <w:rPr>
          <w:rFonts w:eastAsia="MS Gothic" w:cs="Times New Roman"/>
          <w:sz w:val="24"/>
          <w:szCs w:val="24"/>
          <w:shd w:val="clear" w:color="auto" w:fill="FFFFFF"/>
        </w:rPr>
        <w:t>周</w:t>
      </w:r>
      <w:r w:rsidRPr="00CF3053">
        <w:rPr>
          <w:rFonts w:cs="Times New Roman"/>
          <w:sz w:val="24"/>
          <w:szCs w:val="24"/>
          <w:shd w:val="clear" w:color="auto" w:fill="FFFFFF"/>
        </w:rPr>
        <w:t xml:space="preserve"> has critically examined and learned from (</w:t>
      </w:r>
      <w:proofErr w:type="spellStart"/>
      <w:r w:rsidRPr="00CF3053">
        <w:rPr>
          <w:rFonts w:cs="Times New Roman"/>
          <w:i/>
          <w:iCs/>
          <w:sz w:val="24"/>
          <w:szCs w:val="24"/>
          <w:shd w:val="clear" w:color="auto" w:fill="FFFFFF"/>
        </w:rPr>
        <w:t>jian</w:t>
      </w:r>
      <w:proofErr w:type="spellEnd"/>
      <w:r w:rsidRPr="00CF3053">
        <w:rPr>
          <w:rFonts w:cs="Times New Roman"/>
          <w:i/>
          <w:iCs/>
          <w:sz w:val="24"/>
          <w:szCs w:val="24"/>
          <w:shd w:val="clear" w:color="auto" w:fill="FFFFFF"/>
        </w:rPr>
        <w:t xml:space="preserve"> </w:t>
      </w:r>
      <w:r w:rsidRPr="00CF3053">
        <w:rPr>
          <w:rFonts w:eastAsia="MS Gothic" w:cs="Times New Roman"/>
          <w:sz w:val="24"/>
          <w:szCs w:val="24"/>
          <w:shd w:val="clear" w:color="auto" w:fill="FFFFFF"/>
        </w:rPr>
        <w:t>監</w:t>
      </w:r>
      <w:r w:rsidRPr="00CF3053">
        <w:rPr>
          <w:rFonts w:cs="Times New Roman"/>
          <w:sz w:val="24"/>
          <w:szCs w:val="24"/>
          <w:shd w:val="clear" w:color="auto" w:fill="FFFFFF"/>
        </w:rPr>
        <w:t xml:space="preserve">) the two dynasties before it (3.14), especially regarding </w:t>
      </w:r>
      <w:r w:rsidRPr="00CF3053">
        <w:rPr>
          <w:rFonts w:cs="Times New Roman"/>
          <w:i/>
          <w:iCs/>
          <w:sz w:val="24"/>
          <w:szCs w:val="24"/>
          <w:shd w:val="clear" w:color="auto" w:fill="FFFFFF"/>
        </w:rPr>
        <w:t xml:space="preserve">li </w:t>
      </w:r>
      <w:r w:rsidRPr="00CF3053">
        <w:rPr>
          <w:rFonts w:cs="Times New Roman"/>
          <w:sz w:val="24"/>
          <w:szCs w:val="24"/>
          <w:shd w:val="clear" w:color="auto" w:fill="FFFFFF"/>
        </w:rPr>
        <w:t xml:space="preserve">(2.23). While the text does not offer concrete comments on the cultural splendor of Zhou, </w:t>
      </w:r>
      <w:proofErr w:type="gramStart"/>
      <w:r w:rsidRPr="00CF3053">
        <w:rPr>
          <w:rFonts w:cs="Times New Roman"/>
          <w:sz w:val="24"/>
          <w:szCs w:val="24"/>
          <w:shd w:val="clear" w:color="auto" w:fill="FFFFFF"/>
        </w:rPr>
        <w:t xml:space="preserve">it is clear that </w:t>
      </w:r>
      <w:proofErr w:type="spellStart"/>
      <w:r w:rsidRPr="00CF3053">
        <w:rPr>
          <w:rFonts w:cs="Times New Roman"/>
          <w:sz w:val="24"/>
          <w:szCs w:val="24"/>
          <w:shd w:val="clear" w:color="auto" w:fill="FFFFFF"/>
        </w:rPr>
        <w:t>Kongzi</w:t>
      </w:r>
      <w:proofErr w:type="spellEnd"/>
      <w:proofErr w:type="gramEnd"/>
      <w:r w:rsidRPr="00CF3053">
        <w:rPr>
          <w:rFonts w:cs="Times New Roman"/>
          <w:sz w:val="24"/>
          <w:szCs w:val="24"/>
          <w:shd w:val="clear" w:color="auto" w:fill="FFFFFF"/>
        </w:rPr>
        <w:t xml:space="preserve"> was deeply impressed, and most likely considered himself a great beneficiary such that becomes a whole-hearted follower and transmitter of Zhou (3.14).  This marks the far end of the help and inherited benefits we receive.</w:t>
      </w:r>
      <w:r w:rsidRPr="00CF3053">
        <w:rPr>
          <w:rStyle w:val="FootnoteReference"/>
          <w:rFonts w:cs="Times New Roman"/>
          <w:sz w:val="24"/>
          <w:szCs w:val="24"/>
          <w:shd w:val="clear" w:color="auto" w:fill="FFFFFF"/>
        </w:rPr>
        <w:footnoteReference w:id="97"/>
      </w:r>
      <w:r w:rsidRPr="00CF3053">
        <w:rPr>
          <w:rFonts w:cs="Times New Roman"/>
          <w:sz w:val="24"/>
          <w:szCs w:val="24"/>
          <w:shd w:val="clear" w:color="auto" w:fill="FFFFFF"/>
        </w:rPr>
        <w:t xml:space="preserve"> </w:t>
      </w:r>
    </w:p>
    <w:p w14:paraId="40B2DA67" w14:textId="0759A95A" w:rsidR="00CF3053" w:rsidRPr="00CF3053" w:rsidRDefault="00CF3053" w:rsidP="00CF3053">
      <w:pPr>
        <w:spacing w:line="480" w:lineRule="auto"/>
        <w:ind w:firstLine="720"/>
        <w:rPr>
          <w:rFonts w:cs="Times New Roman"/>
          <w:sz w:val="24"/>
          <w:szCs w:val="24"/>
        </w:rPr>
      </w:pPr>
      <w:r w:rsidRPr="00CF3053">
        <w:rPr>
          <w:rFonts w:cs="Times New Roman"/>
          <w:sz w:val="24"/>
          <w:szCs w:val="24"/>
          <w:shd w:val="clear" w:color="auto" w:fill="FFFFFF"/>
        </w:rPr>
        <w:t xml:space="preserve">This, importantly, is not to say that all the influences we receive from others </w:t>
      </w:r>
      <w:r w:rsidR="004034D0">
        <w:rPr>
          <w:rFonts w:cs="Times New Roman"/>
          <w:sz w:val="24"/>
          <w:szCs w:val="24"/>
          <w:shd w:val="clear" w:color="auto" w:fill="FFFFFF"/>
        </w:rPr>
        <w:t>are</w:t>
      </w:r>
      <w:r w:rsidRPr="00CF3053">
        <w:rPr>
          <w:rFonts w:cs="Times New Roman"/>
          <w:sz w:val="24"/>
          <w:szCs w:val="24"/>
          <w:shd w:val="clear" w:color="auto" w:fill="FFFFFF"/>
        </w:rPr>
        <w:t xml:space="preserve"> simply positive. In the </w:t>
      </w:r>
      <w:r w:rsidRPr="00CF3053">
        <w:rPr>
          <w:rFonts w:cs="Times New Roman"/>
          <w:i/>
          <w:iCs/>
          <w:sz w:val="24"/>
          <w:szCs w:val="24"/>
          <w:shd w:val="clear" w:color="auto" w:fill="FFFFFF"/>
        </w:rPr>
        <w:t>Analects</w:t>
      </w:r>
      <w:r w:rsidRPr="00CF3053">
        <w:rPr>
          <w:rFonts w:cs="Times New Roman"/>
          <w:sz w:val="24"/>
          <w:szCs w:val="24"/>
          <w:shd w:val="clear" w:color="auto" w:fill="FFFFFF"/>
        </w:rPr>
        <w:t xml:space="preserve">, misunderstandings, negligence, and disappointments abound. For instance, </w:t>
      </w:r>
      <w:proofErr w:type="spellStart"/>
      <w:r w:rsidRPr="00CF3053">
        <w:rPr>
          <w:rFonts w:cs="Times New Roman"/>
          <w:sz w:val="24"/>
          <w:szCs w:val="24"/>
        </w:rPr>
        <w:t>Kongzi</w:t>
      </w:r>
      <w:proofErr w:type="spellEnd"/>
      <w:r w:rsidRPr="00CF3053">
        <w:rPr>
          <w:rFonts w:cs="Times New Roman"/>
          <w:sz w:val="24"/>
          <w:szCs w:val="24"/>
        </w:rPr>
        <w:t xml:space="preserve"> himself has never attained any meaningful political position to execute his </w:t>
      </w:r>
      <w:proofErr w:type="gramStart"/>
      <w:r w:rsidRPr="00CF3053">
        <w:rPr>
          <w:rFonts w:cs="Times New Roman"/>
          <w:sz w:val="24"/>
          <w:szCs w:val="24"/>
        </w:rPr>
        <w:t>vision, and</w:t>
      </w:r>
      <w:proofErr w:type="gramEnd"/>
      <w:r w:rsidRPr="00CF3053">
        <w:rPr>
          <w:rFonts w:cs="Times New Roman"/>
          <w:sz w:val="24"/>
          <w:szCs w:val="24"/>
        </w:rPr>
        <w:t xml:space="preserve"> is mocked by his contemporaries as such (2.21). His numerous trips for attaining positions not only end up in failure, but even incur multiple death threats (9.5, 7.23, 15.2). Other than being neglected and silenced in his political pursuits, he also laments a lack of recognition and understanding by his contemporaries and even his students. When he gets exhausted and toys with the idea of giving up and floating a boat in the sea where perhaps only </w:t>
      </w:r>
      <w:proofErr w:type="spellStart"/>
      <w:r w:rsidRPr="00CF3053">
        <w:rPr>
          <w:rFonts w:cs="Times New Roman"/>
          <w:sz w:val="24"/>
          <w:szCs w:val="24"/>
        </w:rPr>
        <w:t>Zilu</w:t>
      </w:r>
      <w:proofErr w:type="spellEnd"/>
      <w:r w:rsidRPr="00CF3053">
        <w:rPr>
          <w:rFonts w:cs="Times New Roman"/>
          <w:sz w:val="24"/>
          <w:szCs w:val="24"/>
        </w:rPr>
        <w:t xml:space="preserve">, one of his </w:t>
      </w:r>
      <w:r w:rsidRPr="00CF3053">
        <w:rPr>
          <w:rFonts w:cs="Times New Roman"/>
          <w:sz w:val="24"/>
          <w:szCs w:val="24"/>
        </w:rPr>
        <w:lastRenderedPageBreak/>
        <w:t xml:space="preserve">students, would follow, </w:t>
      </w:r>
      <w:proofErr w:type="spellStart"/>
      <w:r w:rsidRPr="00CF3053">
        <w:rPr>
          <w:rFonts w:cs="Times New Roman"/>
          <w:sz w:val="24"/>
          <w:szCs w:val="24"/>
        </w:rPr>
        <w:t>Zilu</w:t>
      </w:r>
      <w:proofErr w:type="spellEnd"/>
      <w:r w:rsidRPr="00CF3053">
        <w:rPr>
          <w:rFonts w:cs="Times New Roman"/>
          <w:sz w:val="24"/>
          <w:szCs w:val="24"/>
        </w:rPr>
        <w:t xml:space="preserve"> rejoices that he is mentioned but fails to recognize his teacher’s looming disappointment (5.7). </w:t>
      </w:r>
    </w:p>
    <w:p w14:paraId="28716F92" w14:textId="6BCD75F6" w:rsidR="00CF3053" w:rsidRPr="00CF3053" w:rsidRDefault="00CF3053" w:rsidP="00CF3053">
      <w:pPr>
        <w:spacing w:line="480" w:lineRule="auto"/>
        <w:ind w:firstLine="720"/>
        <w:rPr>
          <w:rFonts w:cs="Times New Roman"/>
          <w:sz w:val="24"/>
          <w:szCs w:val="24"/>
          <w:shd w:val="clear" w:color="auto" w:fill="FFFFFF"/>
        </w:rPr>
      </w:pPr>
      <w:proofErr w:type="gramStart"/>
      <w:r w:rsidRPr="00CF3053">
        <w:rPr>
          <w:rFonts w:cs="Times New Roman"/>
          <w:sz w:val="24"/>
          <w:szCs w:val="24"/>
        </w:rPr>
        <w:t>Last but not least</w:t>
      </w:r>
      <w:proofErr w:type="gramEnd"/>
      <w:r w:rsidRPr="00CF3053">
        <w:rPr>
          <w:rFonts w:cs="Times New Roman"/>
          <w:sz w:val="24"/>
          <w:szCs w:val="24"/>
        </w:rPr>
        <w:t xml:space="preserve">, analogous to how part of the benefits we receive comes from the overall cultural environment, part of the harm and discouragement also comes from the overall political atmosphere, which one can only recognize but not control. The text indicates a political atmosphere where ritual rules that mark hierarchies are manipulated to claim superiority (3.1-2, 3.6), and political efforts are devoted to usurping power (16.1), enriching wealth (11.17), making excuses (18.3) and claiming innocence (3.6, 16.1). In such an environment, efforts for rectifying the political culture seem futile and meaningless because the overall environment would “kick back” any progress one has made. This manifests in </w:t>
      </w:r>
      <w:proofErr w:type="spellStart"/>
      <w:r w:rsidRPr="00CF3053">
        <w:rPr>
          <w:rFonts w:cs="Times New Roman"/>
          <w:sz w:val="24"/>
          <w:szCs w:val="24"/>
        </w:rPr>
        <w:t>Kongzi’s</w:t>
      </w:r>
      <w:proofErr w:type="spellEnd"/>
      <w:r w:rsidRPr="00CF3053">
        <w:rPr>
          <w:rFonts w:cs="Times New Roman"/>
          <w:sz w:val="24"/>
          <w:szCs w:val="24"/>
        </w:rPr>
        <w:t xml:space="preserve"> students, who, despite </w:t>
      </w:r>
      <w:proofErr w:type="spellStart"/>
      <w:r w:rsidRPr="00CF3053">
        <w:rPr>
          <w:rFonts w:cs="Times New Roman"/>
          <w:sz w:val="24"/>
          <w:szCs w:val="24"/>
        </w:rPr>
        <w:t>Kongzi’s</w:t>
      </w:r>
      <w:proofErr w:type="spellEnd"/>
      <w:r w:rsidRPr="00CF3053">
        <w:rPr>
          <w:rFonts w:cs="Times New Roman"/>
          <w:sz w:val="24"/>
          <w:szCs w:val="24"/>
        </w:rPr>
        <w:t xml:space="preserve"> best efforts, are nonetheless encouraged to find excuses for not </w:t>
      </w:r>
      <w:proofErr w:type="gramStart"/>
      <w:r w:rsidRPr="00CF3053">
        <w:rPr>
          <w:rFonts w:cs="Times New Roman"/>
          <w:sz w:val="24"/>
          <w:szCs w:val="24"/>
        </w:rPr>
        <w:t>making an effort</w:t>
      </w:r>
      <w:proofErr w:type="gramEnd"/>
      <w:r w:rsidRPr="00CF3053">
        <w:rPr>
          <w:rFonts w:cs="Times New Roman"/>
          <w:sz w:val="24"/>
          <w:szCs w:val="24"/>
        </w:rPr>
        <w:t xml:space="preserve"> (6.12), seriously tempted by wealth, status, </w:t>
      </w:r>
      <w:r w:rsidR="004034D0">
        <w:rPr>
          <w:rFonts w:cs="Times New Roman"/>
          <w:sz w:val="24"/>
          <w:szCs w:val="24"/>
        </w:rPr>
        <w:t xml:space="preserve">and </w:t>
      </w:r>
      <w:r w:rsidRPr="00CF3053">
        <w:rPr>
          <w:rFonts w:cs="Times New Roman"/>
          <w:sz w:val="24"/>
          <w:szCs w:val="24"/>
        </w:rPr>
        <w:t>power</w:t>
      </w:r>
      <w:r w:rsidR="004034D0">
        <w:rPr>
          <w:rFonts w:cs="Times New Roman"/>
          <w:sz w:val="24"/>
          <w:szCs w:val="24"/>
        </w:rPr>
        <w:t>,</w:t>
      </w:r>
      <w:r w:rsidRPr="00CF3053">
        <w:rPr>
          <w:rFonts w:cs="Times New Roman"/>
          <w:sz w:val="24"/>
          <w:szCs w:val="24"/>
        </w:rPr>
        <w:t xml:space="preserve"> and have a hard time focusing on learning for learning’s sake (8.12).</w:t>
      </w:r>
    </w:p>
    <w:p w14:paraId="22D1F8D3" w14:textId="69EE2847"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Other people and the world one </w:t>
      </w:r>
      <w:proofErr w:type="gramStart"/>
      <w:r w:rsidRPr="00CF3053">
        <w:rPr>
          <w:rFonts w:cs="Times New Roman"/>
          <w:sz w:val="24"/>
          <w:szCs w:val="24"/>
        </w:rPr>
        <w:t>lives</w:t>
      </w:r>
      <w:proofErr w:type="gramEnd"/>
      <w:r w:rsidRPr="00CF3053">
        <w:rPr>
          <w:rFonts w:cs="Times New Roman"/>
          <w:sz w:val="24"/>
          <w:szCs w:val="24"/>
        </w:rPr>
        <w:t xml:space="preserve"> in can have these two directions of impact on the agent. However, the agent is not simply on the receiving end of others’ influence. She also generates influence and impacts others. Not only does she depend and rely on others, but others depend and rely on her as well. This means, therefore, that the agent can also become, or simply is a source of inspiration or disappointment for others, just </w:t>
      </w:r>
      <w:r w:rsidR="00195F51">
        <w:rPr>
          <w:rFonts w:cs="Times New Roman"/>
          <w:sz w:val="24"/>
          <w:szCs w:val="24"/>
        </w:rPr>
        <w:t>as</w:t>
      </w:r>
      <w:r w:rsidRPr="00CF3053">
        <w:rPr>
          <w:rFonts w:cs="Times New Roman"/>
          <w:sz w:val="24"/>
          <w:szCs w:val="24"/>
        </w:rPr>
        <w:t xml:space="preserve"> others can be and are to her. If all the disappointments and sorrow have not extinguished one’s keen regard towards others and the world in general (and it must be admitted that this can be a big “if”), this understanding of social interdependence and the impact one could generate create a sense of responsibility to which the agent ideally lives up. The responsibility can be conceptually understood as having two directions (even though in practice such </w:t>
      </w:r>
      <w:r w:rsidR="00195F51">
        <w:rPr>
          <w:rFonts w:cs="Times New Roman"/>
          <w:sz w:val="24"/>
          <w:szCs w:val="24"/>
        </w:rPr>
        <w:t xml:space="preserve">a </w:t>
      </w:r>
      <w:r w:rsidRPr="00CF3053">
        <w:rPr>
          <w:rFonts w:cs="Times New Roman"/>
          <w:sz w:val="24"/>
          <w:szCs w:val="24"/>
        </w:rPr>
        <w:t xml:space="preserve">distinction may not hold). On the one hand, the agent </w:t>
      </w:r>
      <w:r w:rsidRPr="00CF3053">
        <w:rPr>
          <w:rFonts w:cs="Times New Roman"/>
          <w:sz w:val="24"/>
          <w:szCs w:val="24"/>
        </w:rPr>
        <w:lastRenderedPageBreak/>
        <w:t xml:space="preserve">gives due acknowledgement to the helps and benefits one receives and reciprocate in ways fitting to the benefactors. On the other hand, the agent practices due diligence to avoid harming others and becoming another source of disappointment in the world. Ideally, such thoughts are kept in the mind of the agent when one interacts with others in daily life. What one concretely does to convey humility depends on the roles one occupies. Nonetheless, there is a common theme. One gives up self-centered concerns in the sense of not having </w:t>
      </w:r>
      <w:bookmarkStart w:id="36" w:name="_Hlk68697527"/>
      <w:r w:rsidRPr="00CF3053">
        <w:rPr>
          <w:rFonts w:cs="Times New Roman"/>
          <w:sz w:val="24"/>
          <w:szCs w:val="24"/>
        </w:rPr>
        <w:t>a disproportiona</w:t>
      </w:r>
      <w:r w:rsidR="00195F51">
        <w:rPr>
          <w:rFonts w:cs="Times New Roman"/>
          <w:sz w:val="24"/>
          <w:szCs w:val="24"/>
        </w:rPr>
        <w:t>tel</w:t>
      </w:r>
      <w:r w:rsidRPr="00CF3053">
        <w:rPr>
          <w:rFonts w:cs="Times New Roman"/>
          <w:sz w:val="24"/>
          <w:szCs w:val="24"/>
        </w:rPr>
        <w:t>y large sense of self-importance</w:t>
      </w:r>
      <w:bookmarkEnd w:id="36"/>
      <w:r w:rsidRPr="00CF3053">
        <w:rPr>
          <w:rFonts w:cs="Times New Roman"/>
          <w:sz w:val="24"/>
          <w:szCs w:val="24"/>
        </w:rPr>
        <w:t xml:space="preserve"> and acknowledges the importance of others against whom one is no less but no more than one potential contributing factor. Most importantly, one should redirect attention to duty and responsibility generated by the roles and needs and demands of </w:t>
      </w:r>
      <w:proofErr w:type="gramStart"/>
      <w:r w:rsidRPr="00CF3053">
        <w:rPr>
          <w:rFonts w:cs="Times New Roman"/>
          <w:sz w:val="24"/>
          <w:szCs w:val="24"/>
        </w:rPr>
        <w:t>others, and</w:t>
      </w:r>
      <w:proofErr w:type="gramEnd"/>
      <w:r w:rsidRPr="00CF3053">
        <w:rPr>
          <w:rFonts w:cs="Times New Roman"/>
          <w:sz w:val="24"/>
          <w:szCs w:val="24"/>
        </w:rPr>
        <w:t xml:space="preserve"> let them become a guide to one’s deliberation and conduct.  </w:t>
      </w:r>
    </w:p>
    <w:p w14:paraId="6C4386C0" w14:textId="44536AE8"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The </w:t>
      </w:r>
      <w:r w:rsidRPr="00CF3053">
        <w:rPr>
          <w:rFonts w:cs="Times New Roman"/>
          <w:i/>
          <w:iCs/>
          <w:sz w:val="24"/>
          <w:szCs w:val="24"/>
        </w:rPr>
        <w:t>Analects</w:t>
      </w:r>
      <w:r w:rsidRPr="00CF3053">
        <w:rPr>
          <w:rFonts w:cs="Times New Roman"/>
          <w:sz w:val="24"/>
          <w:szCs w:val="24"/>
        </w:rPr>
        <w:t xml:space="preserve"> provides passages that record this sense of humility towards others. One noticeable passage is </w:t>
      </w:r>
      <w:proofErr w:type="spellStart"/>
      <w:r w:rsidRPr="00CF3053">
        <w:rPr>
          <w:rFonts w:cs="Times New Roman"/>
          <w:sz w:val="24"/>
          <w:szCs w:val="24"/>
        </w:rPr>
        <w:t>Zengzi</w:t>
      </w:r>
      <w:proofErr w:type="spellEnd"/>
      <w:r w:rsidRPr="00CF3053">
        <w:rPr>
          <w:rFonts w:cs="Times New Roman"/>
          <w:sz w:val="24"/>
          <w:szCs w:val="24"/>
        </w:rPr>
        <w:t xml:space="preserve"> famously saying that “every day I examine myself on three counts: in my dealing with others, have I in anyway failed to be dutiful? In my interactions with friends and associates, have I in any way failed to be trustworthy? Finally, have I in any way failed to repeatedly put into practice what I teach?” (1.4)</w:t>
      </w:r>
      <w:r w:rsidRPr="00CF3053">
        <w:rPr>
          <w:rStyle w:val="FootnoteReference"/>
          <w:rFonts w:cs="Times New Roman"/>
          <w:sz w:val="24"/>
          <w:szCs w:val="24"/>
        </w:rPr>
        <w:footnoteReference w:id="98"/>
      </w:r>
      <w:r w:rsidRPr="00CF3053">
        <w:rPr>
          <w:rFonts w:cs="Times New Roman"/>
          <w:sz w:val="24"/>
          <w:szCs w:val="24"/>
        </w:rPr>
        <w:t xml:space="preserve"> Found in such regular scrutiny is a serious learning attitude that resonates with the first strand of Confucian humility where presumably, one’s conduct as well as the whole psychology behind </w:t>
      </w:r>
      <w:r w:rsidR="00195F51">
        <w:rPr>
          <w:rFonts w:cs="Times New Roman"/>
          <w:sz w:val="24"/>
          <w:szCs w:val="24"/>
        </w:rPr>
        <w:t>it is</w:t>
      </w:r>
      <w:r w:rsidRPr="00CF3053">
        <w:rPr>
          <w:rFonts w:cs="Times New Roman"/>
          <w:sz w:val="24"/>
          <w:szCs w:val="24"/>
        </w:rPr>
        <w:t xml:space="preserve"> subject to earnest reflection. Furthermore, we see an unmistakable attention to one’s responsibility towards others. The questions are not formulated as whether </w:t>
      </w:r>
      <w:r w:rsidRPr="00CF3053">
        <w:rPr>
          <w:rFonts w:cs="Times New Roman"/>
          <w:i/>
          <w:iCs/>
          <w:sz w:val="24"/>
          <w:szCs w:val="24"/>
        </w:rPr>
        <w:t>I</w:t>
      </w:r>
      <w:r w:rsidRPr="00CF3053">
        <w:rPr>
          <w:rFonts w:cs="Times New Roman"/>
          <w:sz w:val="24"/>
          <w:szCs w:val="24"/>
        </w:rPr>
        <w:t xml:space="preserve"> have done well out of certain virtues that </w:t>
      </w:r>
      <w:r w:rsidRPr="00CF3053">
        <w:rPr>
          <w:rFonts w:cs="Times New Roman"/>
          <w:i/>
          <w:iCs/>
          <w:sz w:val="24"/>
          <w:szCs w:val="24"/>
        </w:rPr>
        <w:t>I</w:t>
      </w:r>
      <w:r w:rsidRPr="00CF3053">
        <w:rPr>
          <w:rFonts w:cs="Times New Roman"/>
          <w:sz w:val="24"/>
          <w:szCs w:val="24"/>
        </w:rPr>
        <w:t xml:space="preserve"> possess, but whether I have done well </w:t>
      </w:r>
      <w:r w:rsidRPr="00CF3053">
        <w:rPr>
          <w:rFonts w:cs="Times New Roman"/>
          <w:i/>
          <w:iCs/>
          <w:sz w:val="24"/>
          <w:szCs w:val="24"/>
        </w:rPr>
        <w:t>towards</w:t>
      </w:r>
      <w:r w:rsidRPr="00CF3053">
        <w:rPr>
          <w:rFonts w:cs="Times New Roman"/>
          <w:sz w:val="24"/>
          <w:szCs w:val="24"/>
        </w:rPr>
        <w:t xml:space="preserve"> </w:t>
      </w:r>
      <w:r w:rsidRPr="00CF3053">
        <w:rPr>
          <w:rFonts w:cs="Times New Roman"/>
          <w:i/>
          <w:iCs/>
          <w:sz w:val="24"/>
          <w:szCs w:val="24"/>
        </w:rPr>
        <w:t>others</w:t>
      </w:r>
      <w:r w:rsidRPr="00CF3053">
        <w:rPr>
          <w:rFonts w:cs="Times New Roman"/>
          <w:sz w:val="24"/>
          <w:szCs w:val="24"/>
        </w:rPr>
        <w:t xml:space="preserve">, which implies a prioritization of others and of the matters at hand. Thus formulated, these questions do not welcome answers such as “I have been acting trustworthily even though my friends cannot trust me,” according to which acting out of </w:t>
      </w:r>
      <w:r w:rsidR="00195F51">
        <w:rPr>
          <w:rFonts w:cs="Times New Roman"/>
          <w:sz w:val="24"/>
          <w:szCs w:val="24"/>
        </w:rPr>
        <w:t xml:space="preserve">a </w:t>
      </w:r>
      <w:r w:rsidRPr="00CF3053">
        <w:rPr>
          <w:rFonts w:cs="Times New Roman"/>
          <w:sz w:val="24"/>
          <w:szCs w:val="24"/>
        </w:rPr>
        <w:lastRenderedPageBreak/>
        <w:t xml:space="preserve">virtuous state could end ethical scrutiny with satisfaction. There can certainly be circumstances where I am indeed trustworthy, but my friends cannot trust me because of misunderstanding, miscommunication, or other interfering factors. The point, however, is that meeting the needs and demands of others takes priority in determining deliberation and evaluation of my character and my acts. To simply reflect on whether “I” have done well independent of consideration of others marks a wrong way of thinking. </w:t>
      </w:r>
    </w:p>
    <w:p w14:paraId="75955441" w14:textId="2995FCFB"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This mentality of downplaying the self and emphasizing duty and responsibility receives a further development in </w:t>
      </w:r>
      <w:proofErr w:type="spellStart"/>
      <w:r w:rsidRPr="00CF3053">
        <w:rPr>
          <w:rFonts w:cs="Times New Roman"/>
          <w:sz w:val="24"/>
          <w:szCs w:val="24"/>
        </w:rPr>
        <w:t>Kongzi</w:t>
      </w:r>
      <w:proofErr w:type="spellEnd"/>
      <w:r w:rsidRPr="00CF3053">
        <w:rPr>
          <w:rFonts w:cs="Times New Roman"/>
          <w:sz w:val="24"/>
          <w:szCs w:val="24"/>
        </w:rPr>
        <w:t>. His admiration for Zhou culture not only makes him a dedicated follower and transmitter, but also directs his attention solely towards passing down the cultural inheritance such that he does not ponder whether his life-long effort has made any new contribution. In his words, he “</w:t>
      </w:r>
      <w:bookmarkStart w:id="37" w:name="_Hlk68697762"/>
      <w:r w:rsidRPr="00CF3053">
        <w:rPr>
          <w:rFonts w:cs="Times New Roman"/>
          <w:sz w:val="24"/>
          <w:szCs w:val="24"/>
        </w:rPr>
        <w:t xml:space="preserve">transmits and does not innovate, </w:t>
      </w:r>
      <w:proofErr w:type="gramStart"/>
      <w:r w:rsidRPr="00CF3053">
        <w:rPr>
          <w:rFonts w:cs="Times New Roman"/>
          <w:sz w:val="24"/>
          <w:szCs w:val="24"/>
        </w:rPr>
        <w:t>trusts</w:t>
      </w:r>
      <w:proofErr w:type="gramEnd"/>
      <w:r w:rsidRPr="00CF3053">
        <w:rPr>
          <w:rFonts w:cs="Times New Roman"/>
          <w:sz w:val="24"/>
          <w:szCs w:val="24"/>
        </w:rPr>
        <w:t xml:space="preserve"> and loves the ancients, and compare himself to Old Peng</w:t>
      </w:r>
      <w:bookmarkEnd w:id="37"/>
      <w:r w:rsidRPr="00CF3053">
        <w:rPr>
          <w:rFonts w:cs="Times New Roman"/>
          <w:sz w:val="24"/>
          <w:szCs w:val="24"/>
        </w:rPr>
        <w:t xml:space="preserve">. </w:t>
      </w:r>
      <w:bookmarkStart w:id="38" w:name="_Hlk68697754"/>
      <w:proofErr w:type="spellStart"/>
      <w:r w:rsidRPr="00CF3053">
        <w:rPr>
          <w:rFonts w:eastAsia="MS Mincho" w:cs="Times New Roman"/>
          <w:sz w:val="24"/>
          <w:szCs w:val="24"/>
        </w:rPr>
        <w:t>述而不作，信而好古，竊比於我老彭</w:t>
      </w:r>
      <w:bookmarkEnd w:id="38"/>
      <w:proofErr w:type="spellEnd"/>
      <w:r w:rsidRPr="00CF3053">
        <w:rPr>
          <w:rFonts w:cs="Times New Roman"/>
          <w:sz w:val="24"/>
          <w:szCs w:val="24"/>
        </w:rPr>
        <w:t xml:space="preserve">” (7.1). Whether </w:t>
      </w:r>
      <w:proofErr w:type="spellStart"/>
      <w:r w:rsidRPr="00CF3053">
        <w:rPr>
          <w:rFonts w:cs="Times New Roman"/>
          <w:sz w:val="24"/>
          <w:szCs w:val="24"/>
        </w:rPr>
        <w:t>Kongzi</w:t>
      </w:r>
      <w:proofErr w:type="spellEnd"/>
      <w:r w:rsidRPr="00CF3053">
        <w:rPr>
          <w:rFonts w:cs="Times New Roman"/>
          <w:sz w:val="24"/>
          <w:szCs w:val="24"/>
        </w:rPr>
        <w:t xml:space="preserve"> has indeed been a mere transmitter or an innovat</w:t>
      </w:r>
      <w:r w:rsidR="00195F51">
        <w:rPr>
          <w:rFonts w:cs="Times New Roman"/>
          <w:sz w:val="24"/>
          <w:szCs w:val="24"/>
        </w:rPr>
        <w:t>or</w:t>
      </w:r>
      <w:r w:rsidRPr="00CF3053">
        <w:rPr>
          <w:rFonts w:cs="Times New Roman"/>
          <w:sz w:val="24"/>
          <w:szCs w:val="24"/>
        </w:rPr>
        <w:t xml:space="preserve"> in some way is less important than the fact that he does not consider himself as an innovator. This indicates that what </w:t>
      </w:r>
      <w:proofErr w:type="spellStart"/>
      <w:r w:rsidRPr="00CF3053">
        <w:rPr>
          <w:rFonts w:cs="Times New Roman"/>
          <w:sz w:val="24"/>
          <w:szCs w:val="24"/>
        </w:rPr>
        <w:t>Kongzi</w:t>
      </w:r>
      <w:proofErr w:type="spellEnd"/>
      <w:r w:rsidRPr="00CF3053">
        <w:rPr>
          <w:rFonts w:cs="Times New Roman"/>
          <w:sz w:val="24"/>
          <w:szCs w:val="24"/>
        </w:rPr>
        <w:t xml:space="preserve"> cares about is not whether </w:t>
      </w:r>
      <w:r w:rsidRPr="00CF3053">
        <w:rPr>
          <w:rFonts w:cs="Times New Roman"/>
          <w:i/>
          <w:iCs/>
          <w:sz w:val="24"/>
          <w:szCs w:val="24"/>
        </w:rPr>
        <w:t xml:space="preserve">he </w:t>
      </w:r>
      <w:r w:rsidRPr="00CF3053">
        <w:rPr>
          <w:rFonts w:cs="Times New Roman"/>
          <w:sz w:val="24"/>
          <w:szCs w:val="24"/>
        </w:rPr>
        <w:t xml:space="preserve">has made contributions, but whether the ancient culture is preserved and transmitted. The consideration of self in terms of credit and attribution recedes and does not occupy the forefront of one’s attention. Instead, responsibility as a culture transmitter is the front and center concern. </w:t>
      </w:r>
    </w:p>
    <w:p w14:paraId="7CCE4004" w14:textId="7A16E439"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In summary, there is another strand of Confucian humility that may be characterized as devotion to responsibility. We are helped and hurt by people and the general environment in various ways. However, we are more than receivers of influence. We influence others and partake in shaping the environment as well. Our capacity to be either a source of inspiration or disappointment implies a sense of responsibility towards others. Ideally, we acknowledge those </w:t>
      </w:r>
      <w:r w:rsidRPr="00CF3053">
        <w:rPr>
          <w:rFonts w:cs="Times New Roman"/>
          <w:sz w:val="24"/>
          <w:szCs w:val="24"/>
        </w:rPr>
        <w:lastRenderedPageBreak/>
        <w:t xml:space="preserve">whose help, supports, and legacies greatly benefited us and many others, and try to reciprocate what we have received in ways fitting to the debt we owe. At the same time, we take caution against potential ways in which we might exert negative influence on others, including inconvenience, burden, harm, and disappointment. Concretely, this implies attention and dedication to obligations of roles, and the needs and demands of others (such as parents, children, and friends) or unique objects (such as transmission of culture). It accompanies a recession of self-concern that takes various forms, such as giving others an equal weight in the deliberation of my action, and not being concerned about one’s contribution and credit at all. </w:t>
      </w:r>
    </w:p>
    <w:p w14:paraId="0F7AC3C8" w14:textId="58543C6E"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To recapitulate, the two strands of Confucian humility are vigilance rooted in love of learning, and devotion to responsibility. The first strand focuses on the agent herself regarding her attitude and desire </w:t>
      </w:r>
      <w:r w:rsidR="00195F51">
        <w:rPr>
          <w:rFonts w:cs="Times New Roman"/>
          <w:sz w:val="24"/>
          <w:szCs w:val="24"/>
        </w:rPr>
        <w:t>for</w:t>
      </w:r>
      <w:r w:rsidRPr="00CF3053">
        <w:rPr>
          <w:rFonts w:cs="Times New Roman"/>
          <w:sz w:val="24"/>
          <w:szCs w:val="24"/>
        </w:rPr>
        <w:t xml:space="preserve"> self-cultivation, while the second strand focuses on the responsibilities one has or partakes and gives limited attention to oneself. This disparity on the attention on oneself does not imply that the two strands happen in different situations and do not cooccur. Given that cultivation and self-improvement require the help of others and </w:t>
      </w:r>
      <w:proofErr w:type="gramStart"/>
      <w:r w:rsidRPr="00CF3053">
        <w:rPr>
          <w:rFonts w:cs="Times New Roman"/>
          <w:sz w:val="24"/>
          <w:szCs w:val="24"/>
        </w:rPr>
        <w:t>often times</w:t>
      </w:r>
      <w:proofErr w:type="gramEnd"/>
      <w:r w:rsidRPr="00CF3053">
        <w:rPr>
          <w:rFonts w:cs="Times New Roman"/>
          <w:sz w:val="24"/>
          <w:szCs w:val="24"/>
        </w:rPr>
        <w:t xml:space="preserve">, take place through collaboration with others, vigilance in self-cultivation (i.e., the first strand) can blend with devotion to matters at hand (i.e., the second strand). Thus, trying to work </w:t>
      </w:r>
      <w:r w:rsidR="00195F51">
        <w:rPr>
          <w:rFonts w:cs="Times New Roman"/>
          <w:sz w:val="24"/>
          <w:szCs w:val="24"/>
        </w:rPr>
        <w:t>to</w:t>
      </w:r>
      <w:r w:rsidRPr="00CF3053">
        <w:rPr>
          <w:rFonts w:cs="Times New Roman"/>
          <w:sz w:val="24"/>
          <w:szCs w:val="24"/>
        </w:rPr>
        <w:t xml:space="preserve"> become a better son </w:t>
      </w:r>
      <w:r w:rsidR="00AB13A7">
        <w:rPr>
          <w:rFonts w:cs="Times New Roman"/>
          <w:sz w:val="24"/>
          <w:szCs w:val="24"/>
        </w:rPr>
        <w:t>by</w:t>
      </w:r>
      <w:r w:rsidRPr="00CF3053">
        <w:rPr>
          <w:rFonts w:cs="Times New Roman"/>
          <w:sz w:val="24"/>
          <w:szCs w:val="24"/>
        </w:rPr>
        <w:t xml:space="preserve"> listening to parents (i.e., vigilance in one’s insufficiency and desiring to improve) takes place through devoting time and energy </w:t>
      </w:r>
      <w:r w:rsidR="00AB13A7">
        <w:rPr>
          <w:rFonts w:cs="Times New Roman"/>
          <w:sz w:val="24"/>
          <w:szCs w:val="24"/>
        </w:rPr>
        <w:t xml:space="preserve">to </w:t>
      </w:r>
      <w:r w:rsidRPr="00CF3053">
        <w:rPr>
          <w:rFonts w:cs="Times New Roman"/>
          <w:sz w:val="24"/>
          <w:szCs w:val="24"/>
        </w:rPr>
        <w:t xml:space="preserve">listening to parents (i.e., devotion to responsibility). Given that some of the significant challenges in fulfilling one’s duty come from problems of oneself, devotion to responsibility (i.e., the second strand) can help develop vigilance and reflection of self (i.e., the first strand). For instance, a general unwillingness to admit one’s mistakes might start to give in when devotion to </w:t>
      </w:r>
      <w:r w:rsidR="00AB13A7">
        <w:rPr>
          <w:rFonts w:cs="Times New Roman"/>
          <w:sz w:val="24"/>
          <w:szCs w:val="24"/>
        </w:rPr>
        <w:t xml:space="preserve">a </w:t>
      </w:r>
      <w:r w:rsidRPr="00CF3053">
        <w:rPr>
          <w:rFonts w:cs="Times New Roman"/>
          <w:sz w:val="24"/>
          <w:szCs w:val="24"/>
        </w:rPr>
        <w:t xml:space="preserve">certain project at hand leads one </w:t>
      </w:r>
      <w:r w:rsidRPr="00CF3053">
        <w:rPr>
          <w:rFonts w:cs="Times New Roman"/>
          <w:sz w:val="24"/>
          <w:szCs w:val="24"/>
        </w:rPr>
        <w:lastRenderedPageBreak/>
        <w:t>to self-realization. Thus, even though the two strands have their unique features and object</w:t>
      </w:r>
      <w:r w:rsidR="00AB13A7">
        <w:rPr>
          <w:rFonts w:cs="Times New Roman"/>
          <w:sz w:val="24"/>
          <w:szCs w:val="24"/>
        </w:rPr>
        <w:t>s</w:t>
      </w:r>
      <w:r w:rsidRPr="00CF3053">
        <w:rPr>
          <w:rFonts w:cs="Times New Roman"/>
          <w:sz w:val="24"/>
          <w:szCs w:val="24"/>
        </w:rPr>
        <w:t xml:space="preserve"> of attention, they often work together and foster each other in practice.</w:t>
      </w:r>
    </w:p>
    <w:p w14:paraId="73B5798A" w14:textId="77777777" w:rsidR="00CF3053" w:rsidRPr="00CF3053" w:rsidRDefault="00CF3053" w:rsidP="00CF3053">
      <w:pPr>
        <w:pStyle w:val="Heading3"/>
        <w:rPr>
          <w:rFonts w:ascii="Times New Roman" w:hAnsi="Times New Roman" w:cs="Times New Roman"/>
        </w:rPr>
      </w:pPr>
      <w:bookmarkStart w:id="39" w:name="_Toc102412733"/>
      <w:r w:rsidRPr="00CF3053">
        <w:rPr>
          <w:rFonts w:ascii="Times New Roman" w:hAnsi="Times New Roman" w:cs="Times New Roman"/>
        </w:rPr>
        <w:t xml:space="preserve">3.3. On the Significance of </w:t>
      </w:r>
      <w:r w:rsidRPr="00CF3053">
        <w:rPr>
          <w:rFonts w:ascii="Times New Roman" w:hAnsi="Times New Roman" w:cs="Times New Roman"/>
          <w:i/>
          <w:iCs/>
        </w:rPr>
        <w:t>Li</w:t>
      </w:r>
      <w:r w:rsidRPr="00CF3053">
        <w:rPr>
          <w:rFonts w:ascii="Times New Roman" w:hAnsi="Times New Roman" w:cs="Times New Roman"/>
        </w:rPr>
        <w:t xml:space="preserve"> </w:t>
      </w:r>
      <w:r w:rsidRPr="00CF3053">
        <w:rPr>
          <w:rFonts w:ascii="Times New Roman" w:eastAsia="MS Mincho" w:hAnsi="Times New Roman" w:cs="Times New Roman"/>
        </w:rPr>
        <w:t>禮</w:t>
      </w:r>
      <w:bookmarkEnd w:id="39"/>
      <w:r w:rsidRPr="00CF3053">
        <w:rPr>
          <w:rFonts w:ascii="Times New Roman" w:hAnsi="Times New Roman" w:cs="Times New Roman"/>
        </w:rPr>
        <w:t xml:space="preserve"> </w:t>
      </w:r>
    </w:p>
    <w:p w14:paraId="14049195" w14:textId="1F16F92E"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One theme that is present in both strands of humility is a recognition of the significance of others. Others can teach us with their strengths, warn us </w:t>
      </w:r>
      <w:proofErr w:type="gramStart"/>
      <w:r w:rsidRPr="00CF3053">
        <w:rPr>
          <w:rFonts w:cs="Times New Roman"/>
          <w:sz w:val="24"/>
          <w:szCs w:val="24"/>
        </w:rPr>
        <w:t>in light of</w:t>
      </w:r>
      <w:proofErr w:type="gramEnd"/>
      <w:r w:rsidRPr="00CF3053">
        <w:rPr>
          <w:rFonts w:cs="Times New Roman"/>
          <w:sz w:val="24"/>
          <w:szCs w:val="24"/>
        </w:rPr>
        <w:t xml:space="preserve"> their weakness</w:t>
      </w:r>
      <w:r w:rsidR="00AB13A7">
        <w:rPr>
          <w:rFonts w:cs="Times New Roman"/>
          <w:sz w:val="24"/>
          <w:szCs w:val="24"/>
        </w:rPr>
        <w:t>es</w:t>
      </w:r>
      <w:r w:rsidRPr="00CF3053">
        <w:rPr>
          <w:rFonts w:cs="Times New Roman"/>
          <w:sz w:val="24"/>
          <w:szCs w:val="24"/>
        </w:rPr>
        <w:t xml:space="preserve">, help us by their inspiring words and examples, or harm us through misunderstanding, negligence, and wrongs. Even in the first strand where the focus is on learning and improving oneself, learning still happens with others. Confucian humility, therefore, is fundamentally social in terms of cultivation (i.e., an agent cannot develop it on one’s own) and constitution (i.e., others, ranging from contemporary people, historical people, to those whose legacies indicate their existence, are a significant part of both strands). There is, importantly, one further sense in which Confucian humility is fundamentally social, which concerns perception. </w:t>
      </w:r>
    </w:p>
    <w:p w14:paraId="0E51AAB8" w14:textId="77777777" w:rsidR="00CF3053" w:rsidRPr="00CF3053" w:rsidRDefault="00CF3053" w:rsidP="00CF3053">
      <w:pPr>
        <w:spacing w:line="480" w:lineRule="auto"/>
        <w:rPr>
          <w:rFonts w:cs="Times New Roman"/>
          <w:sz w:val="24"/>
          <w:szCs w:val="24"/>
        </w:rPr>
      </w:pPr>
      <w:r w:rsidRPr="00CF3053">
        <w:rPr>
          <w:rFonts w:cs="Times New Roman"/>
          <w:sz w:val="24"/>
          <w:szCs w:val="24"/>
        </w:rPr>
        <w:tab/>
        <w:t xml:space="preserve">Whether it’s an expression of self-insufficiency, an acknowledgement of others’ contribution and one’s comparative insignificance, or caution and carefulness when things seem to fall in line with one’s expectation, there lies a matter of communication that can either make one’s act be recognized as conveying humility or be misunderstood as something else. Even if an act is recognized as conveying humility, its effects are still subject to perceptions that can be influenced by how the act is conducted. In the Confucian context, all these considerations are handled and complicated by the central concept and practice of </w:t>
      </w:r>
      <w:r w:rsidRPr="00CF3053">
        <w:rPr>
          <w:rFonts w:cs="Times New Roman"/>
          <w:i/>
          <w:iCs/>
          <w:sz w:val="24"/>
          <w:szCs w:val="24"/>
        </w:rPr>
        <w:t>li</w:t>
      </w:r>
      <w:r w:rsidRPr="00CF3053">
        <w:rPr>
          <w:rFonts w:cs="Times New Roman"/>
          <w:sz w:val="24"/>
          <w:szCs w:val="24"/>
        </w:rPr>
        <w:t xml:space="preserve"> </w:t>
      </w:r>
      <w:r w:rsidRPr="00CF3053">
        <w:rPr>
          <w:rFonts w:eastAsia="MS Gothic" w:cs="Times New Roman"/>
          <w:sz w:val="24"/>
          <w:szCs w:val="24"/>
        </w:rPr>
        <w:t>禮</w:t>
      </w:r>
      <w:r w:rsidRPr="00CF3053">
        <w:rPr>
          <w:rFonts w:cs="Times New Roman"/>
          <w:sz w:val="24"/>
          <w:szCs w:val="24"/>
        </w:rPr>
        <w:t>.</w:t>
      </w:r>
    </w:p>
    <w:p w14:paraId="6E0F010D" w14:textId="5C85A785" w:rsidR="00CF3053" w:rsidRPr="00CF3053" w:rsidRDefault="00CF3053" w:rsidP="00CF3053">
      <w:pPr>
        <w:spacing w:line="480" w:lineRule="auto"/>
        <w:rPr>
          <w:rFonts w:cs="Times New Roman"/>
          <w:sz w:val="24"/>
          <w:szCs w:val="24"/>
        </w:rPr>
      </w:pPr>
      <w:r w:rsidRPr="00CF3053">
        <w:rPr>
          <w:rFonts w:cs="Times New Roman"/>
          <w:sz w:val="24"/>
          <w:szCs w:val="24"/>
        </w:rPr>
        <w:tab/>
        <w:t xml:space="preserve">The first point to emphasize is that systematically unperceived humility is arguably equivalent to non-existent in the social setting where Confucians devote their primary attention. Analogous to Aristotle’s thought experiment in which a virtuous sleeping </w:t>
      </w:r>
      <w:proofErr w:type="gramStart"/>
      <w:r w:rsidRPr="00CF3053">
        <w:rPr>
          <w:rFonts w:cs="Times New Roman"/>
          <w:sz w:val="24"/>
          <w:szCs w:val="24"/>
        </w:rPr>
        <w:t>agent, because</w:t>
      </w:r>
      <w:proofErr w:type="gramEnd"/>
      <w:r w:rsidRPr="00CF3053">
        <w:rPr>
          <w:rFonts w:cs="Times New Roman"/>
          <w:sz w:val="24"/>
          <w:szCs w:val="24"/>
        </w:rPr>
        <w:t xml:space="preserve"> her virtues are completely dormant, cannot really be distinguished from a sleeping villain, a truly </w:t>
      </w:r>
      <w:r w:rsidRPr="00CF3053">
        <w:rPr>
          <w:rFonts w:cs="Times New Roman"/>
          <w:sz w:val="24"/>
          <w:szCs w:val="24"/>
        </w:rPr>
        <w:lastRenderedPageBreak/>
        <w:t>humble person whose humility systematically fails to be perceived cannot be effectively distinguished from someone who is not humble. There are no meaningful ways for people to recognize the humility of a truly humble person who lives in mountains her whole life. Thus, in the social setting where people live and interact, such a person’s humility is non-existent.</w:t>
      </w:r>
      <w:r w:rsidRPr="00CF3053">
        <w:rPr>
          <w:rStyle w:val="FootnoteReference"/>
          <w:rFonts w:cs="Times New Roman"/>
          <w:sz w:val="24"/>
          <w:szCs w:val="24"/>
        </w:rPr>
        <w:footnoteReference w:id="99"/>
      </w:r>
      <w:r w:rsidRPr="00CF3053">
        <w:rPr>
          <w:rFonts w:cs="Times New Roman"/>
          <w:sz w:val="24"/>
          <w:szCs w:val="24"/>
        </w:rPr>
        <w:t xml:space="preserve"> In fact, perception is so important to Confucians that if someone with genuine humility systematically fails to </w:t>
      </w:r>
      <w:r w:rsidRPr="00CF3053">
        <w:rPr>
          <w:rFonts w:cs="Times New Roman"/>
          <w:i/>
          <w:iCs/>
          <w:sz w:val="24"/>
          <w:szCs w:val="24"/>
        </w:rPr>
        <w:t>communicate</w:t>
      </w:r>
      <w:r w:rsidRPr="00CF3053">
        <w:rPr>
          <w:rFonts w:cs="Times New Roman"/>
          <w:sz w:val="24"/>
          <w:szCs w:val="24"/>
        </w:rPr>
        <w:t xml:space="preserve"> humility and gets misrecognized as not being humble, there</w:t>
      </w:r>
      <w:r w:rsidR="00AB13A7">
        <w:rPr>
          <w:rFonts w:cs="Times New Roman"/>
          <w:sz w:val="24"/>
          <w:szCs w:val="24"/>
        </w:rPr>
        <w:t xml:space="preserve"> arise </w:t>
      </w:r>
      <w:r w:rsidRPr="00CF3053">
        <w:rPr>
          <w:rFonts w:cs="Times New Roman"/>
          <w:sz w:val="24"/>
          <w:szCs w:val="24"/>
        </w:rPr>
        <w:t xml:space="preserve"> serious questions as to whether she truly is humble.</w:t>
      </w:r>
      <w:r w:rsidRPr="00CF3053">
        <w:rPr>
          <w:rStyle w:val="FootnoteReference"/>
          <w:rFonts w:cs="Times New Roman"/>
          <w:sz w:val="24"/>
          <w:szCs w:val="24"/>
        </w:rPr>
        <w:footnoteReference w:id="100"/>
      </w:r>
      <w:r w:rsidRPr="00CF3053">
        <w:rPr>
          <w:rFonts w:cs="Times New Roman"/>
          <w:sz w:val="24"/>
          <w:szCs w:val="24"/>
        </w:rPr>
        <w:t xml:space="preserve"> The importance of perception and relatedly, communication</w:t>
      </w:r>
      <w:r w:rsidR="00AB13A7">
        <w:rPr>
          <w:rFonts w:cs="Times New Roman"/>
          <w:sz w:val="24"/>
          <w:szCs w:val="24"/>
        </w:rPr>
        <w:t>,</w:t>
      </w:r>
      <w:r w:rsidRPr="00CF3053">
        <w:rPr>
          <w:rFonts w:cs="Times New Roman"/>
          <w:sz w:val="24"/>
          <w:szCs w:val="24"/>
        </w:rPr>
        <w:t xml:space="preserve"> explains why the social and culturally shared set of tools for communication, namely, </w:t>
      </w:r>
      <w:r w:rsidRPr="00CF3053">
        <w:rPr>
          <w:rFonts w:cs="Times New Roman"/>
          <w:i/>
          <w:iCs/>
          <w:sz w:val="24"/>
          <w:szCs w:val="24"/>
        </w:rPr>
        <w:t>li</w:t>
      </w:r>
      <w:r w:rsidRPr="00CF3053">
        <w:rPr>
          <w:rFonts w:cs="Times New Roman"/>
          <w:sz w:val="24"/>
          <w:szCs w:val="24"/>
        </w:rPr>
        <w:t>,</w:t>
      </w:r>
      <w:r w:rsidRPr="00CF3053">
        <w:rPr>
          <w:rFonts w:cs="Times New Roman"/>
          <w:i/>
          <w:iCs/>
          <w:sz w:val="24"/>
          <w:szCs w:val="24"/>
        </w:rPr>
        <w:t xml:space="preserve"> </w:t>
      </w:r>
      <w:r w:rsidRPr="00CF3053">
        <w:rPr>
          <w:rFonts w:cs="Times New Roman"/>
          <w:iCs/>
          <w:sz w:val="24"/>
          <w:szCs w:val="24"/>
        </w:rPr>
        <w:t>is</w:t>
      </w:r>
      <w:r w:rsidRPr="00CF3053">
        <w:rPr>
          <w:rFonts w:cs="Times New Roman"/>
          <w:sz w:val="24"/>
          <w:szCs w:val="24"/>
        </w:rPr>
        <w:t xml:space="preserve"> necessary for Confucian humility. </w:t>
      </w:r>
      <w:r w:rsidRPr="00CF3053">
        <w:rPr>
          <w:rFonts w:cs="Times New Roman"/>
          <w:i/>
          <w:iCs/>
          <w:sz w:val="24"/>
          <w:szCs w:val="24"/>
        </w:rPr>
        <w:t>Li</w:t>
      </w:r>
      <w:r w:rsidRPr="00CF3053">
        <w:rPr>
          <w:rFonts w:cs="Times New Roman"/>
          <w:sz w:val="24"/>
          <w:szCs w:val="24"/>
        </w:rPr>
        <w:t xml:space="preserve"> enables subtle communications peculiar to members with a shared set of cultural practices. It facilitates social communication and recognition of each other. Thus, </w:t>
      </w:r>
      <w:proofErr w:type="gramStart"/>
      <w:r w:rsidRPr="00CF3053">
        <w:rPr>
          <w:rFonts w:cs="Times New Roman"/>
          <w:sz w:val="24"/>
          <w:szCs w:val="24"/>
        </w:rPr>
        <w:t>as long as</w:t>
      </w:r>
      <w:proofErr w:type="gramEnd"/>
      <w:r w:rsidRPr="00CF3053">
        <w:rPr>
          <w:rFonts w:cs="Times New Roman"/>
          <w:sz w:val="24"/>
          <w:szCs w:val="24"/>
        </w:rPr>
        <w:t xml:space="preserve"> social communication and recognition of humility matter, </w:t>
      </w:r>
      <w:r w:rsidRPr="00CF3053">
        <w:rPr>
          <w:rFonts w:cs="Times New Roman"/>
          <w:i/>
          <w:iCs/>
          <w:sz w:val="24"/>
          <w:szCs w:val="24"/>
        </w:rPr>
        <w:t>li</w:t>
      </w:r>
      <w:r w:rsidRPr="00CF3053">
        <w:rPr>
          <w:rFonts w:cs="Times New Roman"/>
          <w:sz w:val="24"/>
          <w:szCs w:val="24"/>
        </w:rPr>
        <w:t xml:space="preserve"> matters to humility.</w:t>
      </w:r>
    </w:p>
    <w:p w14:paraId="50A83001" w14:textId="10B47BB8" w:rsidR="00CF3053" w:rsidRPr="00CF3053" w:rsidRDefault="00CF3053" w:rsidP="00CF3053">
      <w:pPr>
        <w:spacing w:line="480" w:lineRule="auto"/>
        <w:rPr>
          <w:rFonts w:cs="Times New Roman"/>
          <w:sz w:val="24"/>
          <w:szCs w:val="24"/>
        </w:rPr>
      </w:pPr>
      <w:r w:rsidRPr="00CF3053">
        <w:rPr>
          <w:rFonts w:cs="Times New Roman"/>
          <w:sz w:val="24"/>
          <w:szCs w:val="24"/>
        </w:rPr>
        <w:tab/>
        <w:t xml:space="preserve">To further illustrate the significance of </w:t>
      </w:r>
      <w:r w:rsidRPr="00CF3053">
        <w:rPr>
          <w:rFonts w:cs="Times New Roman"/>
          <w:i/>
          <w:iCs/>
          <w:sz w:val="24"/>
          <w:szCs w:val="24"/>
        </w:rPr>
        <w:t xml:space="preserve">li </w:t>
      </w:r>
      <w:r w:rsidRPr="00CF3053">
        <w:rPr>
          <w:rFonts w:cs="Times New Roman"/>
          <w:sz w:val="24"/>
          <w:szCs w:val="24"/>
        </w:rPr>
        <w:t xml:space="preserve">to Confucian humility, let us consider </w:t>
      </w:r>
      <w:proofErr w:type="spellStart"/>
      <w:r w:rsidRPr="00CF3053">
        <w:rPr>
          <w:rFonts w:cs="Times New Roman"/>
          <w:sz w:val="24"/>
          <w:szCs w:val="24"/>
        </w:rPr>
        <w:t>Kongzi’s</w:t>
      </w:r>
      <w:proofErr w:type="spellEnd"/>
      <w:r w:rsidRPr="00CF3053">
        <w:rPr>
          <w:rFonts w:cs="Times New Roman"/>
          <w:sz w:val="24"/>
          <w:szCs w:val="24"/>
        </w:rPr>
        <w:t xml:space="preserve"> claims of self-deficiency as examples of humility. </w:t>
      </w:r>
      <w:proofErr w:type="spellStart"/>
      <w:r w:rsidRPr="00CF3053">
        <w:rPr>
          <w:rFonts w:cs="Times New Roman"/>
          <w:sz w:val="24"/>
          <w:szCs w:val="24"/>
        </w:rPr>
        <w:t>Kongzi</w:t>
      </w:r>
      <w:proofErr w:type="spellEnd"/>
      <w:r w:rsidRPr="00CF3053">
        <w:rPr>
          <w:rFonts w:cs="Times New Roman"/>
          <w:sz w:val="24"/>
          <w:szCs w:val="24"/>
        </w:rPr>
        <w:t xml:space="preserve"> has a list of remarks about how he is not good enough. For instance, he comments that he is not born with the sharpest mind (7.28), not quite exemplary (7.33), not courageous or free of confusions (14.28), and certainly not </w:t>
      </w:r>
      <w:r w:rsidRPr="00CF3053">
        <w:rPr>
          <w:rFonts w:cs="Times New Roman"/>
          <w:i/>
          <w:iCs/>
          <w:sz w:val="24"/>
          <w:szCs w:val="24"/>
        </w:rPr>
        <w:t xml:space="preserve">ren </w:t>
      </w:r>
      <w:r w:rsidRPr="00CF3053">
        <w:rPr>
          <w:rFonts w:eastAsia="MS Gothic" w:cs="Times New Roman"/>
          <w:sz w:val="24"/>
          <w:szCs w:val="24"/>
        </w:rPr>
        <w:t>仁</w:t>
      </w:r>
      <w:r w:rsidRPr="00CF3053">
        <w:rPr>
          <w:rFonts w:cs="Times New Roman"/>
          <w:sz w:val="24"/>
          <w:szCs w:val="24"/>
        </w:rPr>
        <w:t xml:space="preserve">/Good, or </w:t>
      </w:r>
      <w:r w:rsidRPr="00CF3053">
        <w:rPr>
          <w:rFonts w:cs="Times New Roman"/>
          <w:i/>
          <w:iCs/>
          <w:sz w:val="24"/>
          <w:szCs w:val="24"/>
        </w:rPr>
        <w:t xml:space="preserve">sheng </w:t>
      </w:r>
      <w:r w:rsidRPr="00CF3053">
        <w:rPr>
          <w:rFonts w:eastAsia="MS Gothic" w:cs="Times New Roman"/>
          <w:sz w:val="24"/>
          <w:szCs w:val="24"/>
        </w:rPr>
        <w:t>聖</w:t>
      </w:r>
      <w:r w:rsidRPr="00CF3053">
        <w:rPr>
          <w:rFonts w:cs="Times New Roman"/>
          <w:sz w:val="24"/>
          <w:szCs w:val="24"/>
        </w:rPr>
        <w:t xml:space="preserve">/sage-like (7.34, 14.28). There are many possible interpretations of these claims. For instance, they might serve as reminders that check one’s tendency to arrogance or vanity. They might also be sincere expressions that </w:t>
      </w:r>
      <w:proofErr w:type="spellStart"/>
      <w:r w:rsidRPr="00CF3053">
        <w:rPr>
          <w:rFonts w:cs="Times New Roman"/>
          <w:sz w:val="24"/>
          <w:szCs w:val="24"/>
        </w:rPr>
        <w:t>Kongzi</w:t>
      </w:r>
      <w:proofErr w:type="spellEnd"/>
      <w:r w:rsidRPr="00CF3053">
        <w:rPr>
          <w:rFonts w:cs="Times New Roman"/>
          <w:sz w:val="24"/>
          <w:szCs w:val="24"/>
        </w:rPr>
        <w:t xml:space="preserve"> indeed does not consider himself as </w:t>
      </w:r>
      <w:r w:rsidRPr="00CF3053">
        <w:rPr>
          <w:rFonts w:cs="Times New Roman"/>
          <w:sz w:val="24"/>
          <w:szCs w:val="24"/>
        </w:rPr>
        <w:lastRenderedPageBreak/>
        <w:t xml:space="preserve">possessing those qualities. I explore another possibility, that </w:t>
      </w:r>
      <w:r w:rsidR="00AB13A7">
        <w:rPr>
          <w:rFonts w:cs="Times New Roman"/>
          <w:sz w:val="24"/>
          <w:szCs w:val="24"/>
        </w:rPr>
        <w:t>w</w:t>
      </w:r>
      <w:r w:rsidRPr="00CF3053">
        <w:rPr>
          <w:rFonts w:cs="Times New Roman"/>
          <w:sz w:val="24"/>
          <w:szCs w:val="24"/>
        </w:rPr>
        <w:t xml:space="preserve">hen </w:t>
      </w:r>
      <w:proofErr w:type="spellStart"/>
      <w:r w:rsidRPr="00CF3053">
        <w:rPr>
          <w:rFonts w:cs="Times New Roman"/>
          <w:sz w:val="24"/>
          <w:szCs w:val="24"/>
        </w:rPr>
        <w:t>Kongzi</w:t>
      </w:r>
      <w:proofErr w:type="spellEnd"/>
      <w:r w:rsidRPr="00CF3053">
        <w:rPr>
          <w:rFonts w:cs="Times New Roman"/>
          <w:sz w:val="24"/>
          <w:szCs w:val="24"/>
        </w:rPr>
        <w:t xml:space="preserve"> speaks of these claims, he speaks from the role of a teacher and with a pedagogical purpose to further encourage his students. </w:t>
      </w:r>
    </w:p>
    <w:p w14:paraId="5F467FF0" w14:textId="47E2E4A9"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The social context behind the interactions of </w:t>
      </w:r>
      <w:proofErr w:type="spellStart"/>
      <w:r w:rsidRPr="00CF3053">
        <w:rPr>
          <w:rFonts w:cs="Times New Roman"/>
          <w:sz w:val="24"/>
          <w:szCs w:val="24"/>
        </w:rPr>
        <w:t>Kongzi</w:t>
      </w:r>
      <w:proofErr w:type="spellEnd"/>
      <w:r w:rsidRPr="00CF3053">
        <w:rPr>
          <w:rFonts w:cs="Times New Roman"/>
          <w:sz w:val="24"/>
          <w:szCs w:val="24"/>
        </w:rPr>
        <w:t xml:space="preserve"> and his students is that </w:t>
      </w:r>
      <w:proofErr w:type="spellStart"/>
      <w:r w:rsidRPr="00CF3053">
        <w:rPr>
          <w:rFonts w:cs="Times New Roman"/>
          <w:sz w:val="24"/>
          <w:szCs w:val="24"/>
        </w:rPr>
        <w:t>Kongzi</w:t>
      </w:r>
      <w:proofErr w:type="spellEnd"/>
      <w:r w:rsidRPr="00CF3053">
        <w:rPr>
          <w:rFonts w:cs="Times New Roman"/>
          <w:sz w:val="24"/>
          <w:szCs w:val="24"/>
        </w:rPr>
        <w:t xml:space="preserve"> is the teacher who is also older than his students, both of which register important hierarchical superiorit</w:t>
      </w:r>
      <w:r w:rsidR="00AB13A7">
        <w:rPr>
          <w:rFonts w:cs="Times New Roman"/>
          <w:sz w:val="24"/>
          <w:szCs w:val="24"/>
        </w:rPr>
        <w:t>ies</w:t>
      </w:r>
      <w:r w:rsidRPr="00CF3053">
        <w:rPr>
          <w:rFonts w:cs="Times New Roman"/>
          <w:sz w:val="24"/>
          <w:szCs w:val="24"/>
        </w:rPr>
        <w:t xml:space="preserve"> of the time. </w:t>
      </w:r>
      <w:proofErr w:type="spellStart"/>
      <w:r w:rsidRPr="00CF3053">
        <w:rPr>
          <w:rFonts w:cs="Times New Roman"/>
          <w:sz w:val="24"/>
          <w:szCs w:val="24"/>
        </w:rPr>
        <w:t>Kongzi’s</w:t>
      </w:r>
      <w:proofErr w:type="spellEnd"/>
      <w:r w:rsidRPr="00CF3053">
        <w:rPr>
          <w:rFonts w:cs="Times New Roman"/>
          <w:sz w:val="24"/>
          <w:szCs w:val="24"/>
        </w:rPr>
        <w:t xml:space="preserve"> claim of insufficiency should be understood in this context that he is not simply speaking of his </w:t>
      </w:r>
      <w:proofErr w:type="gramStart"/>
      <w:r w:rsidRPr="00CF3053">
        <w:rPr>
          <w:rFonts w:cs="Times New Roman"/>
          <w:sz w:val="24"/>
          <w:szCs w:val="24"/>
        </w:rPr>
        <w:t>insufficiency, but</w:t>
      </w:r>
      <w:proofErr w:type="gramEnd"/>
      <w:r w:rsidRPr="00CF3053">
        <w:rPr>
          <w:rFonts w:cs="Times New Roman"/>
          <w:sz w:val="24"/>
          <w:szCs w:val="24"/>
        </w:rPr>
        <w:t xml:space="preserve"> gesturing with a respectful and considerate attitude towards his students. Shun explains that such </w:t>
      </w:r>
      <w:r w:rsidR="00AB13A7">
        <w:rPr>
          <w:rFonts w:cs="Times New Roman"/>
          <w:sz w:val="24"/>
          <w:szCs w:val="24"/>
        </w:rPr>
        <w:t xml:space="preserve">a </w:t>
      </w:r>
      <w:r w:rsidRPr="00CF3053">
        <w:rPr>
          <w:rFonts w:cs="Times New Roman"/>
          <w:sz w:val="24"/>
          <w:szCs w:val="24"/>
        </w:rPr>
        <w:t xml:space="preserve">gesture </w:t>
      </w:r>
    </w:p>
    <w:p w14:paraId="2EA6F168" w14:textId="6AB7CE6A"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 is not a matter of our believing ourselves to be literally in a lower position. Rather, it is a matter of our shifting our attention away from ourselves toward others, in a way that is akin to one’s attitude when interacting </w:t>
      </w:r>
      <w:r w:rsidR="00AB13A7">
        <w:rPr>
          <w:rFonts w:cs="Times New Roman"/>
          <w:sz w:val="24"/>
          <w:szCs w:val="24"/>
        </w:rPr>
        <w:t xml:space="preserve">with </w:t>
      </w:r>
      <w:r w:rsidRPr="00CF3053">
        <w:rPr>
          <w:rFonts w:cs="Times New Roman"/>
          <w:sz w:val="24"/>
          <w:szCs w:val="24"/>
        </w:rPr>
        <w:t xml:space="preserve">people in a higher position. Such redirection of attention is particularly important for those </w:t>
      </w:r>
      <w:proofErr w:type="gramStart"/>
      <w:r w:rsidRPr="00CF3053">
        <w:rPr>
          <w:rFonts w:cs="Times New Roman"/>
          <w:sz w:val="24"/>
          <w:szCs w:val="24"/>
        </w:rPr>
        <w:t>actually in</w:t>
      </w:r>
      <w:proofErr w:type="gramEnd"/>
      <w:r w:rsidRPr="00CF3053">
        <w:rPr>
          <w:rFonts w:cs="Times New Roman"/>
          <w:sz w:val="24"/>
          <w:szCs w:val="24"/>
        </w:rPr>
        <w:t xml:space="preserve"> a higher social position, as it is particularly tempting for them to treat those in a lower social position in a disrespectful manner.</w:t>
      </w:r>
      <w:r w:rsidRPr="00CF3053">
        <w:rPr>
          <w:rStyle w:val="FootnoteReference"/>
          <w:rFonts w:cs="Times New Roman"/>
          <w:sz w:val="24"/>
          <w:szCs w:val="24"/>
        </w:rPr>
        <w:footnoteReference w:id="101"/>
      </w:r>
    </w:p>
    <w:p w14:paraId="5587E6BD" w14:textId="2ACD405D" w:rsidR="00CF3053" w:rsidRPr="00CF3053" w:rsidRDefault="00CF3053" w:rsidP="00CF3053">
      <w:pPr>
        <w:spacing w:line="480" w:lineRule="auto"/>
        <w:ind w:firstLine="720"/>
        <w:rPr>
          <w:rFonts w:cs="Times New Roman"/>
          <w:sz w:val="24"/>
          <w:szCs w:val="24"/>
        </w:rPr>
      </w:pPr>
      <w:r w:rsidRPr="00CF3053">
        <w:rPr>
          <w:rFonts w:cs="Times New Roman"/>
          <w:sz w:val="24"/>
          <w:szCs w:val="24"/>
        </w:rPr>
        <w:t xml:space="preserve">Read this way, </w:t>
      </w:r>
      <w:proofErr w:type="spellStart"/>
      <w:r w:rsidRPr="00CF3053">
        <w:rPr>
          <w:rFonts w:cs="Times New Roman"/>
          <w:sz w:val="24"/>
          <w:szCs w:val="24"/>
        </w:rPr>
        <w:t>Kongzi’s</w:t>
      </w:r>
      <w:proofErr w:type="spellEnd"/>
      <w:r w:rsidRPr="00CF3053">
        <w:rPr>
          <w:rFonts w:cs="Times New Roman"/>
          <w:sz w:val="24"/>
          <w:szCs w:val="24"/>
        </w:rPr>
        <w:t xml:space="preserve"> claim of self-insufficiency does not literally mean that he falls woefully short of all the named </w:t>
      </w:r>
      <w:proofErr w:type="gramStart"/>
      <w:r w:rsidRPr="00CF3053">
        <w:rPr>
          <w:rFonts w:cs="Times New Roman"/>
          <w:sz w:val="24"/>
          <w:szCs w:val="24"/>
        </w:rPr>
        <w:t>qualities, but</w:t>
      </w:r>
      <w:proofErr w:type="gramEnd"/>
      <w:r w:rsidRPr="00CF3053">
        <w:rPr>
          <w:rFonts w:cs="Times New Roman"/>
          <w:sz w:val="24"/>
          <w:szCs w:val="24"/>
        </w:rPr>
        <w:t xml:space="preserve"> expresses certain pedagogical messages. It could mean that even the teacher, who is vastly superior in cultivation and older in age, fall</w:t>
      </w:r>
      <w:r w:rsidR="00AB13A7">
        <w:rPr>
          <w:rFonts w:cs="Times New Roman"/>
          <w:sz w:val="24"/>
          <w:szCs w:val="24"/>
        </w:rPr>
        <w:t>s</w:t>
      </w:r>
      <w:r w:rsidRPr="00CF3053">
        <w:rPr>
          <w:rFonts w:cs="Times New Roman"/>
          <w:sz w:val="24"/>
          <w:szCs w:val="24"/>
        </w:rPr>
        <w:t xml:space="preserve"> short of being virtuous and continues to work on self-cultivation. There is no reason for students not to be diligent.</w:t>
      </w:r>
      <w:r w:rsidRPr="00CF3053">
        <w:rPr>
          <w:rStyle w:val="FootnoteReference"/>
          <w:rFonts w:cs="Times New Roman"/>
          <w:sz w:val="24"/>
          <w:szCs w:val="24"/>
        </w:rPr>
        <w:footnoteReference w:id="102"/>
      </w:r>
      <w:r w:rsidRPr="00CF3053">
        <w:rPr>
          <w:rFonts w:cs="Times New Roman"/>
          <w:sz w:val="24"/>
          <w:szCs w:val="24"/>
        </w:rPr>
        <w:t xml:space="preserve"> It could also mean that students need not feel pressured by the task of learning: If the teacher, who is vastly superior, also falls short, students can feel better about their own struggles </w:t>
      </w:r>
      <w:r w:rsidRPr="00CF3053">
        <w:rPr>
          <w:rFonts w:cs="Times New Roman"/>
          <w:sz w:val="24"/>
          <w:szCs w:val="24"/>
        </w:rPr>
        <w:lastRenderedPageBreak/>
        <w:t>and more comfortable to speak their mind.</w:t>
      </w:r>
      <w:r w:rsidRPr="00CF3053">
        <w:rPr>
          <w:rStyle w:val="FootnoteReference"/>
          <w:rFonts w:cs="Times New Roman"/>
          <w:sz w:val="24"/>
          <w:szCs w:val="24"/>
        </w:rPr>
        <w:footnoteReference w:id="103"/>
      </w:r>
      <w:r w:rsidRPr="00CF3053">
        <w:rPr>
          <w:rFonts w:cs="Times New Roman"/>
          <w:sz w:val="24"/>
          <w:szCs w:val="24"/>
        </w:rPr>
        <w:t xml:space="preserve"> When this practice is consistently and skillfully enacted, students may even feel comfortable arguing with the teacher when they think the teacher makes mistakes, which is conducive to a learning environment </w:t>
      </w:r>
      <w:r w:rsidR="00AB13A7">
        <w:rPr>
          <w:rFonts w:cs="Times New Roman"/>
          <w:sz w:val="24"/>
          <w:szCs w:val="24"/>
        </w:rPr>
        <w:t xml:space="preserve">from which </w:t>
      </w:r>
      <w:r w:rsidRPr="00CF3053">
        <w:rPr>
          <w:rFonts w:cs="Times New Roman"/>
          <w:sz w:val="24"/>
          <w:szCs w:val="24"/>
        </w:rPr>
        <w:t xml:space="preserve">both the teacher and students can benefit. </w:t>
      </w:r>
    </w:p>
    <w:p w14:paraId="59ABD732" w14:textId="2BD8D5F7" w:rsidR="00CF3053" w:rsidRPr="00CF3053" w:rsidRDefault="00CF3053" w:rsidP="00CF3053">
      <w:pPr>
        <w:spacing w:line="480" w:lineRule="auto"/>
        <w:rPr>
          <w:rFonts w:cs="Times New Roman"/>
          <w:sz w:val="24"/>
          <w:szCs w:val="24"/>
        </w:rPr>
      </w:pPr>
      <w:r w:rsidRPr="00CF3053">
        <w:rPr>
          <w:rFonts w:cs="Times New Roman"/>
          <w:sz w:val="24"/>
          <w:szCs w:val="24"/>
        </w:rPr>
        <w:tab/>
        <w:t xml:space="preserve">This, however, marks one set of possibilities where </w:t>
      </w:r>
      <w:proofErr w:type="spellStart"/>
      <w:r w:rsidRPr="00CF3053">
        <w:rPr>
          <w:rFonts w:cs="Times New Roman"/>
          <w:sz w:val="24"/>
          <w:szCs w:val="24"/>
        </w:rPr>
        <w:t>Kongzi’s</w:t>
      </w:r>
      <w:proofErr w:type="spellEnd"/>
      <w:r w:rsidRPr="00CF3053">
        <w:rPr>
          <w:rFonts w:cs="Times New Roman"/>
          <w:sz w:val="24"/>
          <w:szCs w:val="24"/>
        </w:rPr>
        <w:t xml:space="preserve"> claims of self-insufficiency are conducive to learning. It is equally possible, however, that these claims put further pressure on students. It is also possible for these claims to be received as impressing on his students just how radically hard learning is, and thereby amplif</w:t>
      </w:r>
      <w:r w:rsidR="004720FC">
        <w:rPr>
          <w:rFonts w:cs="Times New Roman"/>
          <w:sz w:val="24"/>
          <w:szCs w:val="24"/>
        </w:rPr>
        <w:t>ying</w:t>
      </w:r>
      <w:r w:rsidRPr="00CF3053">
        <w:rPr>
          <w:rFonts w:cs="Times New Roman"/>
          <w:sz w:val="24"/>
          <w:szCs w:val="24"/>
        </w:rPr>
        <w:t xml:space="preserve"> pressure. </w:t>
      </w:r>
      <w:proofErr w:type="gramStart"/>
      <w:r w:rsidRPr="00CF3053">
        <w:rPr>
          <w:rFonts w:cs="Times New Roman"/>
          <w:sz w:val="24"/>
          <w:szCs w:val="24"/>
        </w:rPr>
        <w:t>Last but not least</w:t>
      </w:r>
      <w:proofErr w:type="gramEnd"/>
      <w:r w:rsidRPr="00CF3053">
        <w:rPr>
          <w:rFonts w:cs="Times New Roman"/>
          <w:sz w:val="24"/>
          <w:szCs w:val="24"/>
        </w:rPr>
        <w:t xml:space="preserve">, let us not forget the potential danger of claiming self-deficiency that others might thereby think </w:t>
      </w:r>
      <w:r w:rsidR="004720FC">
        <w:rPr>
          <w:rFonts w:cs="Times New Roman"/>
          <w:sz w:val="24"/>
          <w:szCs w:val="24"/>
        </w:rPr>
        <w:t>less</w:t>
      </w:r>
      <w:r w:rsidRPr="00CF3053">
        <w:rPr>
          <w:rFonts w:cs="Times New Roman"/>
          <w:sz w:val="24"/>
          <w:szCs w:val="24"/>
        </w:rPr>
        <w:t xml:space="preserve"> of the person and take lightly of her opinion. While this is less likely to happen for </w:t>
      </w:r>
      <w:proofErr w:type="spellStart"/>
      <w:r w:rsidRPr="00CF3053">
        <w:rPr>
          <w:rFonts w:cs="Times New Roman"/>
          <w:sz w:val="24"/>
          <w:szCs w:val="24"/>
        </w:rPr>
        <w:t>Kongzi</w:t>
      </w:r>
      <w:proofErr w:type="spellEnd"/>
      <w:r w:rsidRPr="00CF3053">
        <w:rPr>
          <w:rFonts w:cs="Times New Roman"/>
          <w:sz w:val="24"/>
          <w:szCs w:val="24"/>
        </w:rPr>
        <w:t xml:space="preserve">, especially when he is among his students, it remains a live possibility that signifies the ways in which good intention can be understood in unintended directions. </w:t>
      </w:r>
    </w:p>
    <w:p w14:paraId="306B80A4" w14:textId="38952E63" w:rsidR="00CF3053" w:rsidRPr="00CF3053" w:rsidRDefault="00CF3053" w:rsidP="00CF3053">
      <w:pPr>
        <w:spacing w:line="480" w:lineRule="auto"/>
        <w:ind w:firstLine="720"/>
        <w:rPr>
          <w:rFonts w:cs="Times New Roman"/>
          <w:sz w:val="24"/>
          <w:szCs w:val="24"/>
        </w:rPr>
      </w:pPr>
      <w:r w:rsidRPr="00CF3053">
        <w:rPr>
          <w:rFonts w:cs="Times New Roman"/>
          <w:sz w:val="24"/>
          <w:szCs w:val="24"/>
        </w:rPr>
        <w:t>Put simply, humility can be misrecognized, regardless of how well-developed it is in the agent. How to ensure that humility does not come off in the wrong ways require</w:t>
      </w:r>
      <w:r w:rsidR="004720FC">
        <w:rPr>
          <w:rFonts w:cs="Times New Roman"/>
          <w:sz w:val="24"/>
          <w:szCs w:val="24"/>
        </w:rPr>
        <w:t>s</w:t>
      </w:r>
      <w:r w:rsidRPr="00CF3053">
        <w:rPr>
          <w:rFonts w:cs="Times New Roman"/>
          <w:sz w:val="24"/>
          <w:szCs w:val="24"/>
        </w:rPr>
        <w:t xml:space="preserve"> more than having the right inner states, but skills that enable effective communication and embodied knowledge in the shared social/cultural language. In other words, humility requires proper inner states, but also </w:t>
      </w:r>
      <w:r w:rsidRPr="00CF3053">
        <w:rPr>
          <w:rFonts w:cs="Times New Roman"/>
          <w:i/>
          <w:iCs/>
          <w:sz w:val="24"/>
          <w:szCs w:val="24"/>
        </w:rPr>
        <w:t>li</w:t>
      </w:r>
      <w:r w:rsidRPr="00CF3053">
        <w:rPr>
          <w:rFonts w:cs="Times New Roman"/>
          <w:sz w:val="24"/>
          <w:szCs w:val="24"/>
        </w:rPr>
        <w:t xml:space="preserve"> </w:t>
      </w:r>
      <w:r w:rsidRPr="00CF3053">
        <w:rPr>
          <w:rFonts w:eastAsia="MS Gothic" w:cs="Times New Roman"/>
          <w:sz w:val="24"/>
          <w:szCs w:val="24"/>
        </w:rPr>
        <w:t>禮</w:t>
      </w:r>
      <w:r w:rsidRPr="00CF3053">
        <w:rPr>
          <w:rFonts w:cs="Times New Roman"/>
          <w:sz w:val="24"/>
          <w:szCs w:val="24"/>
        </w:rPr>
        <w:t xml:space="preserve">. Neither can be absent. Neither can replace </w:t>
      </w:r>
      <w:r w:rsidR="00AB13A7">
        <w:rPr>
          <w:rFonts w:cs="Times New Roman"/>
          <w:sz w:val="24"/>
          <w:szCs w:val="24"/>
        </w:rPr>
        <w:t>the</w:t>
      </w:r>
      <w:r w:rsidRPr="00CF3053">
        <w:rPr>
          <w:rFonts w:cs="Times New Roman"/>
          <w:sz w:val="24"/>
          <w:szCs w:val="24"/>
        </w:rPr>
        <w:t xml:space="preserve"> other. </w:t>
      </w:r>
    </w:p>
    <w:p w14:paraId="2732E780" w14:textId="77777777" w:rsidR="00CF3053" w:rsidRDefault="00CF3053" w:rsidP="002C4B5F">
      <w:pPr>
        <w:pStyle w:val="Heading2"/>
        <w:rPr>
          <w:rFonts w:asciiTheme="majorHAnsi" w:hAnsiTheme="majorHAnsi"/>
        </w:rPr>
      </w:pPr>
      <w:bookmarkStart w:id="40" w:name="_Toc102412734"/>
      <w:r>
        <w:lastRenderedPageBreak/>
        <w:t>4. Implications and Conclusion</w:t>
      </w:r>
      <w:bookmarkEnd w:id="40"/>
    </w:p>
    <w:p w14:paraId="66E7DDC2" w14:textId="77777777" w:rsidR="00CF3053" w:rsidRPr="00072DE6" w:rsidRDefault="00CF3053" w:rsidP="002C4B5F">
      <w:pPr>
        <w:spacing w:line="480" w:lineRule="auto"/>
        <w:rPr>
          <w:rFonts w:cs="Times New Roman"/>
          <w:sz w:val="24"/>
          <w:szCs w:val="24"/>
        </w:rPr>
      </w:pPr>
      <w:r>
        <w:tab/>
      </w:r>
      <w:r w:rsidRPr="00072DE6">
        <w:rPr>
          <w:rFonts w:cs="Times New Roman"/>
          <w:sz w:val="24"/>
          <w:szCs w:val="24"/>
        </w:rPr>
        <w:t xml:space="preserve">In conclusion, Confucian humility has two strands that are distinct yet interact with each other. They are vigilance rooted in love of learning and devotion towards responsibilities. When they are effectively expressed through </w:t>
      </w:r>
      <w:r w:rsidRPr="00072DE6">
        <w:rPr>
          <w:rFonts w:cs="Times New Roman"/>
          <w:i/>
          <w:iCs/>
          <w:sz w:val="24"/>
          <w:szCs w:val="24"/>
        </w:rPr>
        <w:t>li</w:t>
      </w:r>
      <w:r w:rsidRPr="00072DE6">
        <w:rPr>
          <w:rFonts w:cs="Times New Roman"/>
          <w:sz w:val="24"/>
          <w:szCs w:val="24"/>
        </w:rPr>
        <w:t>, they are recognized as Confucian humility.</w:t>
      </w:r>
    </w:p>
    <w:p w14:paraId="68334785" w14:textId="67E184CF" w:rsidR="00CF3053" w:rsidRPr="00072DE6" w:rsidRDefault="00CF3053" w:rsidP="002C4B5F">
      <w:pPr>
        <w:spacing w:line="480" w:lineRule="auto"/>
        <w:rPr>
          <w:rFonts w:cs="Times New Roman"/>
          <w:sz w:val="24"/>
          <w:szCs w:val="24"/>
        </w:rPr>
      </w:pPr>
      <w:r w:rsidRPr="00072DE6">
        <w:rPr>
          <w:rFonts w:cs="Times New Roman"/>
          <w:sz w:val="24"/>
          <w:szCs w:val="24"/>
        </w:rPr>
        <w:tab/>
        <w:t xml:space="preserve">To elaborate on the implications of this conclusion, I </w:t>
      </w:r>
      <w:r w:rsidR="00AB13A7" w:rsidRPr="00072DE6">
        <w:rPr>
          <w:rFonts w:cs="Times New Roman"/>
          <w:sz w:val="24"/>
          <w:szCs w:val="24"/>
        </w:rPr>
        <w:t>discuss</w:t>
      </w:r>
      <w:r w:rsidRPr="00072DE6">
        <w:rPr>
          <w:rFonts w:cs="Times New Roman"/>
          <w:sz w:val="24"/>
          <w:szCs w:val="24"/>
        </w:rPr>
        <w:t xml:space="preserve"> how my account relates to the four scholarly views discussed in section two. First, I agree with Li on her discussion that learning is deeply connected with </w:t>
      </w:r>
      <w:proofErr w:type="gramStart"/>
      <w:r w:rsidRPr="00072DE6">
        <w:rPr>
          <w:rFonts w:cs="Times New Roman"/>
          <w:sz w:val="24"/>
          <w:szCs w:val="24"/>
        </w:rPr>
        <w:t>humility, and</w:t>
      </w:r>
      <w:proofErr w:type="gramEnd"/>
      <w:r w:rsidRPr="00072DE6">
        <w:rPr>
          <w:rFonts w:cs="Times New Roman"/>
          <w:sz w:val="24"/>
          <w:szCs w:val="24"/>
        </w:rPr>
        <w:t xml:space="preserve"> incorporate </w:t>
      </w:r>
      <w:proofErr w:type="spellStart"/>
      <w:r w:rsidRPr="00072DE6">
        <w:rPr>
          <w:rFonts w:cs="Times New Roman"/>
          <w:sz w:val="24"/>
          <w:szCs w:val="24"/>
        </w:rPr>
        <w:t>Shun’s</w:t>
      </w:r>
      <w:proofErr w:type="spellEnd"/>
      <w:r w:rsidRPr="00072DE6">
        <w:rPr>
          <w:rFonts w:cs="Times New Roman"/>
          <w:sz w:val="24"/>
          <w:szCs w:val="24"/>
        </w:rPr>
        <w:t xml:space="preserve"> point about caution to further elaborate her insight that humility continues to be important even when a learner has made notable progress. I also agree with on her general point that humility has a dimension intimately involved in social interaction. This is also McLeod’s general position that Confucian humility is conducive to fostering social harmony. While Li and McLeod emphasize the significance of humility in fostering social harmony, I delineate areas where humility can be present, ranging from social interaction to acknowledgement of ancestors’ contribution, to inheritance of culture. </w:t>
      </w:r>
    </w:p>
    <w:p w14:paraId="124BB6AD" w14:textId="11E36A31" w:rsidR="00CF3053" w:rsidRPr="00072DE6" w:rsidRDefault="00CF3053" w:rsidP="002C4B5F">
      <w:pPr>
        <w:spacing w:line="480" w:lineRule="auto"/>
        <w:ind w:firstLine="720"/>
        <w:rPr>
          <w:rFonts w:cs="Times New Roman"/>
          <w:sz w:val="24"/>
          <w:szCs w:val="24"/>
        </w:rPr>
      </w:pPr>
      <w:r w:rsidRPr="00072DE6">
        <w:rPr>
          <w:rFonts w:cs="Times New Roman"/>
          <w:sz w:val="24"/>
          <w:szCs w:val="24"/>
        </w:rPr>
        <w:t xml:space="preserve">Then, regarding Rushing’s account, I take heed of her point that Confucian humility can be found in learning and self-cultivation. Whereas she argues that humility in learning is partly demonstrated in the willingness to listen, I offer a different angle that humility is also manifested in a self-critical attitude. My account also offers another explanation to her claim that Confucian humility is foundational, </w:t>
      </w:r>
      <w:r w:rsidR="004720FC" w:rsidRPr="00072DE6">
        <w:rPr>
          <w:rFonts w:cs="Times New Roman"/>
          <w:sz w:val="24"/>
          <w:szCs w:val="24"/>
        </w:rPr>
        <w:t xml:space="preserve">to </w:t>
      </w:r>
      <w:r w:rsidRPr="00072DE6">
        <w:rPr>
          <w:rFonts w:cs="Times New Roman"/>
          <w:sz w:val="24"/>
          <w:szCs w:val="24"/>
        </w:rPr>
        <w:t xml:space="preserve">which I will return after a discussion with </w:t>
      </w:r>
      <w:proofErr w:type="spellStart"/>
      <w:r w:rsidRPr="00072DE6">
        <w:rPr>
          <w:rFonts w:cs="Times New Roman"/>
          <w:sz w:val="24"/>
          <w:szCs w:val="24"/>
        </w:rPr>
        <w:t>Shun’s</w:t>
      </w:r>
      <w:proofErr w:type="spellEnd"/>
      <w:r w:rsidRPr="00072DE6">
        <w:rPr>
          <w:rFonts w:cs="Times New Roman"/>
          <w:sz w:val="24"/>
          <w:szCs w:val="24"/>
        </w:rPr>
        <w:t xml:space="preserve"> paper. </w:t>
      </w:r>
    </w:p>
    <w:p w14:paraId="7DABB9E6" w14:textId="5F23CE4F" w:rsidR="00CF3053" w:rsidRPr="00072DE6" w:rsidRDefault="00CF3053" w:rsidP="002C4B5F">
      <w:pPr>
        <w:spacing w:line="480" w:lineRule="auto"/>
        <w:ind w:firstLine="720"/>
        <w:rPr>
          <w:rFonts w:cs="Times New Roman"/>
          <w:sz w:val="24"/>
          <w:szCs w:val="24"/>
        </w:rPr>
      </w:pPr>
      <w:r w:rsidRPr="00072DE6">
        <w:rPr>
          <w:rFonts w:cs="Times New Roman"/>
          <w:sz w:val="24"/>
          <w:szCs w:val="24"/>
        </w:rPr>
        <w:t xml:space="preserve">As for </w:t>
      </w:r>
      <w:proofErr w:type="spellStart"/>
      <w:r w:rsidRPr="00072DE6">
        <w:rPr>
          <w:rFonts w:cs="Times New Roman"/>
          <w:sz w:val="24"/>
          <w:szCs w:val="24"/>
        </w:rPr>
        <w:t>Shun’s</w:t>
      </w:r>
      <w:proofErr w:type="spellEnd"/>
      <w:r w:rsidRPr="00072DE6">
        <w:rPr>
          <w:rFonts w:cs="Times New Roman"/>
          <w:sz w:val="24"/>
          <w:szCs w:val="24"/>
        </w:rPr>
        <w:t xml:space="preserve"> paper, I incorporate some of its insights into my account, especially the aspect of caution and vigilance. Shun has given numerous textual supports to show that such </w:t>
      </w:r>
      <w:r w:rsidR="004720FC" w:rsidRPr="00072DE6">
        <w:rPr>
          <w:rFonts w:cs="Times New Roman"/>
          <w:sz w:val="24"/>
          <w:szCs w:val="24"/>
        </w:rPr>
        <w:t xml:space="preserve">an </w:t>
      </w:r>
      <w:r w:rsidRPr="00072DE6">
        <w:rPr>
          <w:rFonts w:cs="Times New Roman"/>
          <w:sz w:val="24"/>
          <w:szCs w:val="24"/>
        </w:rPr>
        <w:t xml:space="preserve">attitude is prevalent in many different aspects. Focusing on the </w:t>
      </w:r>
      <w:r w:rsidRPr="00072DE6">
        <w:rPr>
          <w:rFonts w:cs="Times New Roman"/>
          <w:i/>
          <w:iCs/>
          <w:sz w:val="24"/>
          <w:szCs w:val="24"/>
        </w:rPr>
        <w:t>Analects</w:t>
      </w:r>
      <w:r w:rsidRPr="00072DE6">
        <w:rPr>
          <w:rFonts w:cs="Times New Roman"/>
          <w:sz w:val="24"/>
          <w:szCs w:val="24"/>
        </w:rPr>
        <w:t xml:space="preserve">, I have identified </w:t>
      </w:r>
      <w:r w:rsidR="004720FC" w:rsidRPr="00072DE6">
        <w:rPr>
          <w:rFonts w:cs="Times New Roman"/>
          <w:sz w:val="24"/>
          <w:szCs w:val="24"/>
        </w:rPr>
        <w:t>this</w:t>
      </w:r>
      <w:r w:rsidRPr="00072DE6">
        <w:rPr>
          <w:rFonts w:cs="Times New Roman"/>
          <w:sz w:val="24"/>
          <w:szCs w:val="24"/>
        </w:rPr>
        <w:t xml:space="preserve"> attitude and emotion most strongly in learning. I am struck by </w:t>
      </w:r>
      <w:proofErr w:type="spellStart"/>
      <w:r w:rsidRPr="00072DE6">
        <w:rPr>
          <w:rFonts w:cs="Times New Roman"/>
          <w:sz w:val="24"/>
          <w:szCs w:val="24"/>
        </w:rPr>
        <w:t>Shun’s</w:t>
      </w:r>
      <w:proofErr w:type="spellEnd"/>
      <w:r w:rsidRPr="00072DE6">
        <w:rPr>
          <w:rFonts w:cs="Times New Roman"/>
          <w:sz w:val="24"/>
          <w:szCs w:val="24"/>
        </w:rPr>
        <w:t xml:space="preserve"> </w:t>
      </w:r>
      <w:r w:rsidR="004720FC" w:rsidRPr="00072DE6">
        <w:rPr>
          <w:rFonts w:cs="Times New Roman"/>
          <w:sz w:val="24"/>
          <w:szCs w:val="24"/>
        </w:rPr>
        <w:t xml:space="preserve">view </w:t>
      </w:r>
      <w:r w:rsidRPr="00072DE6">
        <w:rPr>
          <w:rFonts w:cs="Times New Roman"/>
          <w:sz w:val="24"/>
          <w:szCs w:val="24"/>
        </w:rPr>
        <w:t xml:space="preserve">that Confucian humility has a global significance in Confucianism. Rather than being a more-or-less isolated </w:t>
      </w:r>
      <w:r w:rsidRPr="00072DE6">
        <w:rPr>
          <w:rFonts w:cs="Times New Roman"/>
          <w:sz w:val="24"/>
          <w:szCs w:val="24"/>
        </w:rPr>
        <w:lastRenderedPageBreak/>
        <w:t xml:space="preserve">virtue found in </w:t>
      </w:r>
      <w:r w:rsidR="004720FC" w:rsidRPr="00072DE6">
        <w:rPr>
          <w:rFonts w:cs="Times New Roman"/>
          <w:sz w:val="24"/>
          <w:szCs w:val="24"/>
        </w:rPr>
        <w:t xml:space="preserve">a </w:t>
      </w:r>
      <w:r w:rsidRPr="00072DE6">
        <w:rPr>
          <w:rFonts w:cs="Times New Roman"/>
          <w:sz w:val="24"/>
          <w:szCs w:val="24"/>
        </w:rPr>
        <w:t xml:space="preserve">certain specific area, </w:t>
      </w:r>
      <w:proofErr w:type="gramStart"/>
      <w:r w:rsidRPr="00072DE6">
        <w:rPr>
          <w:rFonts w:cs="Times New Roman"/>
          <w:sz w:val="24"/>
          <w:szCs w:val="24"/>
        </w:rPr>
        <w:t>Shun</w:t>
      </w:r>
      <w:proofErr w:type="gramEnd"/>
      <w:r w:rsidRPr="00072DE6">
        <w:rPr>
          <w:rFonts w:cs="Times New Roman"/>
          <w:sz w:val="24"/>
          <w:szCs w:val="24"/>
        </w:rPr>
        <w:t xml:space="preserve"> considers Confucian humility to be a general “posture towards one’s life as such.”</w:t>
      </w:r>
      <w:r w:rsidRPr="00072DE6">
        <w:rPr>
          <w:rStyle w:val="FootnoteReference"/>
          <w:rFonts w:cs="Times New Roman"/>
          <w:sz w:val="24"/>
          <w:szCs w:val="24"/>
        </w:rPr>
        <w:footnoteReference w:id="104"/>
      </w:r>
      <w:r w:rsidRPr="00072DE6">
        <w:rPr>
          <w:rFonts w:cs="Times New Roman"/>
          <w:sz w:val="24"/>
          <w:szCs w:val="24"/>
        </w:rPr>
        <w:t xml:space="preserve"> While I have not argued for it, my account implies a different explanation </w:t>
      </w:r>
      <w:r w:rsidR="004720FC" w:rsidRPr="00072DE6">
        <w:rPr>
          <w:rFonts w:cs="Times New Roman"/>
          <w:sz w:val="24"/>
          <w:szCs w:val="24"/>
        </w:rPr>
        <w:t>of</w:t>
      </w:r>
      <w:r w:rsidRPr="00072DE6">
        <w:rPr>
          <w:rFonts w:cs="Times New Roman"/>
          <w:sz w:val="24"/>
          <w:szCs w:val="24"/>
        </w:rPr>
        <w:t xml:space="preserve"> the general significance of Confucian humility. The two strands of humility combined form a running theme behind various Confucian virtues. The caution against self in one’s development and cultivation and devotion towards one’s responsibilities not only contribute to developing various Confucian virtue</w:t>
      </w:r>
      <w:r w:rsidR="004720FC" w:rsidRPr="00072DE6">
        <w:rPr>
          <w:rFonts w:cs="Times New Roman"/>
          <w:sz w:val="24"/>
          <w:szCs w:val="24"/>
        </w:rPr>
        <w:t>s</w:t>
      </w:r>
      <w:r w:rsidRPr="00072DE6">
        <w:rPr>
          <w:rFonts w:cs="Times New Roman"/>
          <w:sz w:val="24"/>
          <w:szCs w:val="24"/>
        </w:rPr>
        <w:t xml:space="preserve"> such as </w:t>
      </w:r>
      <w:r w:rsidRPr="00072DE6">
        <w:rPr>
          <w:rFonts w:cs="Times New Roman"/>
          <w:i/>
          <w:iCs/>
          <w:sz w:val="24"/>
          <w:szCs w:val="24"/>
        </w:rPr>
        <w:t>xiao</w:t>
      </w:r>
      <w:r w:rsidRPr="00072DE6">
        <w:rPr>
          <w:rFonts w:cs="Times New Roman"/>
          <w:sz w:val="24"/>
          <w:szCs w:val="24"/>
        </w:rPr>
        <w:t xml:space="preserve">, </w:t>
      </w:r>
      <w:proofErr w:type="spellStart"/>
      <w:r w:rsidRPr="00072DE6">
        <w:rPr>
          <w:rFonts w:cs="Times New Roman"/>
          <w:i/>
          <w:iCs/>
          <w:sz w:val="24"/>
          <w:szCs w:val="24"/>
        </w:rPr>
        <w:t>zhong</w:t>
      </w:r>
      <w:proofErr w:type="spellEnd"/>
      <w:r w:rsidRPr="00072DE6">
        <w:rPr>
          <w:rFonts w:cs="Times New Roman"/>
          <w:sz w:val="24"/>
          <w:szCs w:val="24"/>
        </w:rPr>
        <w:t xml:space="preserve">, and </w:t>
      </w:r>
      <w:proofErr w:type="spellStart"/>
      <w:r w:rsidRPr="00072DE6">
        <w:rPr>
          <w:rFonts w:cs="Times New Roman"/>
          <w:i/>
          <w:iCs/>
          <w:sz w:val="24"/>
          <w:szCs w:val="24"/>
        </w:rPr>
        <w:t>yi</w:t>
      </w:r>
      <w:proofErr w:type="spellEnd"/>
      <w:r w:rsidRPr="00072DE6">
        <w:rPr>
          <w:rFonts w:cs="Times New Roman"/>
          <w:sz w:val="24"/>
          <w:szCs w:val="24"/>
        </w:rPr>
        <w:t>, but</w:t>
      </w:r>
      <w:r w:rsidRPr="00072DE6">
        <w:rPr>
          <w:rFonts w:cs="Times New Roman"/>
          <w:i/>
          <w:iCs/>
          <w:sz w:val="24"/>
          <w:szCs w:val="24"/>
        </w:rPr>
        <w:t xml:space="preserve"> </w:t>
      </w:r>
      <w:r w:rsidRPr="00072DE6">
        <w:rPr>
          <w:rFonts w:cs="Times New Roman"/>
          <w:sz w:val="24"/>
          <w:szCs w:val="24"/>
        </w:rPr>
        <w:t>are a part of what it means to be a good child, a good friend, (later on) a good parent, a good servant, and overall, a good Confucian.</w:t>
      </w:r>
      <w:r w:rsidRPr="00072DE6">
        <w:rPr>
          <w:rStyle w:val="FootnoteReference"/>
          <w:rFonts w:cs="Times New Roman"/>
          <w:sz w:val="24"/>
          <w:szCs w:val="24"/>
        </w:rPr>
        <w:footnoteReference w:id="105"/>
      </w:r>
      <w:r w:rsidRPr="00072DE6">
        <w:rPr>
          <w:rFonts w:cs="Times New Roman"/>
          <w:sz w:val="24"/>
          <w:szCs w:val="24"/>
        </w:rPr>
        <w:t xml:space="preserve"> This is another sense in which Confucian humility is foundational, that it partly constitutes various Confucian virtues. </w:t>
      </w:r>
    </w:p>
    <w:p w14:paraId="7BD2995A" w14:textId="0D9DF4D1" w:rsidR="00CF3053" w:rsidRPr="00072DE6" w:rsidRDefault="00CF3053" w:rsidP="002C4B5F">
      <w:pPr>
        <w:spacing w:line="480" w:lineRule="auto"/>
        <w:ind w:firstLine="720"/>
        <w:rPr>
          <w:rFonts w:cs="Times New Roman"/>
        </w:rPr>
      </w:pPr>
      <w:proofErr w:type="gramStart"/>
      <w:r w:rsidRPr="00072DE6">
        <w:rPr>
          <w:rFonts w:cs="Times New Roman"/>
          <w:sz w:val="24"/>
          <w:szCs w:val="24"/>
        </w:rPr>
        <w:t>Last but not least</w:t>
      </w:r>
      <w:proofErr w:type="gramEnd"/>
      <w:r w:rsidRPr="00072DE6">
        <w:rPr>
          <w:rFonts w:cs="Times New Roman"/>
          <w:sz w:val="24"/>
          <w:szCs w:val="24"/>
        </w:rPr>
        <w:t xml:space="preserve">, as a general addition to all four papers, I highlight the significance of </w:t>
      </w:r>
      <w:r w:rsidRPr="00072DE6">
        <w:rPr>
          <w:rFonts w:cs="Times New Roman"/>
          <w:i/>
          <w:iCs/>
          <w:sz w:val="24"/>
          <w:szCs w:val="24"/>
        </w:rPr>
        <w:t>li</w:t>
      </w:r>
      <w:r w:rsidRPr="00072DE6">
        <w:rPr>
          <w:rFonts w:cs="Times New Roman"/>
          <w:sz w:val="24"/>
          <w:szCs w:val="24"/>
        </w:rPr>
        <w:t xml:space="preserve"> to Confucian humility. Put briefly, </w:t>
      </w:r>
      <w:r w:rsidRPr="00072DE6">
        <w:rPr>
          <w:rFonts w:cs="Times New Roman"/>
          <w:i/>
          <w:iCs/>
          <w:sz w:val="24"/>
          <w:szCs w:val="24"/>
        </w:rPr>
        <w:t xml:space="preserve">li </w:t>
      </w:r>
      <w:r w:rsidRPr="00072DE6">
        <w:rPr>
          <w:rFonts w:cs="Times New Roman"/>
          <w:sz w:val="24"/>
          <w:szCs w:val="24"/>
        </w:rPr>
        <w:t xml:space="preserve">is a necessary component of Confucian humility. This implies that the inner states, no matter how elaborate, </w:t>
      </w:r>
      <w:r w:rsidR="004720FC" w:rsidRPr="00072DE6">
        <w:rPr>
          <w:rFonts w:cs="Times New Roman"/>
          <w:sz w:val="24"/>
          <w:szCs w:val="24"/>
        </w:rPr>
        <w:t>are</w:t>
      </w:r>
      <w:r w:rsidRPr="00072DE6">
        <w:rPr>
          <w:rFonts w:cs="Times New Roman"/>
          <w:sz w:val="24"/>
          <w:szCs w:val="24"/>
        </w:rPr>
        <w:t xml:space="preserve"> not sufficient to capture the complexity of Confucian humility.</w:t>
      </w:r>
      <w:r w:rsidRPr="00072DE6">
        <w:rPr>
          <w:rStyle w:val="FootnoteReference"/>
          <w:rFonts w:cs="Times New Roman"/>
          <w:sz w:val="24"/>
          <w:szCs w:val="24"/>
        </w:rPr>
        <w:footnoteReference w:id="106"/>
      </w:r>
      <w:r w:rsidRPr="00072DE6">
        <w:rPr>
          <w:rFonts w:cs="Times New Roman"/>
          <w:sz w:val="24"/>
          <w:szCs w:val="24"/>
        </w:rPr>
        <w:t xml:space="preserve"> This also implies, however, that Confucian humility becomes complicated with this element of </w:t>
      </w:r>
      <w:r w:rsidRPr="00072DE6">
        <w:rPr>
          <w:rFonts w:cs="Times New Roman"/>
          <w:i/>
          <w:iCs/>
          <w:sz w:val="24"/>
          <w:szCs w:val="24"/>
        </w:rPr>
        <w:t>li</w:t>
      </w:r>
      <w:r w:rsidRPr="00072DE6">
        <w:rPr>
          <w:rFonts w:cs="Times New Roman"/>
          <w:sz w:val="24"/>
          <w:szCs w:val="24"/>
        </w:rPr>
        <w:t xml:space="preserve">. In addition to the issues of effective communication that I discussed above, there is also a complication that actions that seem like an expression of humility, such as the courtly etiquette of meeting the lord, might be simply a matter of </w:t>
      </w:r>
      <w:r w:rsidRPr="00072DE6">
        <w:rPr>
          <w:rFonts w:cs="Times New Roman"/>
          <w:i/>
          <w:iCs/>
          <w:sz w:val="24"/>
          <w:szCs w:val="24"/>
        </w:rPr>
        <w:t>li</w:t>
      </w:r>
      <w:r w:rsidRPr="00072DE6">
        <w:rPr>
          <w:rFonts w:cs="Times New Roman"/>
          <w:sz w:val="24"/>
          <w:szCs w:val="24"/>
        </w:rPr>
        <w:t xml:space="preserve"> </w:t>
      </w:r>
      <w:r w:rsidRPr="00072DE6">
        <w:rPr>
          <w:rFonts w:cs="Times New Roman"/>
          <w:sz w:val="24"/>
          <w:szCs w:val="24"/>
        </w:rPr>
        <w:lastRenderedPageBreak/>
        <w:t>performance rather than humility.</w:t>
      </w:r>
      <w:r w:rsidRPr="00072DE6">
        <w:rPr>
          <w:rStyle w:val="FootnoteReference"/>
          <w:rFonts w:cs="Times New Roman"/>
          <w:sz w:val="24"/>
          <w:szCs w:val="24"/>
        </w:rPr>
        <w:footnoteReference w:id="107"/>
      </w:r>
      <w:r w:rsidRPr="00072DE6">
        <w:rPr>
          <w:rFonts w:cs="Times New Roman"/>
          <w:sz w:val="24"/>
          <w:szCs w:val="24"/>
        </w:rPr>
        <w:t xml:space="preserve"> However, if I am on the right track that Confucian humility takes seriously issues of communication, recognition, and therefore, </w:t>
      </w:r>
      <w:r w:rsidRPr="00072DE6">
        <w:rPr>
          <w:rFonts w:cs="Times New Roman"/>
          <w:i/>
          <w:iCs/>
          <w:sz w:val="24"/>
          <w:szCs w:val="24"/>
        </w:rPr>
        <w:t>li</w:t>
      </w:r>
      <w:r w:rsidRPr="00072DE6">
        <w:rPr>
          <w:rFonts w:cs="Times New Roman"/>
          <w:sz w:val="24"/>
          <w:szCs w:val="24"/>
        </w:rPr>
        <w:t xml:space="preserve">, all these complexities only point to the richness of Confucian humility, rather than adding unnecessary confusions that are not pertinent. </w:t>
      </w:r>
    </w:p>
    <w:p w14:paraId="595205D5" w14:textId="77777777" w:rsidR="00CF3053" w:rsidRDefault="00CF3053" w:rsidP="00CF3053">
      <w:pPr>
        <w:rPr>
          <w:rFonts w:ascii="Calibri" w:hAnsi="Calibri" w:cs="Calibri"/>
        </w:rPr>
      </w:pPr>
    </w:p>
    <w:p w14:paraId="3AB6AB33" w14:textId="3E13254F" w:rsidR="002C4B5F" w:rsidRDefault="002C4B5F">
      <w:pPr>
        <w:rPr>
          <w:rFonts w:ascii="Calibri" w:hAnsi="Calibri" w:cs="Calibri"/>
        </w:rPr>
      </w:pPr>
      <w:r>
        <w:rPr>
          <w:rFonts w:ascii="Calibri" w:hAnsi="Calibri" w:cs="Calibri"/>
        </w:rPr>
        <w:br w:type="page"/>
      </w:r>
    </w:p>
    <w:p w14:paraId="0CD28FCF" w14:textId="77777777" w:rsidR="00CF3053" w:rsidRDefault="00CF3053" w:rsidP="002C4B5F">
      <w:pPr>
        <w:pStyle w:val="Heading2"/>
        <w:rPr>
          <w:rFonts w:asciiTheme="majorHAnsi" w:hAnsiTheme="majorHAnsi"/>
        </w:rPr>
      </w:pPr>
      <w:bookmarkStart w:id="41" w:name="_Toc102412735"/>
      <w:r>
        <w:lastRenderedPageBreak/>
        <w:t>Bibliography</w:t>
      </w:r>
      <w:bookmarkEnd w:id="41"/>
    </w:p>
    <w:p w14:paraId="04E3A83B" w14:textId="77777777" w:rsidR="00CF3053" w:rsidRDefault="00CF3053" w:rsidP="00CF3053">
      <w:pPr>
        <w:pStyle w:val="Bibliography"/>
      </w:pPr>
      <w:r>
        <w:rPr>
          <w:rFonts w:ascii="Calibri" w:hAnsi="Calibri" w:cs="Calibri"/>
        </w:rPr>
        <w:fldChar w:fldCharType="begin"/>
      </w:r>
      <w:r>
        <w:rPr>
          <w:rFonts w:ascii="Calibri" w:hAnsi="Calibri" w:cs="Calibri"/>
        </w:rPr>
        <w:instrText xml:space="preserve"> ADDIN ZOTERO_BIBL {"uncited":[],"omitted":[],"custom":[]} CSL_BIBLIOGRAPHY </w:instrText>
      </w:r>
      <w:r>
        <w:rPr>
          <w:rFonts w:ascii="Calibri" w:hAnsi="Calibri" w:cs="Calibri"/>
        </w:rPr>
        <w:fldChar w:fldCharType="separate"/>
      </w:r>
      <w:r>
        <w:t xml:space="preserve">Alfano, Mark, Michael P. Lynch, and Alessandra Tanesini, eds. </w:t>
      </w:r>
      <w:r>
        <w:rPr>
          <w:i/>
          <w:iCs/>
        </w:rPr>
        <w:t>The Routledge Handbook of Philosophy of Humility</w:t>
      </w:r>
      <w:r>
        <w:t>. Routledge Handbooks in Philosophy. Abingdon, Oxon ; New York, NY: Routledge, 2020.</w:t>
      </w:r>
    </w:p>
    <w:p w14:paraId="2CB9A378" w14:textId="77777777" w:rsidR="00CF3053" w:rsidRDefault="00CF3053" w:rsidP="00CF3053">
      <w:pPr>
        <w:pStyle w:val="Bibliography"/>
      </w:pPr>
      <w:r>
        <w:t xml:space="preserve">Ames, Roger T., and Henry Rosemont, trans. </w:t>
      </w:r>
      <w:r>
        <w:rPr>
          <w:i/>
          <w:iCs/>
        </w:rPr>
        <w:t>The Analects of Confucius: A Philosophical Translation</w:t>
      </w:r>
      <w:r>
        <w:t>. 1st trade pbk. ed. Classics of Ancient China. New York: Ballantine Books, 1999.</w:t>
      </w:r>
    </w:p>
    <w:p w14:paraId="68C109BC" w14:textId="77777777" w:rsidR="00CF3053" w:rsidRDefault="00CF3053" w:rsidP="00CF3053">
      <w:pPr>
        <w:pStyle w:val="Bibliography"/>
      </w:pPr>
      <w:r>
        <w:t xml:space="preserve">Cheng </w:t>
      </w:r>
      <w:r>
        <w:rPr>
          <w:rFonts w:ascii="MS Gothic" w:eastAsia="MS Gothic" w:hAnsi="MS Gothic" w:cs="MS Gothic" w:hint="eastAsia"/>
        </w:rPr>
        <w:t>程</w:t>
      </w:r>
      <w:r>
        <w:t xml:space="preserve">, Shude </w:t>
      </w:r>
      <w:r>
        <w:rPr>
          <w:rFonts w:ascii="MS Gothic" w:eastAsia="MS Gothic" w:hAnsi="MS Gothic" w:cs="MS Gothic" w:hint="eastAsia"/>
        </w:rPr>
        <w:t>樹德</w:t>
      </w:r>
      <w:r>
        <w:t xml:space="preserve">. </w:t>
      </w:r>
      <w:r>
        <w:rPr>
          <w:i/>
          <w:iCs/>
        </w:rPr>
        <w:t xml:space="preserve">Lun Yu Ji Shi </w:t>
      </w:r>
      <w:r>
        <w:rPr>
          <w:rFonts w:ascii="MS Gothic" w:eastAsia="MS Gothic" w:hAnsi="MS Gothic" w:cs="MS Gothic" w:hint="eastAsia"/>
          <w:i/>
          <w:iCs/>
        </w:rPr>
        <w:t>論語集釋</w:t>
      </w:r>
      <w:r>
        <w:t xml:space="preserve">. Edited by Junying </w:t>
      </w:r>
      <w:r>
        <w:rPr>
          <w:rFonts w:ascii="MS Gothic" w:eastAsia="MS Gothic" w:hAnsi="MS Gothic" w:cs="MS Gothic" w:hint="eastAsia"/>
        </w:rPr>
        <w:t>俊英</w:t>
      </w:r>
      <w:r>
        <w:t xml:space="preserve"> Cheng </w:t>
      </w:r>
      <w:r>
        <w:rPr>
          <w:rFonts w:ascii="MS Gothic" w:eastAsia="MS Gothic" w:hAnsi="MS Gothic" w:cs="MS Gothic" w:hint="eastAsia"/>
        </w:rPr>
        <w:t>程</w:t>
      </w:r>
      <w:r>
        <w:t xml:space="preserve"> and Jianyuan </w:t>
      </w:r>
      <w:r>
        <w:rPr>
          <w:rFonts w:ascii="MS Gothic" w:eastAsia="MS Gothic" w:hAnsi="MS Gothic" w:cs="MS Gothic" w:hint="eastAsia"/>
        </w:rPr>
        <w:t>見元</w:t>
      </w:r>
      <w:r>
        <w:t xml:space="preserve"> Jiang </w:t>
      </w:r>
      <w:r>
        <w:rPr>
          <w:rFonts w:ascii="MS Gothic" w:eastAsia="MS Gothic" w:hAnsi="MS Gothic" w:cs="MS Gothic" w:hint="eastAsia"/>
        </w:rPr>
        <w:t>蔣</w:t>
      </w:r>
      <w:r>
        <w:t xml:space="preserve">. Xin Bian Zhu Zi Ji Cheng. Beijing </w:t>
      </w:r>
      <w:r>
        <w:rPr>
          <w:rFonts w:ascii="MS Gothic" w:eastAsia="MS Gothic" w:hAnsi="MS Gothic" w:cs="MS Gothic" w:hint="eastAsia"/>
        </w:rPr>
        <w:t>北京</w:t>
      </w:r>
      <w:r>
        <w:t xml:space="preserve">: Zhonghua shu ju : Xin hua shu dian Beijing fa xing suo fa xing </w:t>
      </w:r>
      <w:r>
        <w:rPr>
          <w:rFonts w:ascii="MS Gothic" w:eastAsia="MS Gothic" w:hAnsi="MS Gothic" w:cs="MS Gothic" w:hint="eastAsia"/>
        </w:rPr>
        <w:t>新華書店：北京發行所發行</w:t>
      </w:r>
      <w:r>
        <w:t>, 1990.</w:t>
      </w:r>
    </w:p>
    <w:p w14:paraId="509F54A7" w14:textId="77777777" w:rsidR="00CF3053" w:rsidRDefault="00CF3053" w:rsidP="00CF3053">
      <w:pPr>
        <w:pStyle w:val="Bibliography"/>
      </w:pPr>
      <w:r>
        <w:t xml:space="preserve">Confucius, E. Bruce Brooks, and A. Taeko Brooks. </w:t>
      </w:r>
      <w:r>
        <w:rPr>
          <w:i/>
          <w:iCs/>
        </w:rPr>
        <w:t>The Original Analects: Sayings of Confucius and His Successors</w:t>
      </w:r>
      <w:r>
        <w:t>. Translations from the Asian Classics. New York [Great Britain]: Columbia University Press, 1998.</w:t>
      </w:r>
    </w:p>
    <w:p w14:paraId="0B7F5EF7" w14:textId="77777777" w:rsidR="00CF3053" w:rsidRDefault="00CF3053" w:rsidP="00CF3053">
      <w:pPr>
        <w:pStyle w:val="Bibliography"/>
      </w:pPr>
      <w:r>
        <w:t xml:space="preserve">Li, Jin. “Humility in Learning: A Confucian Perspective.” </w:t>
      </w:r>
      <w:r>
        <w:rPr>
          <w:i/>
          <w:iCs/>
        </w:rPr>
        <w:t>Journal of Moral Education</w:t>
      </w:r>
      <w:r>
        <w:t xml:space="preserve"> 45, no. 2 (April 2, 2016): 147–65. https://doi.org/10.1080/03057240.2016.1168736.</w:t>
      </w:r>
    </w:p>
    <w:p w14:paraId="306AEA78" w14:textId="77777777" w:rsidR="00CF3053" w:rsidRDefault="00CF3053" w:rsidP="00CF3053">
      <w:pPr>
        <w:pStyle w:val="Bibliography"/>
      </w:pPr>
      <w:r>
        <w:t xml:space="preserve">Li </w:t>
      </w:r>
      <w:r>
        <w:rPr>
          <w:rFonts w:ascii="MS Gothic" w:eastAsia="MS Gothic" w:hAnsi="MS Gothic" w:cs="MS Gothic" w:hint="eastAsia"/>
        </w:rPr>
        <w:t>李</w:t>
      </w:r>
      <w:r>
        <w:t xml:space="preserve">, Ling </w:t>
      </w:r>
      <w:r>
        <w:rPr>
          <w:rFonts w:ascii="MS Gothic" w:eastAsia="MS Gothic" w:hAnsi="MS Gothic" w:cs="MS Gothic" w:hint="eastAsia"/>
        </w:rPr>
        <w:t>零</w:t>
      </w:r>
      <w:r>
        <w:t xml:space="preserve">. </w:t>
      </w:r>
      <w:r>
        <w:rPr>
          <w:i/>
          <w:iCs/>
        </w:rPr>
        <w:t xml:space="preserve">Sang Jia Gou: Wo Du “Lun Yu” </w:t>
      </w:r>
      <w:r>
        <w:rPr>
          <w:rFonts w:ascii="Microsoft JhengHei" w:eastAsia="Microsoft JhengHei" w:hAnsi="Microsoft JhengHei" w:cs="Microsoft JhengHei" w:hint="eastAsia"/>
          <w:i/>
          <w:iCs/>
        </w:rPr>
        <w:t>丧家犬</w:t>
      </w:r>
      <w:r>
        <w:rPr>
          <w:i/>
          <w:iCs/>
        </w:rPr>
        <w:t xml:space="preserve"> -- </w:t>
      </w:r>
      <w:r>
        <w:rPr>
          <w:rFonts w:ascii="MS Gothic" w:eastAsia="MS Gothic" w:hAnsi="MS Gothic" w:cs="MS Gothic" w:hint="eastAsia"/>
          <w:i/>
          <w:iCs/>
        </w:rPr>
        <w:t>我</w:t>
      </w:r>
      <w:r>
        <w:rPr>
          <w:rFonts w:ascii="Microsoft JhengHei" w:eastAsia="Microsoft JhengHei" w:hAnsi="Microsoft JhengHei" w:cs="Microsoft JhengHei" w:hint="eastAsia"/>
          <w:i/>
          <w:iCs/>
        </w:rPr>
        <w:t>读</w:t>
      </w:r>
      <w:r>
        <w:rPr>
          <w:rFonts w:ascii="MS Gothic" w:eastAsia="MS Gothic" w:hAnsi="MS Gothic" w:cs="MS Gothic" w:hint="eastAsia"/>
          <w:i/>
          <w:iCs/>
        </w:rPr>
        <w:t>《</w:t>
      </w:r>
      <w:r>
        <w:rPr>
          <w:rFonts w:ascii="Microsoft JhengHei" w:eastAsia="Microsoft JhengHei" w:hAnsi="Microsoft JhengHei" w:cs="Microsoft JhengHei" w:hint="eastAsia"/>
          <w:i/>
          <w:iCs/>
        </w:rPr>
        <w:t>论语》</w:t>
      </w:r>
      <w:r>
        <w:t>. Xiu ding ban, di 1 ban. Taiyuan: Shanxi ren min chu ban she, 2007.</w:t>
      </w:r>
    </w:p>
    <w:p w14:paraId="10B1D50A" w14:textId="77777777" w:rsidR="00CF3053" w:rsidRDefault="00CF3053" w:rsidP="00CF3053">
      <w:pPr>
        <w:pStyle w:val="Bibliography"/>
      </w:pPr>
      <w:r>
        <w:t>McLeod, Alexus. “Humility in Early Confucianism.” The Routledge Handbook of Philosophy of Humility. Routledge, June 15, 2020. https://doi.org/10.4324/9781351107532-26.</w:t>
      </w:r>
    </w:p>
    <w:p w14:paraId="11469323" w14:textId="77777777" w:rsidR="00CF3053" w:rsidRDefault="00CF3053" w:rsidP="00CF3053">
      <w:pPr>
        <w:pStyle w:val="Bibliography"/>
      </w:pPr>
      <w:r>
        <w:t xml:space="preserve">Rushing, Sara. “Comparative Humilities: Christian, Contemporary, and Confucian Conceptions of a Political Virtue.” </w:t>
      </w:r>
      <w:r>
        <w:rPr>
          <w:i/>
          <w:iCs/>
        </w:rPr>
        <w:t>Polity</w:t>
      </w:r>
      <w:r>
        <w:t xml:space="preserve"> 45, no. 2 (2013): 198–222.</w:t>
      </w:r>
    </w:p>
    <w:p w14:paraId="5B876986" w14:textId="77777777" w:rsidR="00CF3053" w:rsidRDefault="00CF3053" w:rsidP="00CF3053">
      <w:pPr>
        <w:pStyle w:val="Bibliography"/>
      </w:pPr>
      <w:r>
        <w:t xml:space="preserve">———. “What Is Confucian Humility?” In </w:t>
      </w:r>
      <w:r>
        <w:rPr>
          <w:i/>
          <w:iCs/>
        </w:rPr>
        <w:t>Virtue Ethics and Confucianism</w:t>
      </w:r>
      <w:r>
        <w:t>, edited by Stephen C Angle and Michael Slote, 173–81. New York: Routledge, 2013.</w:t>
      </w:r>
    </w:p>
    <w:p w14:paraId="74E82247" w14:textId="77777777" w:rsidR="00CF3053" w:rsidRDefault="00CF3053" w:rsidP="00CF3053">
      <w:pPr>
        <w:pStyle w:val="Bibliography"/>
      </w:pPr>
      <w:r>
        <w:t xml:space="preserve">Shun, Kwong-loi. “Dimensions of Humility in Early Confucian Thought.” </w:t>
      </w:r>
      <w:r>
        <w:rPr>
          <w:i/>
          <w:iCs/>
        </w:rPr>
        <w:t>Journal of Chinese Philosophy</w:t>
      </w:r>
      <w:r>
        <w:t>, February 10, 2021, 1–15. https://doi.org/10.1163/15406253-12340001.</w:t>
      </w:r>
    </w:p>
    <w:p w14:paraId="0877ED84" w14:textId="77777777" w:rsidR="00CF3053" w:rsidRDefault="00CF3053" w:rsidP="00CF3053">
      <w:pPr>
        <w:pStyle w:val="Bibliography"/>
      </w:pPr>
      <w:r>
        <w:t xml:space="preserve">———. “Early Confucian Moral Psychology.” In </w:t>
      </w:r>
      <w:r>
        <w:rPr>
          <w:i/>
          <w:iCs/>
        </w:rPr>
        <w:t>Dao Companion to Classical Confucian Philosophy</w:t>
      </w:r>
      <w:r>
        <w:t>, edited by Vincent Shen, 263–89. Dao Companions to Chinese Philosophy. Dordrecht: Springer Netherlands, 2014. https://doi.org/10.1007/978-90-481-2936-2_12.</w:t>
      </w:r>
    </w:p>
    <w:p w14:paraId="7BDF8DD5" w14:textId="77777777" w:rsidR="00CF3053" w:rsidRDefault="00CF3053" w:rsidP="00CF3053">
      <w:pPr>
        <w:pStyle w:val="Bibliography"/>
      </w:pPr>
      <w:r>
        <w:t xml:space="preserve">Slingerland, Edward G., trans. </w:t>
      </w:r>
      <w:r>
        <w:rPr>
          <w:i/>
          <w:iCs/>
        </w:rPr>
        <w:t>Confucius Analects: With Selection from Traditional Commentaries</w:t>
      </w:r>
      <w:r>
        <w:t>. Indianapolis, IN: Hackett Pub. Co, 2003.</w:t>
      </w:r>
    </w:p>
    <w:p w14:paraId="4A511D03" w14:textId="77777777" w:rsidR="00CF3053" w:rsidRDefault="00CF3053" w:rsidP="00CF3053">
      <w:pPr>
        <w:pStyle w:val="Bibliography"/>
      </w:pPr>
      <w:r>
        <w:t>Snow, Nancy E. “Theories of Humility: An Overview.” The Routledge Handbook of Philosophy of Humility. Routledge, June 15, 2020. https://doi.org/10.4324/9781351107532-3.</w:t>
      </w:r>
    </w:p>
    <w:p w14:paraId="24D2E704" w14:textId="77777777" w:rsidR="00CF3053" w:rsidRDefault="00CF3053" w:rsidP="00CF3053">
      <w:pPr>
        <w:pStyle w:val="Bibliography"/>
      </w:pPr>
      <w:r>
        <w:t xml:space="preserve">Sun </w:t>
      </w:r>
      <w:r>
        <w:rPr>
          <w:rFonts w:ascii="Microsoft JhengHei" w:eastAsia="Microsoft JhengHei" w:hAnsi="Microsoft JhengHei" w:cs="Microsoft JhengHei" w:hint="eastAsia"/>
        </w:rPr>
        <w:t>孙</w:t>
      </w:r>
      <w:r>
        <w:t xml:space="preserve">, Qinshan </w:t>
      </w:r>
      <w:r>
        <w:rPr>
          <w:rFonts w:ascii="Microsoft JhengHei" w:eastAsia="Microsoft JhengHei" w:hAnsi="Microsoft JhengHei" w:cs="Microsoft JhengHei" w:hint="eastAsia"/>
        </w:rPr>
        <w:t>钦</w:t>
      </w:r>
      <w:r>
        <w:rPr>
          <w:rFonts w:ascii="MS Gothic" w:eastAsia="MS Gothic" w:hAnsi="MS Gothic" w:cs="MS Gothic" w:hint="eastAsia"/>
        </w:rPr>
        <w:t>善</w:t>
      </w:r>
      <w:r>
        <w:t xml:space="preserve">. </w:t>
      </w:r>
      <w:r>
        <w:rPr>
          <w:i/>
          <w:iCs/>
        </w:rPr>
        <w:t xml:space="preserve">Lun Yu Ben Jie </w:t>
      </w:r>
      <w:r>
        <w:rPr>
          <w:rFonts w:ascii="Microsoft JhengHei" w:eastAsia="Microsoft JhengHei" w:hAnsi="Microsoft JhengHei" w:cs="Microsoft JhengHei" w:hint="eastAsia"/>
          <w:i/>
          <w:iCs/>
        </w:rPr>
        <w:t>论语本解</w:t>
      </w:r>
      <w:r>
        <w:t>. Xiu ding ban. Beijing Shi: Sheng huo - du shu - xin zhi san lian shu dian, 2013.</w:t>
      </w:r>
    </w:p>
    <w:p w14:paraId="49F53FA5" w14:textId="77777777" w:rsidR="00CF3053" w:rsidRDefault="00CF3053" w:rsidP="00CF3053">
      <w:pPr>
        <w:pStyle w:val="Bibliography"/>
      </w:pPr>
      <w:r>
        <w:t xml:space="preserve">Wong, David B. “Relational and Autonomous Selves.” </w:t>
      </w:r>
      <w:r>
        <w:rPr>
          <w:i/>
          <w:iCs/>
        </w:rPr>
        <w:t>Journal of Chinese Philosophy</w:t>
      </w:r>
      <w:r>
        <w:t xml:space="preserve"> 31, no. 4 (December 2004): 419–32. https://doi.org/10.1111/j.1540-6253.2004.00163.x.</w:t>
      </w:r>
    </w:p>
    <w:p w14:paraId="0C59C06A" w14:textId="77777777" w:rsidR="0092467A" w:rsidRDefault="00CF3053" w:rsidP="00CF3053">
      <w:pPr>
        <w:pStyle w:val="Bibliography"/>
        <w:sectPr w:rsidR="0092467A" w:rsidSect="00041FC6">
          <w:footnotePr>
            <w:numRestart w:val="eachSect"/>
          </w:footnotePr>
          <w:pgSz w:w="12240" w:h="15840"/>
          <w:pgMar w:top="1440" w:right="1440" w:bottom="1440" w:left="1440" w:header="720" w:footer="720" w:gutter="0"/>
          <w:cols w:space="720"/>
          <w:titlePg/>
          <w:docGrid w:linePitch="360"/>
        </w:sectPr>
      </w:pPr>
      <w:r>
        <w:t xml:space="preserve">Wright, Jennifer Cole, ed. </w:t>
      </w:r>
      <w:r>
        <w:rPr>
          <w:i/>
          <w:iCs/>
        </w:rPr>
        <w:t>Humility</w:t>
      </w:r>
      <w:r>
        <w:t>. The Virtues: Multidisciplinary Perspectives. New York: Oxford University Press, 2019.</w:t>
      </w:r>
    </w:p>
    <w:p w14:paraId="15017F74" w14:textId="03803328" w:rsidR="00EA5D45" w:rsidRPr="00EA5D45" w:rsidRDefault="00CF3053" w:rsidP="00EA5D45">
      <w:pPr>
        <w:pStyle w:val="Heading1"/>
        <w:rPr>
          <w:rFonts w:ascii="Times New Roman" w:hAnsi="Times New Roman" w:cs="Times New Roman"/>
        </w:rPr>
      </w:pPr>
      <w:r>
        <w:rPr>
          <w:rFonts w:ascii="Calibri" w:hAnsi="Calibri" w:cs="Calibri"/>
        </w:rPr>
        <w:lastRenderedPageBreak/>
        <w:fldChar w:fldCharType="end"/>
      </w:r>
      <w:bookmarkStart w:id="42" w:name="_Toc102412736"/>
      <w:r w:rsidR="00EA5D45" w:rsidRPr="00EA5D45">
        <w:rPr>
          <w:rFonts w:ascii="Times New Roman" w:hAnsi="Times New Roman" w:cs="Times New Roman"/>
        </w:rPr>
        <w:t>Paper Three: How We Need Others: A Defense of Strong Relational Virtue</w:t>
      </w:r>
      <w:bookmarkEnd w:id="42"/>
    </w:p>
    <w:p w14:paraId="75833372" w14:textId="77777777" w:rsidR="00EA5D45" w:rsidRPr="007A411C" w:rsidRDefault="00EA5D45" w:rsidP="00EA5D45">
      <w:pPr>
        <w:jc w:val="center"/>
        <w:rPr>
          <w:rFonts w:cs="Times New Roman"/>
          <w:sz w:val="24"/>
          <w:szCs w:val="24"/>
        </w:rPr>
      </w:pPr>
      <w:r w:rsidRPr="007A411C">
        <w:rPr>
          <w:rFonts w:cs="Times New Roman"/>
          <w:sz w:val="24"/>
          <w:szCs w:val="24"/>
        </w:rPr>
        <w:t>Wenhui Xie</w:t>
      </w:r>
    </w:p>
    <w:p w14:paraId="45597FFE" w14:textId="5BA54B31" w:rsidR="00EA5D45" w:rsidRPr="0052722C" w:rsidRDefault="00EA5D45" w:rsidP="00EA5D45">
      <w:pPr>
        <w:pStyle w:val="Heading2"/>
        <w:numPr>
          <w:ilvl w:val="0"/>
          <w:numId w:val="3"/>
        </w:numPr>
      </w:pPr>
      <w:bookmarkStart w:id="43" w:name="_Toc102412737"/>
      <w:r>
        <w:t>Introduction</w:t>
      </w:r>
      <w:bookmarkEnd w:id="43"/>
    </w:p>
    <w:p w14:paraId="15901C8D" w14:textId="77777777" w:rsidR="00EA5D45" w:rsidRPr="000C258A" w:rsidRDefault="00EA5D45" w:rsidP="00EA5D45">
      <w:pPr>
        <w:ind w:firstLine="720"/>
        <w:rPr>
          <w:rFonts w:cs="Times New Roman"/>
          <w:color w:val="000000"/>
          <w:sz w:val="24"/>
          <w:szCs w:val="24"/>
        </w:rPr>
      </w:pPr>
      <w:r w:rsidRPr="009253B8">
        <w:rPr>
          <w:rFonts w:cs="Times New Roman"/>
          <w:sz w:val="24"/>
          <w:szCs w:val="24"/>
        </w:rPr>
        <w:t xml:space="preserve">In one of his recent papers, </w:t>
      </w:r>
      <w:proofErr w:type="spellStart"/>
      <w:r w:rsidRPr="009253B8">
        <w:rPr>
          <w:rFonts w:cs="Times New Roman"/>
          <w:sz w:val="24"/>
          <w:szCs w:val="24"/>
        </w:rPr>
        <w:t>Sungwoo</w:t>
      </w:r>
      <w:proofErr w:type="spellEnd"/>
      <w:r w:rsidRPr="009253B8">
        <w:rPr>
          <w:rFonts w:cs="Times New Roman"/>
          <w:sz w:val="24"/>
          <w:szCs w:val="24"/>
        </w:rPr>
        <w:t xml:space="preserve"> Um </w:t>
      </w:r>
      <w:r w:rsidRPr="000C258A">
        <w:rPr>
          <w:rFonts w:cs="Times New Roman"/>
          <w:sz w:val="24"/>
          <w:szCs w:val="24"/>
        </w:rPr>
        <w:t xml:space="preserve">proposes “relational virtue” as a sub-category of </w:t>
      </w:r>
      <w:proofErr w:type="gramStart"/>
      <w:r w:rsidRPr="000C258A">
        <w:rPr>
          <w:rFonts w:cs="Times New Roman"/>
          <w:sz w:val="24"/>
          <w:szCs w:val="24"/>
        </w:rPr>
        <w:t>virtues, and</w:t>
      </w:r>
      <w:proofErr w:type="gramEnd"/>
      <w:r w:rsidRPr="000C258A">
        <w:rPr>
          <w:rFonts w:cs="Times New Roman"/>
          <w:sz w:val="24"/>
          <w:szCs w:val="24"/>
        </w:rPr>
        <w:t xml:space="preserve"> defends a version of relational virtue. Purposefully choosing Christine Swanton’s open and pluralistic notion of virtue, </w:t>
      </w:r>
      <w:proofErr w:type="gramStart"/>
      <w:r w:rsidRPr="000C258A">
        <w:rPr>
          <w:rFonts w:cs="Times New Roman"/>
          <w:sz w:val="24"/>
          <w:szCs w:val="24"/>
        </w:rPr>
        <w:t>Um</w:t>
      </w:r>
      <w:proofErr w:type="gramEnd"/>
      <w:r w:rsidRPr="000C258A">
        <w:rPr>
          <w:rFonts w:cs="Times New Roman"/>
          <w:sz w:val="24"/>
          <w:szCs w:val="24"/>
        </w:rPr>
        <w:t xml:space="preserve"> argues that relational virtue is a distinct category of virtue and differs from other virtues by having a unique sphere of care and concern, namely, “one’s intimates and the relationship with them.”</w:t>
      </w:r>
      <w:r>
        <w:rPr>
          <w:rStyle w:val="FootnoteReference"/>
          <w:rFonts w:cs="Times New Roman"/>
          <w:sz w:val="24"/>
          <w:szCs w:val="24"/>
        </w:rPr>
        <w:footnoteReference w:id="108"/>
      </w:r>
      <w:r w:rsidRPr="000C258A">
        <w:rPr>
          <w:rFonts w:cs="Times New Roman"/>
          <w:sz w:val="24"/>
          <w:szCs w:val="24"/>
        </w:rPr>
        <w:t xml:space="preserve">  Relational virtues are not general virtues such as generosity, which are concerned with others’ needs but not in a relational way. Instead, relational virtues are the excellent qualities of agents that we see in intimate relationships such as friendship, the parent-child relationship, and so on. Um suggests, and I agree, that relational virtue provides “</w:t>
      </w:r>
      <w:r w:rsidRPr="000C258A">
        <w:rPr>
          <w:rFonts w:cs="Times New Roman"/>
          <w:color w:val="000000"/>
          <w:sz w:val="24"/>
          <w:szCs w:val="24"/>
        </w:rPr>
        <w:t>a valuable resource for answering questions concerning the value of intimate relationships.”</w:t>
      </w:r>
      <w:r>
        <w:rPr>
          <w:rStyle w:val="FootnoteReference"/>
          <w:rFonts w:cs="Times New Roman"/>
          <w:color w:val="000000"/>
          <w:sz w:val="24"/>
          <w:szCs w:val="24"/>
        </w:rPr>
        <w:footnoteReference w:id="109"/>
      </w:r>
      <w:r w:rsidRPr="000C258A">
        <w:rPr>
          <w:rFonts w:cs="Times New Roman"/>
          <w:color w:val="000000"/>
          <w:sz w:val="24"/>
          <w:szCs w:val="24"/>
        </w:rPr>
        <w:t xml:space="preserve"> This paper follows Um’s </w:t>
      </w:r>
      <w:proofErr w:type="gramStart"/>
      <w:r w:rsidRPr="000C258A">
        <w:rPr>
          <w:rFonts w:cs="Times New Roman"/>
          <w:color w:val="000000"/>
          <w:sz w:val="24"/>
          <w:szCs w:val="24"/>
        </w:rPr>
        <w:t>initiative, but</w:t>
      </w:r>
      <w:proofErr w:type="gramEnd"/>
      <w:r w:rsidRPr="000C258A">
        <w:rPr>
          <w:rFonts w:cs="Times New Roman"/>
          <w:color w:val="000000"/>
          <w:sz w:val="24"/>
          <w:szCs w:val="24"/>
        </w:rPr>
        <w:t xml:space="preserve"> presents a stronger version of relational virtue than that of Um’s. Um considers relational virtue to be fully constituted by the excellent disposition of an agent, but I argue for a view of relational virtue wherein disposition alone is only one necessary part of having a relational virtue. For an agent to be relationally virtuous, she needs to have not only the disposition, but also acknowledgement from intimate others, with public acknowledgement coming in when serious moral mistakes occur. </w:t>
      </w:r>
    </w:p>
    <w:p w14:paraId="54A40891" w14:textId="77777777" w:rsidR="00EA5D45" w:rsidRPr="000C258A" w:rsidRDefault="00EA5D45" w:rsidP="00EA5D45">
      <w:pPr>
        <w:rPr>
          <w:rFonts w:cs="Times New Roman"/>
          <w:sz w:val="24"/>
          <w:szCs w:val="24"/>
        </w:rPr>
      </w:pPr>
      <w:r w:rsidRPr="000C258A">
        <w:rPr>
          <w:rFonts w:cs="Times New Roman"/>
          <w:color w:val="000000"/>
          <w:sz w:val="24"/>
          <w:szCs w:val="24"/>
        </w:rPr>
        <w:tab/>
        <w:t xml:space="preserve"> As controversial as my view of relational </w:t>
      </w:r>
      <w:proofErr w:type="spellStart"/>
      <w:r w:rsidRPr="000C258A">
        <w:rPr>
          <w:rFonts w:cs="Times New Roman"/>
          <w:color w:val="000000"/>
          <w:sz w:val="24"/>
          <w:szCs w:val="24"/>
        </w:rPr>
        <w:t>virute</w:t>
      </w:r>
      <w:proofErr w:type="spellEnd"/>
      <w:r w:rsidRPr="000C258A">
        <w:rPr>
          <w:rFonts w:cs="Times New Roman"/>
          <w:color w:val="000000"/>
          <w:sz w:val="24"/>
          <w:szCs w:val="24"/>
        </w:rPr>
        <w:t xml:space="preserve"> may initially seem, it is developed from features of intimate relationships that are taken as the basic “data” for moral theorizing. It is imperative, therefore, to first provide discussion of the features of intimate relationship, especially “relational responses,” and what it means to take them as the basic “data.”  This discussion forms section one. Then, in section two, I draw the connection between relational response and relational virtue, elaborating and defending my view with three arguments. In section three, I turn to a serious problem where acknowledgement from intimate others is either impossible or should not be </w:t>
      </w:r>
      <w:proofErr w:type="gramStart"/>
      <w:r w:rsidRPr="000C258A">
        <w:rPr>
          <w:rFonts w:cs="Times New Roman"/>
          <w:color w:val="000000"/>
          <w:sz w:val="24"/>
          <w:szCs w:val="24"/>
        </w:rPr>
        <w:t>credited, and</w:t>
      </w:r>
      <w:proofErr w:type="gramEnd"/>
      <w:r w:rsidRPr="000C258A">
        <w:rPr>
          <w:rFonts w:cs="Times New Roman"/>
          <w:color w:val="000000"/>
          <w:sz w:val="24"/>
          <w:szCs w:val="24"/>
        </w:rPr>
        <w:t xml:space="preserve"> demonstrate how even in this kind of extreme case, acknowledgement from intimate others is still important and irreplaceable. Lastly, I summarize and draw out implications of my view for other virtues that are not rooted in intimate relationships. </w:t>
      </w:r>
    </w:p>
    <w:p w14:paraId="33E9771F" w14:textId="0E9322FE" w:rsidR="00EA5D45" w:rsidRPr="000C258A" w:rsidRDefault="00EA5D45" w:rsidP="00EA5D45">
      <w:pPr>
        <w:pStyle w:val="Heading2"/>
        <w:numPr>
          <w:ilvl w:val="0"/>
          <w:numId w:val="3"/>
        </w:numPr>
      </w:pPr>
      <w:bookmarkStart w:id="44" w:name="_Toc102412738"/>
      <w:r w:rsidRPr="000C258A">
        <w:t>Preliminary Reflections on Intimate and Deep Relationships</w:t>
      </w:r>
      <w:bookmarkEnd w:id="44"/>
    </w:p>
    <w:p w14:paraId="1E8BAEF0" w14:textId="77777777" w:rsidR="00EA5D45" w:rsidRPr="000C258A" w:rsidRDefault="00EA5D45" w:rsidP="00EA5D45">
      <w:pPr>
        <w:spacing w:line="480" w:lineRule="auto"/>
        <w:rPr>
          <w:rFonts w:cs="Times New Roman"/>
          <w:sz w:val="24"/>
          <w:szCs w:val="24"/>
        </w:rPr>
      </w:pPr>
      <w:r w:rsidRPr="000C258A">
        <w:rPr>
          <w:rFonts w:cs="Times New Roman"/>
          <w:sz w:val="24"/>
          <w:szCs w:val="24"/>
        </w:rPr>
        <w:tab/>
        <w:t xml:space="preserve">It is characteristic of those bonded in a deep relationship that they establish and recognize certain intimate parameters such as requirements, expectations, and patterns of interaction. Some of the parameters are interpersonal and used only inside the relationship. For instance, my </w:t>
      </w:r>
      <w:r w:rsidRPr="000C258A">
        <w:rPr>
          <w:rFonts w:cs="Times New Roman"/>
          <w:sz w:val="24"/>
          <w:szCs w:val="24"/>
        </w:rPr>
        <w:lastRenderedPageBreak/>
        <w:t xml:space="preserve">brother has a signature high-pitched sigh when reluctantly responding to my requests, a way of sighing that he does not use when working. Some parameters are formed by personal pet peeves. For instance, my </w:t>
      </w:r>
      <w:proofErr w:type="spellStart"/>
      <w:r w:rsidRPr="000C258A">
        <w:rPr>
          <w:rFonts w:cs="Times New Roman"/>
          <w:sz w:val="24"/>
          <w:szCs w:val="24"/>
        </w:rPr>
        <w:t>mothoer</w:t>
      </w:r>
      <w:proofErr w:type="spellEnd"/>
      <w:r w:rsidRPr="000C258A">
        <w:rPr>
          <w:rFonts w:cs="Times New Roman"/>
          <w:sz w:val="24"/>
          <w:szCs w:val="24"/>
        </w:rPr>
        <w:t xml:space="preserve"> hates when the bottoms of the family’s cooking pans and pots get dirty, not because of potential functional defects, but because of the cookware’s ugly appearance. Even though she knows that keeping the bottoms clean is almost impossible due to normal wear and tear, she makes it clear that anyone using the pots and pans should wash the bottoms and keep them free from stains as much as possible, even for white glass cookware. </w:t>
      </w:r>
    </w:p>
    <w:p w14:paraId="6FC2FC62"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Importantly, whether they are personal pet peeves or interpersonal patterns of interaction, these parameters are recognized by everyone involved in the relationship as carrying “coded” meanings, idiosyncratically assigned values, and a certain normative force. My brother’s signature sigh gives me messages that my parents sometimes do not pick up. While that sound typically means that he is reluctant, I can tell from subtle variations in how he makes the sound whether he is still willing to do as I request or whether I should simply give up. My brother and I, therefore, may appear to my parents to be engaged in a pointless tug-of-war with repeated phrases such as “Let’s go” and “no,” while both of us know that the </w:t>
      </w:r>
      <w:proofErr w:type="gramStart"/>
      <w:r w:rsidRPr="000C258A">
        <w:rPr>
          <w:rFonts w:cs="Times New Roman"/>
          <w:sz w:val="24"/>
          <w:szCs w:val="24"/>
        </w:rPr>
        <w:t>really meaningful</w:t>
      </w:r>
      <w:proofErr w:type="gramEnd"/>
      <w:r w:rsidRPr="000C258A">
        <w:rPr>
          <w:rFonts w:cs="Times New Roman"/>
          <w:sz w:val="24"/>
          <w:szCs w:val="24"/>
        </w:rPr>
        <w:t xml:space="preserve"> communication is happening not through the explicit sentences and words, but in the subtle variations of that sound he makes and the pushes I give back. My mother’s pet peeve is not only her personal pet peeve, but recognized by my whole family – indeed, so </w:t>
      </w:r>
      <w:proofErr w:type="spellStart"/>
      <w:r w:rsidRPr="000C258A">
        <w:rPr>
          <w:rFonts w:cs="Times New Roman"/>
          <w:sz w:val="24"/>
          <w:szCs w:val="24"/>
        </w:rPr>
        <w:t>well known</w:t>
      </w:r>
      <w:proofErr w:type="spellEnd"/>
      <w:r w:rsidRPr="000C258A">
        <w:rPr>
          <w:rFonts w:cs="Times New Roman"/>
          <w:sz w:val="24"/>
          <w:szCs w:val="24"/>
        </w:rPr>
        <w:t xml:space="preserve"> that whenever I wash dishes, I can hear my mother voicing her concerns even when she is not present. The most important aspect of these intimate parameters for my purposes, however, is their “intimate” nature and the normativity they generate. </w:t>
      </w:r>
    </w:p>
    <w:p w14:paraId="26593B95"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The establishment and recognition of this kind of parameters is intimate. By “intimate,” part of what I mean is that such relational parameters are private and known only by those </w:t>
      </w:r>
      <w:r w:rsidRPr="000C258A">
        <w:rPr>
          <w:rFonts w:cs="Times New Roman"/>
          <w:sz w:val="24"/>
          <w:szCs w:val="24"/>
        </w:rPr>
        <w:lastRenderedPageBreak/>
        <w:t>involved because the parameters are established solely by those involved. As explained in the discussion above, even my parents do not pick up the message embedded in my brother’s sigh. They do not know our subtle communication because it is a pattern of interaction established by me and my brother alone. Neither of us can recall how this pattern came into being, nor can I elucidate it to others in a way that, say, would allow my parents to interact with my brother the way that I do. This leads to the second aspect of “intimacy.”</w:t>
      </w:r>
    </w:p>
    <w:p w14:paraId="484F7FE5"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The established parameters I here describe often only occur in the unique setting of relationship. Explaining to my parents how my brother and I negotiate his reluctance does not allow them to interact with my brother the way I do because it is a pattern that only occurs in our relationship. When my parents ask my brother to do something he does not want to do, his reluctance manifests in a different way that is anchored in my brother’s relationship with my parents. Outside of the context of our relationship – namely, when someone else asks my brother to do something against his desire – he either does not </w:t>
      </w:r>
      <w:proofErr w:type="gramStart"/>
      <w:r w:rsidRPr="000C258A">
        <w:rPr>
          <w:rFonts w:cs="Times New Roman"/>
          <w:sz w:val="24"/>
          <w:szCs w:val="24"/>
        </w:rPr>
        <w:t>sigh, or</w:t>
      </w:r>
      <w:proofErr w:type="gramEnd"/>
      <w:r w:rsidRPr="000C258A">
        <w:rPr>
          <w:rFonts w:cs="Times New Roman"/>
          <w:sz w:val="24"/>
          <w:szCs w:val="24"/>
        </w:rPr>
        <w:t xml:space="preserve"> does so in a significantly different way.</w:t>
      </w:r>
    </w:p>
    <w:p w14:paraId="2CEA59F2"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Finally, a third aspect of “intimacy” is that all the embedded meanings, values and normative force of relational parameters are applicable and relevant only to those involved. Outsiders do not have a responsibility to take up, recognize, or enact the intimate values and normative requirements, whether they know them or not. For instance, my mother does not extend her requirement to anyone outside of my family, even though some of my relatives know of her pet peeve. Others can certainly offer to help because of courtesy, kindness, kinship, or various other reasons. However, even if they offer to help, neither do they have the responsibility to clean pots and pans up to my mother’s standard, nor does she lay the requirement on them. It </w:t>
      </w:r>
      <w:r w:rsidRPr="000C258A">
        <w:rPr>
          <w:rFonts w:cs="Times New Roman"/>
          <w:sz w:val="24"/>
          <w:szCs w:val="24"/>
        </w:rPr>
        <w:lastRenderedPageBreak/>
        <w:t xml:space="preserve">is only those who are considered specially related members – in this case, my family members – who have this responsibility. </w:t>
      </w:r>
    </w:p>
    <w:p w14:paraId="35896604"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To summarize, I give the notion of intimate relationship that I assume in this paper as follows: While an intimate relationship often develops after a long acquaintance and shared history, it has a depth that separates it from other relationships that may last equally long. The depth of an intimate relationship is revealed in: 1) the development of exclusive patterns of interaction that only exist within the relationship; 2) exceptionally close and familiar knowledge of the bonded others, down to their pet peeves, habits of behavior, rarely spoken values, and ways of thinking; 3) an enhanced or intensified care and concern for bonded others, which presents a strong motivation for responding to their needs, desires, and demands, even where these are idiosyncratic or unusual. Intimate relationships may have other qualities not included here, but these form the basic and prosaic observation on which my analysis rests. </w:t>
      </w:r>
    </w:p>
    <w:p w14:paraId="731B7DC5"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One may ask why bonded people </w:t>
      </w:r>
      <w:proofErr w:type="gramStart"/>
      <w:r w:rsidRPr="000C258A">
        <w:rPr>
          <w:rFonts w:cs="Times New Roman"/>
          <w:sz w:val="24"/>
          <w:szCs w:val="24"/>
        </w:rPr>
        <w:t>have a special responsibility</w:t>
      </w:r>
      <w:proofErr w:type="gramEnd"/>
      <w:r w:rsidRPr="000C258A">
        <w:rPr>
          <w:rFonts w:cs="Times New Roman"/>
          <w:sz w:val="24"/>
          <w:szCs w:val="24"/>
        </w:rPr>
        <w:t xml:space="preserve"> to tend to the idiosyncratic habits, preferences, and values of each other, a responsibility that no one else shares. One answer is found </w:t>
      </w:r>
      <w:proofErr w:type="gramStart"/>
      <w:r w:rsidRPr="000C258A">
        <w:rPr>
          <w:rFonts w:cs="Times New Roman"/>
          <w:sz w:val="24"/>
          <w:szCs w:val="24"/>
        </w:rPr>
        <w:t>in the nature of intimate</w:t>
      </w:r>
      <w:proofErr w:type="gramEnd"/>
      <w:r w:rsidRPr="000C258A">
        <w:rPr>
          <w:rFonts w:cs="Times New Roman"/>
          <w:sz w:val="24"/>
          <w:szCs w:val="24"/>
        </w:rPr>
        <w:t xml:space="preserve"> relationships, where the care and concern for another motivates those involved to tend to </w:t>
      </w:r>
      <w:proofErr w:type="spellStart"/>
      <w:r w:rsidRPr="000C258A">
        <w:rPr>
          <w:rFonts w:cs="Times New Roman"/>
          <w:sz w:val="24"/>
          <w:szCs w:val="24"/>
        </w:rPr>
        <w:t>each others’</w:t>
      </w:r>
      <w:proofErr w:type="spellEnd"/>
      <w:r w:rsidRPr="000C258A">
        <w:rPr>
          <w:rFonts w:cs="Times New Roman"/>
          <w:sz w:val="24"/>
          <w:szCs w:val="24"/>
        </w:rPr>
        <w:t xml:space="preserve"> idiosyncrasies. However, one may push for further justification for the normative force we feel in our tending to an intimate other’s idiosyncrasies. That is, because this normative force is unusually strong, even as it incorporates idiosyncrasies that could never be generally binding or motivating, we may wish for a detailed and elaborate justification.  However, this question of justification is, in my view, ultimately bizarre. Let me clarify my basic claim, and then turn to the oddity of seeking justification.</w:t>
      </w:r>
    </w:p>
    <w:p w14:paraId="00B4D200" w14:textId="77777777" w:rsidR="00EA5D45" w:rsidRPr="000C258A" w:rsidRDefault="00EA5D45" w:rsidP="00EA5D45">
      <w:pPr>
        <w:spacing w:line="480" w:lineRule="auto"/>
        <w:ind w:firstLine="720"/>
        <w:rPr>
          <w:rFonts w:cs="Times New Roman"/>
          <w:color w:val="70AD47" w:themeColor="accent6"/>
          <w:sz w:val="24"/>
          <w:szCs w:val="24"/>
        </w:rPr>
      </w:pPr>
      <w:r w:rsidRPr="000C258A">
        <w:rPr>
          <w:rFonts w:cs="Times New Roman"/>
          <w:sz w:val="24"/>
          <w:szCs w:val="24"/>
        </w:rPr>
        <w:t xml:space="preserve">I do not argue that we have a general moral responsibility – such as behaving respectfully, enacting empathy, and perhaps contributing to the general welfare of others – </w:t>
      </w:r>
      <w:r w:rsidRPr="000C258A">
        <w:rPr>
          <w:rFonts w:cs="Times New Roman"/>
          <w:sz w:val="24"/>
          <w:szCs w:val="24"/>
        </w:rPr>
        <w:lastRenderedPageBreak/>
        <w:t xml:space="preserve">towards any and </w:t>
      </w:r>
      <w:proofErr w:type="gramStart"/>
      <w:r w:rsidRPr="000C258A">
        <w:rPr>
          <w:rFonts w:cs="Times New Roman"/>
          <w:sz w:val="24"/>
          <w:szCs w:val="24"/>
        </w:rPr>
        <w:t>every one</w:t>
      </w:r>
      <w:proofErr w:type="gramEnd"/>
      <w:r w:rsidRPr="000C258A">
        <w:rPr>
          <w:rFonts w:cs="Times New Roman"/>
          <w:sz w:val="24"/>
          <w:szCs w:val="24"/>
        </w:rPr>
        <w:t xml:space="preserve"> with whom we have a relationship. The claim that relationships in general, regardless of their nature, necessarily generate moral responsibility is highly controversial and, more relevantly, not my claim.</w:t>
      </w:r>
      <w:r>
        <w:rPr>
          <w:rStyle w:val="FootnoteReference"/>
          <w:rFonts w:cs="Times New Roman"/>
          <w:sz w:val="24"/>
          <w:szCs w:val="24"/>
        </w:rPr>
        <w:footnoteReference w:id="110"/>
      </w:r>
      <w:r w:rsidRPr="000C258A">
        <w:rPr>
          <w:rFonts w:cs="Times New Roman"/>
          <w:sz w:val="24"/>
          <w:szCs w:val="24"/>
        </w:rPr>
        <w:t xml:space="preserve"> It is much less controversial and widely acknowledged that we have a general moral responsibility towards those with whom we have deep and intimate relationships.</w:t>
      </w:r>
      <w:r w:rsidRPr="000C258A">
        <w:rPr>
          <w:rFonts w:cs="Times New Roman"/>
          <w:color w:val="FF0000"/>
          <w:sz w:val="24"/>
          <w:szCs w:val="24"/>
        </w:rPr>
        <w:t xml:space="preserve"> </w:t>
      </w:r>
      <w:r w:rsidRPr="000C258A">
        <w:rPr>
          <w:rFonts w:cs="Times New Roman"/>
          <w:sz w:val="24"/>
          <w:szCs w:val="24"/>
        </w:rPr>
        <w:t>For instance, we should care for the general well-being of intimately bonded people and in the absence of conflicts among our moral duties, we should prioritize caring for our intimates over strangers.</w:t>
      </w:r>
      <w:r>
        <w:rPr>
          <w:rStyle w:val="FootnoteReference"/>
          <w:rFonts w:cs="Times New Roman"/>
          <w:sz w:val="24"/>
          <w:szCs w:val="24"/>
        </w:rPr>
        <w:footnoteReference w:id="111"/>
      </w:r>
      <w:r w:rsidRPr="000C258A">
        <w:rPr>
          <w:rFonts w:cs="Times New Roman"/>
          <w:sz w:val="24"/>
          <w:szCs w:val="24"/>
        </w:rPr>
        <w:t xml:space="preserve"> </w:t>
      </w:r>
      <w:r w:rsidRPr="009C40CC">
        <w:rPr>
          <w:rFonts w:cs="Times New Roman"/>
          <w:sz w:val="24"/>
          <w:szCs w:val="24"/>
        </w:rPr>
        <w:t xml:space="preserve">This is a position that I assume to be correct, </w:t>
      </w:r>
      <w:r w:rsidRPr="000C258A">
        <w:rPr>
          <w:rFonts w:cs="Times New Roman"/>
          <w:sz w:val="24"/>
          <w:szCs w:val="24"/>
        </w:rPr>
        <w:t xml:space="preserve">but not where my claim rests. I claim that we have a </w:t>
      </w:r>
      <w:r w:rsidRPr="000C258A">
        <w:rPr>
          <w:rFonts w:cs="Times New Roman"/>
          <w:i/>
          <w:iCs/>
          <w:sz w:val="24"/>
          <w:szCs w:val="24"/>
        </w:rPr>
        <w:t>specific and tailored</w:t>
      </w:r>
      <w:r w:rsidRPr="000C258A">
        <w:rPr>
          <w:rFonts w:cs="Times New Roman"/>
          <w:sz w:val="24"/>
          <w:szCs w:val="24"/>
        </w:rPr>
        <w:t xml:space="preserve"> responsibility towards </w:t>
      </w:r>
      <w:r w:rsidRPr="000C258A">
        <w:rPr>
          <w:rFonts w:cs="Times New Roman"/>
          <w:i/>
          <w:iCs/>
          <w:sz w:val="24"/>
          <w:szCs w:val="24"/>
        </w:rPr>
        <w:t>intimate others</w:t>
      </w:r>
      <w:r w:rsidRPr="000C258A">
        <w:rPr>
          <w:rFonts w:cs="Times New Roman"/>
          <w:sz w:val="24"/>
          <w:szCs w:val="24"/>
        </w:rPr>
        <w:t xml:space="preserve"> to attend to the idiosyncratic values, meanings, patterns of interactions mutually established and recognized in the intimate relationship, and no one else has this responsibility.</w:t>
      </w:r>
      <w:r w:rsidRPr="000C258A">
        <w:rPr>
          <w:rStyle w:val="FootnoteReference"/>
          <w:rFonts w:cs="Times New Roman"/>
          <w:sz w:val="24"/>
          <w:szCs w:val="24"/>
        </w:rPr>
        <w:footnoteReference w:id="112"/>
      </w:r>
      <w:r w:rsidRPr="000C258A">
        <w:rPr>
          <w:rFonts w:cs="Times New Roman"/>
          <w:sz w:val="24"/>
          <w:szCs w:val="24"/>
        </w:rPr>
        <w:t xml:space="preserve"> It is a kind of </w:t>
      </w:r>
      <w:r w:rsidRPr="000C258A">
        <w:rPr>
          <w:rFonts w:cs="Times New Roman"/>
          <w:i/>
          <w:iCs/>
          <w:sz w:val="24"/>
          <w:szCs w:val="24"/>
        </w:rPr>
        <w:t>relational</w:t>
      </w:r>
      <w:r w:rsidRPr="000C258A">
        <w:rPr>
          <w:rFonts w:cs="Times New Roman"/>
          <w:sz w:val="24"/>
          <w:szCs w:val="24"/>
        </w:rPr>
        <w:t xml:space="preserve"> </w:t>
      </w:r>
      <w:r w:rsidRPr="000C258A">
        <w:rPr>
          <w:rFonts w:cs="Times New Roman"/>
          <w:i/>
          <w:iCs/>
          <w:sz w:val="24"/>
          <w:szCs w:val="24"/>
        </w:rPr>
        <w:t>response</w:t>
      </w:r>
      <w:r w:rsidRPr="000C258A">
        <w:rPr>
          <w:rFonts w:cs="Times New Roman"/>
          <w:sz w:val="24"/>
          <w:szCs w:val="24"/>
        </w:rPr>
        <w:t xml:space="preserve"> pertaining exclusively to those involved in the intimate relationship. Put concretely, I should not only care about my mother’s overall health and general well-being, but also attend to her pet peeve. I should clean well the bottoms of pots and pans at </w:t>
      </w:r>
      <w:r w:rsidRPr="000C258A">
        <w:rPr>
          <w:rFonts w:cs="Times New Roman"/>
          <w:sz w:val="24"/>
          <w:szCs w:val="24"/>
        </w:rPr>
        <w:lastRenderedPageBreak/>
        <w:t xml:space="preserve">home when I wash dishes, and my mother can rightly complain against me when I do not do it well. </w:t>
      </w:r>
    </w:p>
    <w:p w14:paraId="33E8FEFA"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Once my claim is made clear, it should also become clear that having relational responsiveness in intimate relationship is nothing but an ordinary, common practice, a prosaic element in how we behave within intimate relationships.  It is on this basis that I consider relational responses among the “basic data” of human life that moral theorizing needs to observe and explain rather than justify. Put another way, I think any arguments against the normative value of relational responsiveness would founder and fail owing to the ubiquity of this aspect of human relationships. While my examples are clearly personal, they seem to me examples of a universal practice within intimate relationships, reflective of wider patterns wherein people reveal, establish, acknowledge, negotiate, tolerate, and satisfy each other’s idiosyncrasies. As an intimate relationship undergoes formation, those bonded gradually reveal their individuality and establish unique patterns of interaction. The more intimate a relationship is, the more idiosyncratic sides of a person get revealed, and the more idiosyncratic patterns of interaction are developed. During the process, the needs and wants of each other cease to be personal matters but bear on each other’s psychology and identity as their own matters. Negotiation, </w:t>
      </w:r>
      <w:proofErr w:type="gramStart"/>
      <w:r w:rsidRPr="000C258A">
        <w:rPr>
          <w:rFonts w:cs="Times New Roman"/>
          <w:sz w:val="24"/>
          <w:szCs w:val="24"/>
        </w:rPr>
        <w:t>tolerance</w:t>
      </w:r>
      <w:proofErr w:type="gramEnd"/>
      <w:r w:rsidRPr="000C258A">
        <w:rPr>
          <w:rFonts w:cs="Times New Roman"/>
          <w:sz w:val="24"/>
          <w:szCs w:val="24"/>
        </w:rPr>
        <w:t xml:space="preserve"> and satisfaction of each other’s idiosyncrasies take place and gradually becomes commonplace.</w:t>
      </w:r>
      <w:r>
        <w:rPr>
          <w:rStyle w:val="FootnoteReference"/>
          <w:rFonts w:cs="Times New Roman"/>
          <w:sz w:val="24"/>
          <w:szCs w:val="24"/>
        </w:rPr>
        <w:footnoteReference w:id="113"/>
      </w:r>
      <w:r w:rsidRPr="000C258A">
        <w:rPr>
          <w:rFonts w:cs="Times New Roman"/>
          <w:sz w:val="24"/>
          <w:szCs w:val="24"/>
        </w:rPr>
        <w:t xml:space="preserve"> Arguably, how satisfying and fulfilling the relationship is partly depends on how well the unique personal quirks and interaction patterns are attended and taken care of. Thus, it seems to me that relational response where bonded people tend to each other’s idiosyncrasies is inherent to </w:t>
      </w:r>
      <w:r w:rsidRPr="000C258A">
        <w:rPr>
          <w:rFonts w:cs="Times New Roman"/>
          <w:sz w:val="24"/>
          <w:szCs w:val="24"/>
        </w:rPr>
        <w:lastRenderedPageBreak/>
        <w:t xml:space="preserve">intimate relationships. Put differently, having an intimate relationship involves as its essential part this special responsibility that I term “relational response.” To the extent that moral theorizing should start with the basic and important phenomena of life, relational response, as a basic phenomenon of intimate relationship, is the foot to the shoe of moral theories. It not only does not need justification from different moral </w:t>
      </w:r>
      <w:proofErr w:type="gramStart"/>
      <w:r w:rsidRPr="000C258A">
        <w:rPr>
          <w:rFonts w:cs="Times New Roman"/>
          <w:sz w:val="24"/>
          <w:szCs w:val="24"/>
        </w:rPr>
        <w:t>theories, but</w:t>
      </w:r>
      <w:proofErr w:type="gramEnd"/>
      <w:r w:rsidRPr="000C258A">
        <w:rPr>
          <w:rFonts w:cs="Times New Roman"/>
          <w:sz w:val="24"/>
          <w:szCs w:val="24"/>
        </w:rPr>
        <w:t xml:space="preserve"> can be taken as a shape that would modify any theories that fail to capture its significance and relevance. Asking why those intimately connected people should be responsible for each other’s idiosyncrasies shows a failure in understanding what an intimate relationship is, and an ardent commitment to moral justification that is, in my opinion, wrong in its direction.</w:t>
      </w:r>
      <w:r>
        <w:rPr>
          <w:rStyle w:val="FootnoteReference"/>
          <w:rFonts w:cs="Times New Roman"/>
          <w:sz w:val="24"/>
          <w:szCs w:val="24"/>
        </w:rPr>
        <w:footnoteReference w:id="114"/>
      </w:r>
      <w:r w:rsidRPr="000C258A">
        <w:rPr>
          <w:rFonts w:cs="Times New Roman"/>
          <w:sz w:val="24"/>
          <w:szCs w:val="24"/>
        </w:rPr>
        <w:t xml:space="preserve"> </w:t>
      </w:r>
    </w:p>
    <w:p w14:paraId="0C8A8069"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To further develop alone the line of observation and explanation rather than justification, note again that relational responsiveness pertains to the kind of behavioral exchanges in which bonded people attend to each other’s idiosyncrasies and interact in uniquely interpersonal patterns. </w:t>
      </w:r>
      <w:proofErr w:type="gramStart"/>
      <w:r w:rsidRPr="000C258A">
        <w:rPr>
          <w:rFonts w:cs="Times New Roman"/>
          <w:sz w:val="24"/>
          <w:szCs w:val="24"/>
        </w:rPr>
        <w:t>Both of these</w:t>
      </w:r>
      <w:proofErr w:type="gramEnd"/>
      <w:r w:rsidRPr="000C258A">
        <w:rPr>
          <w:rFonts w:cs="Times New Roman"/>
          <w:sz w:val="24"/>
          <w:szCs w:val="24"/>
        </w:rPr>
        <w:t xml:space="preserve"> may, in principle, be known by non-intimate bystanders, but it is unlikely in practice. I make two of the following observations. </w:t>
      </w:r>
    </w:p>
    <w:p w14:paraId="386CF4FA"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First, a result of such intimacy and privacy is that only an intimate other can evaluate and determine whether their personal needs, unspoken expectations, values, and shared rituals are recognized or dismissed, and how well they are attended to by the agent. I, as the agent, cannot claim to have responded to my intimate others well without their acknowledgement, at least </w:t>
      </w:r>
      <w:r w:rsidRPr="000C258A">
        <w:rPr>
          <w:rFonts w:cs="Times New Roman"/>
          <w:i/>
          <w:iCs/>
          <w:sz w:val="24"/>
          <w:szCs w:val="24"/>
        </w:rPr>
        <w:t>typically</w:t>
      </w:r>
      <w:r w:rsidRPr="000C258A">
        <w:rPr>
          <w:rFonts w:cs="Times New Roman"/>
          <w:sz w:val="24"/>
          <w:szCs w:val="24"/>
        </w:rPr>
        <w:t xml:space="preserve"> (an issue to which I will return in section 3). When I wash the bottoms of pans to please </w:t>
      </w:r>
      <w:r w:rsidRPr="000C258A">
        <w:rPr>
          <w:rFonts w:cs="Times New Roman"/>
          <w:sz w:val="24"/>
          <w:szCs w:val="24"/>
        </w:rPr>
        <w:lastRenderedPageBreak/>
        <w:t xml:space="preserve">my mother, it is a self-defeating act to </w:t>
      </w:r>
      <w:r w:rsidRPr="000C258A">
        <w:rPr>
          <w:rFonts w:cs="Times New Roman"/>
          <w:i/>
          <w:iCs/>
          <w:sz w:val="24"/>
          <w:szCs w:val="24"/>
        </w:rPr>
        <w:t xml:space="preserve">evaluate and determine </w:t>
      </w:r>
      <w:r w:rsidRPr="000C258A">
        <w:rPr>
          <w:rFonts w:cs="Times New Roman"/>
          <w:sz w:val="24"/>
          <w:szCs w:val="24"/>
        </w:rPr>
        <w:t xml:space="preserve">that “I have done well.” My mother’s acknowledgement that I indeed have met her standard is key to whether I have been relevantly relationally responsive. It is importantly axiomatic that she is the only and proper judge of whether I have met her </w:t>
      </w:r>
      <w:proofErr w:type="gramStart"/>
      <w:r w:rsidRPr="000C258A">
        <w:rPr>
          <w:rFonts w:cs="Times New Roman"/>
          <w:sz w:val="24"/>
          <w:szCs w:val="24"/>
        </w:rPr>
        <w:t>standards, because</w:t>
      </w:r>
      <w:proofErr w:type="gramEnd"/>
      <w:r w:rsidRPr="000C258A">
        <w:rPr>
          <w:rFonts w:cs="Times New Roman"/>
          <w:sz w:val="24"/>
          <w:szCs w:val="24"/>
        </w:rPr>
        <w:t xml:space="preserve"> it is her standard and her judgment that characteristically determines the case. I can certainly negotiate and debate with my mother, and even get her to agree that the mark on that stainless steel pan is burnt in and cannot be hand-washed away. It is also worth noting that acknowledgement from others can take a variety of forms, some of which may not contain any words of affirmation. For instance, one of my martial art teachers never gives me compliments regardless of how much effort I put in, but only expresses his disapproval. However, his disapproval is always targeted at areas where I need to improve, and he is always willing to provide his disapproval </w:t>
      </w:r>
      <w:proofErr w:type="gramStart"/>
      <w:r w:rsidRPr="000C258A">
        <w:rPr>
          <w:rFonts w:cs="Times New Roman"/>
          <w:sz w:val="24"/>
          <w:szCs w:val="24"/>
        </w:rPr>
        <w:t>as long as</w:t>
      </w:r>
      <w:proofErr w:type="gramEnd"/>
      <w:r w:rsidRPr="000C258A">
        <w:rPr>
          <w:rFonts w:cs="Times New Roman"/>
          <w:sz w:val="24"/>
          <w:szCs w:val="24"/>
        </w:rPr>
        <w:t xml:space="preserve"> I express interest in learning. Occasionally, he </w:t>
      </w:r>
      <w:proofErr w:type="gramStart"/>
      <w:r w:rsidRPr="000C258A">
        <w:rPr>
          <w:rFonts w:cs="Times New Roman"/>
          <w:sz w:val="24"/>
          <w:szCs w:val="24"/>
        </w:rPr>
        <w:t>would</w:t>
      </w:r>
      <w:proofErr w:type="gramEnd"/>
      <w:r w:rsidRPr="000C258A">
        <w:rPr>
          <w:rFonts w:cs="Times New Roman"/>
          <w:sz w:val="24"/>
          <w:szCs w:val="24"/>
        </w:rPr>
        <w:t xml:space="preserve"> even ask me if I want to learn more. It is a form of acknowledgement as continuous engagement that is peculiar to, yet recognized by, both of us. Negotiation and a variety of different kinds of acknowledgement, however, do not change the fact that intimate others hold certain degrees of determinative authority in evaluating and determining whether I have responded to them well. Therefore, my effort and my judgment in relational response constitute only part of the picture, with another part that is typically filled by intimate others (and sometimes, yet another part is filled by the public, a point to which I return later in the next section). </w:t>
      </w:r>
    </w:p>
    <w:p w14:paraId="46FEFF30"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Second, outsiders’ judgments are irrelevant and out of place in the private domain marked by idiosyncratic relational responses. Take, for example, the commonplace practice of giving and using intimate nicknames. These nicknames may arise out of different contexts, ranging from teasing to expressing love. However, once both parties acknowledge, </w:t>
      </w:r>
      <w:proofErr w:type="gramStart"/>
      <w:r w:rsidRPr="000C258A">
        <w:rPr>
          <w:rFonts w:cs="Times New Roman"/>
          <w:sz w:val="24"/>
          <w:szCs w:val="24"/>
        </w:rPr>
        <w:t>use</w:t>
      </w:r>
      <w:proofErr w:type="gramEnd"/>
      <w:r w:rsidRPr="000C258A">
        <w:rPr>
          <w:rFonts w:cs="Times New Roman"/>
          <w:sz w:val="24"/>
          <w:szCs w:val="24"/>
        </w:rPr>
        <w:t xml:space="preserve"> and </w:t>
      </w:r>
      <w:r w:rsidRPr="000C258A">
        <w:rPr>
          <w:rFonts w:cs="Times New Roman"/>
          <w:sz w:val="24"/>
          <w:szCs w:val="24"/>
        </w:rPr>
        <w:lastRenderedPageBreak/>
        <w:t>respond to the nicknames, they become an interpersonal language shared and valued in ways that are only understood by and relevant to those involved. It is not that outsiders do not know what the nicknames do or how to use them: Nicknames function both as names that refer to specific individuals and express much more than making a simple reference.</w:t>
      </w:r>
      <w:r>
        <w:rPr>
          <w:rStyle w:val="FootnoteReference"/>
          <w:rFonts w:cs="Times New Roman"/>
          <w:sz w:val="24"/>
          <w:szCs w:val="24"/>
        </w:rPr>
        <w:footnoteReference w:id="115"/>
      </w:r>
      <w:r w:rsidRPr="000C258A">
        <w:rPr>
          <w:rFonts w:cs="Times New Roman"/>
          <w:sz w:val="24"/>
          <w:szCs w:val="24"/>
        </w:rPr>
        <w:t xml:space="preserve"> However, familiarity with the </w:t>
      </w:r>
      <w:r w:rsidRPr="000C258A">
        <w:rPr>
          <w:rFonts w:cs="Times New Roman"/>
          <w:i/>
          <w:iCs/>
          <w:sz w:val="24"/>
          <w:szCs w:val="24"/>
        </w:rPr>
        <w:t>general</w:t>
      </w:r>
      <w:r w:rsidRPr="000C258A">
        <w:rPr>
          <w:rFonts w:cs="Times New Roman"/>
          <w:sz w:val="24"/>
          <w:szCs w:val="24"/>
        </w:rPr>
        <w:t xml:space="preserve"> use and practice of nicknames is perhaps what gives us a pause about using them as outsiders even if we know them – in addition to being a reference, nicknames often carry certain magnitude of significance unknown to outsiders. This significance can be shown when a breach in the typical pattern of usage occurs and registers a particular alarm to those involved. For instance, there are </w:t>
      </w:r>
      <w:proofErr w:type="spellStart"/>
      <w:r w:rsidRPr="000C258A">
        <w:rPr>
          <w:rFonts w:cs="Times New Roman"/>
          <w:sz w:val="24"/>
          <w:szCs w:val="24"/>
        </w:rPr>
        <w:t>tiktok</w:t>
      </w:r>
      <w:proofErr w:type="spellEnd"/>
      <w:r w:rsidRPr="000C258A">
        <w:rPr>
          <w:rFonts w:cs="Times New Roman"/>
          <w:sz w:val="24"/>
          <w:szCs w:val="24"/>
        </w:rPr>
        <w:t xml:space="preserve"> videos where lovers prank their partners by calling their partners not by their typical nicknames but by their first names. Unsurprisingly, some of the partners give fierce responses to such a breach of pattern. Whether such reactions are justified or not cannot and should not be evaluated by outsiders. It is not because outsiders cannot relate to the videos and get a sense of what causes the strong reaction. Rather, it is precisely because outsiders </w:t>
      </w:r>
      <w:r w:rsidRPr="000C258A">
        <w:rPr>
          <w:rFonts w:cs="Times New Roman"/>
          <w:i/>
          <w:iCs/>
          <w:sz w:val="24"/>
          <w:szCs w:val="24"/>
        </w:rPr>
        <w:t>can</w:t>
      </w:r>
      <w:r w:rsidRPr="000C258A">
        <w:rPr>
          <w:rFonts w:cs="Times New Roman"/>
          <w:sz w:val="24"/>
          <w:szCs w:val="24"/>
        </w:rPr>
        <w:t xml:space="preserve"> relate and understand the private, interpersonal nature of assigning value and significance to those practices that outsiders cannot and should not make judgments. They know enough to know that they do not understand the significance, and thus, cannot make a judgment. It would also be inappropriate and disrespectful were outsiders to make judgments on cases so private. Thus, only those involved can make judgments of how well they are treated by each other in the exchanges of giving and receiving relational responses from each other. </w:t>
      </w:r>
    </w:p>
    <w:p w14:paraId="3F90A6DC" w14:textId="312D6801" w:rsidR="00EA5D45" w:rsidRDefault="00EA5D45" w:rsidP="00EA5D45">
      <w:pPr>
        <w:pStyle w:val="Heading2"/>
        <w:numPr>
          <w:ilvl w:val="0"/>
          <w:numId w:val="3"/>
        </w:numPr>
      </w:pPr>
      <w:bookmarkStart w:id="45" w:name="_Toc102412739"/>
      <w:r>
        <w:rPr>
          <w:rFonts w:hint="eastAsia"/>
        </w:rPr>
        <w:lastRenderedPageBreak/>
        <w:t>Re</w:t>
      </w:r>
      <w:r>
        <w:t>lational Response and Relational Virtue</w:t>
      </w:r>
      <w:bookmarkEnd w:id="45"/>
    </w:p>
    <w:p w14:paraId="2B5E1845" w14:textId="77777777" w:rsidR="00EA5D45" w:rsidRPr="000C258A" w:rsidRDefault="00EA5D45" w:rsidP="00EA5D45">
      <w:pPr>
        <w:spacing w:line="480" w:lineRule="auto"/>
        <w:rPr>
          <w:rFonts w:cs="Times New Roman"/>
          <w:sz w:val="24"/>
          <w:szCs w:val="24"/>
        </w:rPr>
      </w:pPr>
      <w:r>
        <w:tab/>
      </w:r>
      <w:r w:rsidRPr="000C258A">
        <w:rPr>
          <w:rFonts w:cs="Times New Roman"/>
          <w:sz w:val="24"/>
          <w:szCs w:val="24"/>
        </w:rPr>
        <w:t xml:space="preserve">What is the connection between relational response and relational virtue? To recapitulate, relational response names the behavioral exchange in intimate relationships where we tend to each other’s individualities and mutually shared established practices. How well relational responses are given and received partly determines how fulfilling an intimate relationship </w:t>
      </w:r>
      <w:proofErr w:type="gramStart"/>
      <w:r w:rsidRPr="000C258A">
        <w:rPr>
          <w:rFonts w:cs="Times New Roman"/>
          <w:sz w:val="24"/>
          <w:szCs w:val="24"/>
        </w:rPr>
        <w:t>is considered to be</w:t>
      </w:r>
      <w:proofErr w:type="gramEnd"/>
      <w:r w:rsidRPr="000C258A">
        <w:rPr>
          <w:rFonts w:cs="Times New Roman"/>
          <w:sz w:val="24"/>
          <w:szCs w:val="24"/>
        </w:rPr>
        <w:t xml:space="preserve"> and can be only determined by those bonded in the relationship. If what I have argued is on the right track, giving and receiving relational responses well constitutes an important aspect of relational virtue, which, as Um argues, involves the functions of “</w:t>
      </w:r>
      <w:r w:rsidRPr="000C258A">
        <w:rPr>
          <w:rStyle w:val="fontstyle01"/>
          <w:rFonts w:cs="Times New Roman"/>
          <w:color w:val="auto"/>
          <w:sz w:val="24"/>
          <w:szCs w:val="24"/>
        </w:rPr>
        <w:t xml:space="preserve">developing, sustaining, deepening, and repairing the relationship with her intimates in an excellent way” (Um, 2021, p96). This is because relational response is but a detailed highlight of what is involved in sustaining and developing intimate relationships. Put differently, having relational virtue, being capable of sustaining and developing intimate relationship implies giving and receiving relational responses well. Giving and receiving relational responses well cannot be solely determined by oneself but involves acknowledgement from intimate others. This means that </w:t>
      </w:r>
      <w:r w:rsidRPr="000C258A">
        <w:rPr>
          <w:rFonts w:cs="Times New Roman"/>
          <w:sz w:val="24"/>
          <w:szCs w:val="24"/>
        </w:rPr>
        <w:t xml:space="preserve">intimate others stand in a unique and irreplaceable position, such that their acknowledgement and endorsement partly determine whether one is relationally virtuous or not. In other words, relational virtue exists only relationally, with effort and attempts stemming from the disposition of one side and acknowledgement from the other side, even though it is conferred and awarded to the attempting side. Call this the argument based on relational response, or the argument of parameter and acknowledgement. </w:t>
      </w:r>
    </w:p>
    <w:p w14:paraId="53D5DA72" w14:textId="77777777" w:rsidR="00EA5D45" w:rsidRPr="000C258A" w:rsidRDefault="00EA5D45" w:rsidP="00EA5D45">
      <w:pPr>
        <w:spacing w:line="480" w:lineRule="auto"/>
        <w:rPr>
          <w:rFonts w:cs="Times New Roman"/>
          <w:sz w:val="24"/>
          <w:szCs w:val="24"/>
        </w:rPr>
      </w:pPr>
      <w:r w:rsidRPr="000C258A">
        <w:rPr>
          <w:rFonts w:cs="Times New Roman"/>
          <w:sz w:val="24"/>
          <w:szCs w:val="24"/>
        </w:rPr>
        <w:tab/>
        <w:t xml:space="preserve">The conclusion that acknowledgement from intimate others partly determines whether an agent is relational virtuous or not is a controversial claim. I am saying nothing less than that individual disposition consists of only a part of relational virtue, with an additional, necessary </w:t>
      </w:r>
      <w:r w:rsidRPr="000C258A">
        <w:rPr>
          <w:rFonts w:cs="Times New Roman"/>
          <w:sz w:val="24"/>
          <w:szCs w:val="24"/>
        </w:rPr>
        <w:lastRenderedPageBreak/>
        <w:t xml:space="preserve">part being the acknowledgement and endorsement of intimate others, typically. Below, I elaborate and defend this claim by addressing 1) its strong commonsensical or even axiomatic appeal; 2) its controversial aspect; and 3) a misunderstanding. </w:t>
      </w:r>
    </w:p>
    <w:p w14:paraId="4E2A16EA" w14:textId="60752267" w:rsidR="00EA5D45" w:rsidRPr="000C258A" w:rsidRDefault="00EA5D45" w:rsidP="00EA5D45">
      <w:pPr>
        <w:spacing w:line="480" w:lineRule="auto"/>
        <w:rPr>
          <w:rFonts w:cs="Times New Roman"/>
          <w:sz w:val="24"/>
          <w:szCs w:val="24"/>
        </w:rPr>
      </w:pPr>
      <w:r w:rsidRPr="000C258A">
        <w:rPr>
          <w:rFonts w:cs="Times New Roman"/>
          <w:sz w:val="24"/>
          <w:szCs w:val="24"/>
        </w:rPr>
        <w:tab/>
        <w:t xml:space="preserve">First, there is a strong intuitive appeal to my view. In all kinds of intimate relationships, how good we are as a participant is partly determined by others who are involved. My brother has a say in whether I have been a good brother to him. My friends partly determine whether I have been a good friend. If I boast of myself as being a good son while my mother disagrees, my claim is not only marred and doubted, but likely wholly rejected and denied. My relationships with my brother, friends or parents are relationships where I am but one of the participants. Whether I have been an excellent participant – namely, whether I have relational virtue – is not a matter that can be in principle determined by me alone. This is because whether I have been an excellent participant in a relationship concretely means whether I have been good to others involved, which, as discussed above, involves relational response that give attention not only to the general welfare of others, but to the particularities that make intimate others unique individuals who have bonded with us. Intimate others open themselves to us with their unique, peculiar individualities, and these, in turn, become part of the parameters of what is required for a relationally virtuous agent. These intimate parameters are private, personal, and often a matter of individual or interpersonal preference that lie beyond the realm of moral rightness, wrongness, and justification. Whether one has responded to these parameters well, </w:t>
      </w:r>
      <w:proofErr w:type="gramStart"/>
      <w:r w:rsidRPr="000C258A">
        <w:rPr>
          <w:rFonts w:cs="Times New Roman"/>
          <w:sz w:val="24"/>
          <w:szCs w:val="24"/>
        </w:rPr>
        <w:t>therefore</w:t>
      </w:r>
      <w:proofErr w:type="gramEnd"/>
      <w:r w:rsidRPr="000C258A">
        <w:rPr>
          <w:rFonts w:cs="Times New Roman"/>
          <w:sz w:val="24"/>
          <w:szCs w:val="24"/>
        </w:rPr>
        <w:t xml:space="preserve"> and again, is not an open matter that can be evaluated by anyone capable of rational deliberation, but a private matter determined by the source of those parameters, namely, intimate others. Consequently, this commonsensical piece of knowledge of whether I have been a good spouse, friend, and relative </w:t>
      </w:r>
      <w:r w:rsidRPr="000C258A">
        <w:rPr>
          <w:rFonts w:cs="Times New Roman"/>
          <w:sz w:val="24"/>
          <w:szCs w:val="24"/>
        </w:rPr>
        <w:lastRenderedPageBreak/>
        <w:t>is partly determined by the bonded others seems to me axiomatically true, especially in normal circumstances that constitute the regularity of our lives.</w:t>
      </w:r>
    </w:p>
    <w:p w14:paraId="3FBDDE22" w14:textId="77777777" w:rsidR="00EA5D45" w:rsidRPr="000C258A" w:rsidRDefault="00EA5D45" w:rsidP="00EA5D45">
      <w:pPr>
        <w:spacing w:line="480" w:lineRule="auto"/>
        <w:rPr>
          <w:rFonts w:cs="Times New Roman"/>
          <w:sz w:val="24"/>
          <w:szCs w:val="24"/>
        </w:rPr>
      </w:pPr>
      <w:r w:rsidRPr="000C258A">
        <w:rPr>
          <w:rFonts w:cs="Times New Roman"/>
          <w:sz w:val="24"/>
          <w:szCs w:val="24"/>
        </w:rPr>
        <w:tab/>
        <w:t xml:space="preserve">Second, what makes my claim controversial is that it goes against many versions, including the standard account, of virtue ethics. A standard account of virtue ethics does not take the judgment of others to be necessary and constitutive of virtue. All that is required for having a virtue is having the right kind of disposition. Consider Um’s account on relational virtue, which goes the furthest in emphasizing the significance of intimate relationships among contemporary discussions. </w:t>
      </w:r>
    </w:p>
    <w:p w14:paraId="71FF90FF"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Um clearly states, and I agree, that “a relational virtue cannot be fully understood without reference to the particular type of intimate </w:t>
      </w:r>
      <w:proofErr w:type="gramStart"/>
      <w:r w:rsidRPr="000C258A">
        <w:rPr>
          <w:rFonts w:cs="Times New Roman"/>
          <w:sz w:val="24"/>
          <w:szCs w:val="24"/>
        </w:rPr>
        <w:t>relationship</w:t>
      </w:r>
      <w:proofErr w:type="gramEnd"/>
      <w:r w:rsidRPr="000C258A">
        <w:rPr>
          <w:rFonts w:cs="Times New Roman"/>
          <w:sz w:val="24"/>
          <w:szCs w:val="24"/>
        </w:rPr>
        <w:t xml:space="preserve"> and it presupposes and can be properly cultivated or exercised only within that relationship” (Um, 2021, p96). This underscores that relational virtue is rooted in intimate relationships, rather than targeted towards an unrelated public or unspecified, generic recipient (e.g., generosity) or even generalizable relational values (</w:t>
      </w:r>
      <w:proofErr w:type="gramStart"/>
      <w:r w:rsidRPr="000C258A">
        <w:rPr>
          <w:rFonts w:cs="Times New Roman"/>
          <w:sz w:val="24"/>
          <w:szCs w:val="24"/>
        </w:rPr>
        <w:t>e.g.</w:t>
      </w:r>
      <w:proofErr w:type="gramEnd"/>
      <w:r w:rsidRPr="000C258A">
        <w:rPr>
          <w:rFonts w:cs="Times New Roman"/>
          <w:sz w:val="24"/>
          <w:szCs w:val="24"/>
        </w:rPr>
        <w:t xml:space="preserve"> loyalty). In Um’s words, relational virtues are not unilateral but “presuppose particular intimate relationships between the virtue-agent—i.e., one who exercises the virtue—and the virtue-patient—i.e., the intentional object of the virtue” (Um, 2021, p99). One of the implications of Um’s account is that relational virtues can only be developed and exercised within an intimate relationship. To further illustrate how relational virtue is different from general, other-regarding virtues such as benevolence and generosity, </w:t>
      </w:r>
      <w:proofErr w:type="gramStart"/>
      <w:r w:rsidRPr="000C258A">
        <w:rPr>
          <w:rFonts w:cs="Times New Roman"/>
          <w:sz w:val="24"/>
          <w:szCs w:val="24"/>
        </w:rPr>
        <w:t>Um</w:t>
      </w:r>
      <w:proofErr w:type="gramEnd"/>
      <w:r w:rsidRPr="000C258A">
        <w:rPr>
          <w:rFonts w:cs="Times New Roman"/>
          <w:sz w:val="24"/>
          <w:szCs w:val="24"/>
        </w:rPr>
        <w:t xml:space="preserve"> uses an analogy of a team sport, basketball. General virtues are akin to overall valuable traits such as speed and strength, while relational virtues are akin to being good players on a team, athletically interacting with one’s fellow players well. The point of Um’s analogy is not that being relationally virtuous necessarily implies having the virtues of benevolence and generosity (in the way that a good basketball </w:t>
      </w:r>
      <w:r w:rsidRPr="000C258A">
        <w:rPr>
          <w:rFonts w:cs="Times New Roman"/>
          <w:sz w:val="24"/>
          <w:szCs w:val="24"/>
        </w:rPr>
        <w:lastRenderedPageBreak/>
        <w:t xml:space="preserve">player necessarily has good strength and speed), but that relational virtues are specifically tailored towards and dependent upon intimate relations, much like good basketball players only exist in reference to their playing well with the teammates they have. Um draws a further implication. </w:t>
      </w:r>
      <w:proofErr w:type="gramStart"/>
      <w:r w:rsidRPr="000C258A">
        <w:rPr>
          <w:rFonts w:cs="Times New Roman"/>
          <w:sz w:val="24"/>
          <w:szCs w:val="24"/>
        </w:rPr>
        <w:t>Similar to</w:t>
      </w:r>
      <w:proofErr w:type="gramEnd"/>
      <w:r w:rsidRPr="000C258A">
        <w:rPr>
          <w:rFonts w:cs="Times New Roman"/>
          <w:sz w:val="24"/>
          <w:szCs w:val="24"/>
        </w:rPr>
        <w:t xml:space="preserve"> how a good basketball player cannot win the game if her teammates are not skillful and cooperative, a relationally virtuous agent cannot by herself “make the relationship an ideal one” without the “other participant’s relational virtuousness” (Um, 2021, p103). </w:t>
      </w:r>
    </w:p>
    <w:p w14:paraId="746A6DE3" w14:textId="77777777" w:rsidR="00EA5D45" w:rsidRPr="000C258A" w:rsidRDefault="00EA5D45" w:rsidP="00EA5D45">
      <w:pPr>
        <w:spacing w:line="480" w:lineRule="auto"/>
        <w:rPr>
          <w:rFonts w:cs="Times New Roman"/>
          <w:sz w:val="24"/>
          <w:szCs w:val="24"/>
        </w:rPr>
      </w:pPr>
      <w:r w:rsidRPr="000C258A">
        <w:rPr>
          <w:rFonts w:cs="Times New Roman"/>
          <w:sz w:val="24"/>
          <w:szCs w:val="24"/>
        </w:rPr>
        <w:tab/>
        <w:t xml:space="preserve">Um’s inspiration for this paper is obvious. I am fully on board with Um’s claim that relational virtues presuppose intimate relationship. I also agree that a good relationship depends on the relational virtuousness of all participants. My disagreement comes from a further consideration of the Um’s claim that relational virtues presuppose intimate relationship. </w:t>
      </w:r>
    </w:p>
    <w:p w14:paraId="320682FE"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I contend that in an intimate relationship, having relational virtue includes more than having the disposition to take good care of others.  It also requires being acknowledged by others as taking good care of them, if not more (in unfortunate cases, to which I will return in section 3). The latter point about acknowledgement is the locus of controversy of this paper and where I differ from Um. One serious problem for this view concerns a standard challenge regarding moral luck for virtues in general. Roughly, given that the success of virtuous actions often falls out of an agent’s control and is subject to the chance happenings of external conditions, a realistic and practically plausible account of virtue should not take the successful result of virtuous action to be a necessary requirement of virtue.</w:t>
      </w:r>
      <w:r>
        <w:rPr>
          <w:rStyle w:val="FootnoteReference"/>
          <w:rFonts w:cs="Times New Roman"/>
          <w:sz w:val="24"/>
          <w:szCs w:val="24"/>
        </w:rPr>
        <w:footnoteReference w:id="116"/>
      </w:r>
      <w:r w:rsidRPr="000C258A">
        <w:rPr>
          <w:rFonts w:cs="Times New Roman"/>
          <w:sz w:val="24"/>
          <w:szCs w:val="24"/>
        </w:rPr>
        <w:t xml:space="preserve"> I argue that while this line of thinking may be reasonably applied to other virtues, it cannot well capture relational virtues. That is, the </w:t>
      </w:r>
      <w:r w:rsidRPr="000C258A">
        <w:rPr>
          <w:rFonts w:cs="Times New Roman"/>
          <w:sz w:val="24"/>
          <w:szCs w:val="24"/>
        </w:rPr>
        <w:lastRenderedPageBreak/>
        <w:t xml:space="preserve">idea that I could have relational virtue </w:t>
      </w:r>
      <w:r w:rsidRPr="000C258A">
        <w:rPr>
          <w:rFonts w:cs="Times New Roman"/>
          <w:i/>
          <w:iCs/>
          <w:sz w:val="24"/>
          <w:szCs w:val="24"/>
        </w:rPr>
        <w:t>and</w:t>
      </w:r>
      <w:r w:rsidRPr="000C258A">
        <w:rPr>
          <w:rFonts w:cs="Times New Roman"/>
          <w:sz w:val="24"/>
          <w:szCs w:val="24"/>
        </w:rPr>
        <w:t xml:space="preserve"> serious bad luck such that I have never been acknowledged by others is incoherent.</w:t>
      </w:r>
    </w:p>
    <w:p w14:paraId="3EDC28E9"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Consider the virtue of courage and the problem moral luck poses to a blessed solider who lives in a peaceful era. Because of the era in which she lives and despite her outstanding performance in training, she never displays the exemplary courage in battle of which she is capable. Because she has never been to actual battle, she may doubt whether she is exemplarily courageous or not. Importantly, such doubts only raise questions but imply no clear answer, because lacking the opportunity to demonstrate her courage results from external factors beyond her control. Were there circumstances that could allow her to bring forth her internal dispositions, she could have been acknowledged as the exemplarily courageous agent she always has been. Never having the opportunity for an exemplary demonstration of courage does not imply a lack of exemplary courage, for such demonstration requires a matching of internal dispositions with external conditions, conditions which are bounded by luck. </w:t>
      </w:r>
    </w:p>
    <w:p w14:paraId="1F1A35EF"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Never having been acknowledged by certain others in relationships, however, differs importantly from never displaying exemplary courage, for it does entail that such a person cannot have relational virtues. While courage may be trained and developed outside of a battlefield, relational virtue only develops within intimate relationships. Never having been acknowledged by others entails that such person has never developed any intimate relationship, and therefore, cannot possibly possess relational virtue. First, allow me to elaborate on why acknowledgement from others matters.</w:t>
      </w:r>
    </w:p>
    <w:p w14:paraId="4B93C9A5"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As discussed earlier, acknowledgement from others in a relationship can take various forms, ranging from openly expressed approval to openly expressed disapproval (as in the case of one of my martial art teachers). Whatever form it takes, acknowledgement gives a response </w:t>
      </w:r>
      <w:r w:rsidRPr="000C258A">
        <w:rPr>
          <w:rFonts w:cs="Times New Roman"/>
          <w:sz w:val="24"/>
          <w:szCs w:val="24"/>
        </w:rPr>
        <w:lastRenderedPageBreak/>
        <w:t xml:space="preserve">that marks a willingness and openness to be a part of the relationship that even if the relationship may not be going smoothly </w:t>
      </w:r>
      <w:proofErr w:type="gramStart"/>
      <w:r w:rsidRPr="000C258A">
        <w:rPr>
          <w:rFonts w:cs="Times New Roman"/>
          <w:sz w:val="24"/>
          <w:szCs w:val="24"/>
        </w:rPr>
        <w:t>at the moment</w:t>
      </w:r>
      <w:proofErr w:type="gramEnd"/>
      <w:r w:rsidRPr="000C258A">
        <w:rPr>
          <w:rFonts w:cs="Times New Roman"/>
          <w:sz w:val="24"/>
          <w:szCs w:val="24"/>
        </w:rPr>
        <w:t xml:space="preserve">, intimate others are willing to put in effort, time, and energy to sustain, amend, and develop the relationship. </w:t>
      </w:r>
      <w:proofErr w:type="gramStart"/>
      <w:r w:rsidRPr="000C258A">
        <w:rPr>
          <w:rFonts w:cs="Times New Roman"/>
          <w:sz w:val="24"/>
          <w:szCs w:val="24"/>
        </w:rPr>
        <w:t>As long as</w:t>
      </w:r>
      <w:proofErr w:type="gramEnd"/>
      <w:r w:rsidRPr="000C258A">
        <w:rPr>
          <w:rFonts w:cs="Times New Roman"/>
          <w:sz w:val="24"/>
          <w:szCs w:val="24"/>
        </w:rPr>
        <w:t xml:space="preserve"> a relationship continues, bonded people will give various forms of acknowledgement to each other. Thus, having acknowledgement from others does not imply a “perfect success” in being relationally virtuous, but does mean that the bonded others are willing to be a part of the relationship. Conversely, lacking acknowledgement – whether coming in the form of direct denial or silent withholding of acknowledgment – indicates an endpoint to the relationship, operating as a sign that others are no longer willing to participant in this joint project. This seems true not only for intimate relationships, but also for new relationships with slight modifications. </w:t>
      </w:r>
    </w:p>
    <w:p w14:paraId="7FABA524"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To speak concretely, suppose I am trying to form a new friendship with an acquaintance who just moved to the town where I live and am trying to help her getting around and setting down. If she responds “yes” to some of my helps, asks more questions about some issues I mention, and rejects my help for other things, I know from her responses that I could develop a friendship with this person. This is because even though she rejects to some of my offers, she is willing to interact and receive helps from me, indicating a level of acknowledgement and openness that makes friendship possible. If, on the other hand, all my helps were responded with either overt or tacit rejections, it is a clear that this new acquaintance does not want to become a friend with me, and I should leave. If I want to become closer to a new friend of mine and asks her to spend time together during free time, but only receive rejects after multiple attempts, </w:t>
      </w:r>
      <w:proofErr w:type="gramStart"/>
      <w:r w:rsidRPr="000C258A">
        <w:rPr>
          <w:rFonts w:cs="Times New Roman"/>
          <w:sz w:val="24"/>
          <w:szCs w:val="24"/>
        </w:rPr>
        <w:t>it is clear that this</w:t>
      </w:r>
      <w:proofErr w:type="gramEnd"/>
      <w:r w:rsidRPr="000C258A">
        <w:rPr>
          <w:rFonts w:cs="Times New Roman"/>
          <w:sz w:val="24"/>
          <w:szCs w:val="24"/>
        </w:rPr>
        <w:t xml:space="preserve"> new friend does not have interests in further developing a relationship. If what is said seems plausible, lacking acknowledgement from </w:t>
      </w:r>
      <w:r w:rsidRPr="000C258A">
        <w:rPr>
          <w:rFonts w:cs="Times New Roman"/>
          <w:i/>
          <w:iCs/>
          <w:sz w:val="24"/>
          <w:szCs w:val="24"/>
        </w:rPr>
        <w:t>all</w:t>
      </w:r>
      <w:r w:rsidRPr="000C258A">
        <w:rPr>
          <w:rFonts w:cs="Times New Roman"/>
          <w:sz w:val="24"/>
          <w:szCs w:val="24"/>
        </w:rPr>
        <w:t xml:space="preserve"> others means that no one is willing to put effort in continuing or developing relationships with the agent. It means that the agent utterly </w:t>
      </w:r>
      <w:r w:rsidRPr="000C258A">
        <w:rPr>
          <w:rFonts w:cs="Times New Roman"/>
          <w:sz w:val="24"/>
          <w:szCs w:val="24"/>
        </w:rPr>
        <w:lastRenderedPageBreak/>
        <w:t xml:space="preserve">lacks developed relationships of any degree. Lacking acknowledgement from intimate others, similarly, means that the agent has no intimate relationships. </w:t>
      </w:r>
    </w:p>
    <w:p w14:paraId="76EB4CFC"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Thus, acknowledgement from others differs from successful demonstration of courage in that even though both register as certain degrees of success for respective virtues, acknowledgement further serves as the developmental precondition for relational virtue. It is a constitutive and necessary component for developing any intimate relationships with deep exchanges and for the development of private communications and histories. Only through being involved in intimate relationships can one cultivate relational virtues where one receives and gives cares at highly idiosyncratic levels. Acknowledgement cannot be reduced to a matter of luck and opportunity, nor can failure to be acknowledged be ascribed to a mismatch in internal dispositions and external conditions.  Rather, acknowledgement is a necessary element in developing an intimate relationship where one may learn and develop relational virtue. From this line of reasoning, saying that an agent can be relationally virtuous while never having been recognized by anyone due to bad luck is like saying that a tree has strong and stout branches despite never having taken root in any soil. Both are nonsensical and mysterious, detached from how relationships or trees in fact grow. What this implies is not that an agent must be recognized by </w:t>
      </w:r>
      <w:r w:rsidRPr="000C258A">
        <w:rPr>
          <w:rFonts w:cs="Times New Roman"/>
          <w:i/>
          <w:iCs/>
          <w:sz w:val="24"/>
          <w:szCs w:val="24"/>
        </w:rPr>
        <w:t>all</w:t>
      </w:r>
      <w:r w:rsidRPr="000C258A">
        <w:rPr>
          <w:rFonts w:cs="Times New Roman"/>
          <w:sz w:val="24"/>
          <w:szCs w:val="24"/>
        </w:rPr>
        <w:t xml:space="preserve"> related others </w:t>
      </w:r>
      <w:proofErr w:type="gramStart"/>
      <w:r w:rsidRPr="000C258A">
        <w:rPr>
          <w:rFonts w:cs="Times New Roman"/>
          <w:sz w:val="24"/>
          <w:szCs w:val="24"/>
        </w:rPr>
        <w:t>in order to</w:t>
      </w:r>
      <w:proofErr w:type="gramEnd"/>
      <w:r w:rsidRPr="000C258A">
        <w:rPr>
          <w:rFonts w:cs="Times New Roman"/>
          <w:sz w:val="24"/>
          <w:szCs w:val="24"/>
        </w:rPr>
        <w:t xml:space="preserve"> have relational virtues. But it does mean that she must be recognized by </w:t>
      </w:r>
      <w:r w:rsidRPr="000C258A">
        <w:rPr>
          <w:rFonts w:cs="Times New Roman"/>
          <w:i/>
          <w:iCs/>
          <w:sz w:val="24"/>
          <w:szCs w:val="24"/>
        </w:rPr>
        <w:t>some</w:t>
      </w:r>
      <w:r w:rsidRPr="000C258A">
        <w:rPr>
          <w:rFonts w:cs="Times New Roman"/>
          <w:sz w:val="24"/>
          <w:szCs w:val="24"/>
        </w:rPr>
        <w:t xml:space="preserve"> to have the </w:t>
      </w:r>
      <w:r w:rsidRPr="000C258A">
        <w:rPr>
          <w:rFonts w:cs="Times New Roman"/>
          <w:i/>
          <w:iCs/>
          <w:sz w:val="24"/>
          <w:szCs w:val="24"/>
        </w:rPr>
        <w:t>chance</w:t>
      </w:r>
      <w:r w:rsidRPr="000C258A">
        <w:rPr>
          <w:rFonts w:cs="Times New Roman"/>
          <w:sz w:val="24"/>
          <w:szCs w:val="24"/>
        </w:rPr>
        <w:t xml:space="preserve"> of becoming relationally virtuous. </w:t>
      </w:r>
    </w:p>
    <w:p w14:paraId="3BF569F1"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Shrewd readers might notice that my argument above is an argument of developmental necessity </w:t>
      </w:r>
      <w:proofErr w:type="gramStart"/>
      <w:r w:rsidRPr="000C258A">
        <w:rPr>
          <w:rFonts w:cs="Times New Roman"/>
          <w:sz w:val="24"/>
          <w:szCs w:val="24"/>
        </w:rPr>
        <w:t>that, because</w:t>
      </w:r>
      <w:proofErr w:type="gramEnd"/>
      <w:r w:rsidRPr="000C258A">
        <w:rPr>
          <w:rFonts w:cs="Times New Roman"/>
          <w:sz w:val="24"/>
          <w:szCs w:val="24"/>
        </w:rPr>
        <w:t xml:space="preserve"> it is only about the cultivation process, does not make claims about relational virtues themselves, or more concretely, the significance of others’ acknowledgement when an agent has attained a high degree of relational virtues. My other argument of parameters and acknowledgement, however, seems to suggest that others’ acknowledgement is </w:t>
      </w:r>
      <w:r w:rsidRPr="000C258A">
        <w:rPr>
          <w:rFonts w:cs="Times New Roman"/>
          <w:i/>
          <w:iCs/>
          <w:sz w:val="24"/>
          <w:szCs w:val="24"/>
        </w:rPr>
        <w:t>constitutive</w:t>
      </w:r>
      <w:r w:rsidRPr="000C258A">
        <w:rPr>
          <w:rFonts w:cs="Times New Roman"/>
          <w:sz w:val="24"/>
          <w:szCs w:val="24"/>
        </w:rPr>
        <w:t xml:space="preserve">, </w:t>
      </w:r>
      <w:r w:rsidRPr="000C258A">
        <w:rPr>
          <w:rFonts w:cs="Times New Roman"/>
          <w:sz w:val="24"/>
          <w:szCs w:val="24"/>
        </w:rPr>
        <w:lastRenderedPageBreak/>
        <w:t>rather than simply being necessary for development. It is true that for my view, acknowledgement from intimate others is not merely necessary for development. It constitutes part of relational virtue even when an agent has developed a high degree of relational virtues, and there is no proper relational virtue to speak of if an agent does not have any acknowledgement from intimate others.</w:t>
      </w:r>
      <w:r w:rsidRPr="000C258A">
        <w:rPr>
          <w:rStyle w:val="FootnoteReference"/>
          <w:rFonts w:cs="Times New Roman"/>
          <w:sz w:val="24"/>
          <w:szCs w:val="24"/>
        </w:rPr>
        <w:footnoteReference w:id="117"/>
      </w:r>
      <w:r w:rsidRPr="000C258A">
        <w:rPr>
          <w:rFonts w:cs="Times New Roman"/>
          <w:sz w:val="24"/>
          <w:szCs w:val="24"/>
        </w:rPr>
        <w:t xml:space="preserve"> To see why this is the case, an example may suffice.</w:t>
      </w:r>
    </w:p>
    <w:p w14:paraId="50EE08E8"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 Through previous intimate relationships, Sam has fully developed the relational virtue of being a good friend, but </w:t>
      </w:r>
      <w:proofErr w:type="gramStart"/>
      <w:r w:rsidRPr="000C258A">
        <w:rPr>
          <w:rFonts w:cs="Times New Roman"/>
          <w:sz w:val="24"/>
          <w:szCs w:val="24"/>
        </w:rPr>
        <w:t>unfortunately</w:t>
      </w:r>
      <w:proofErr w:type="gramEnd"/>
      <w:r w:rsidRPr="000C258A">
        <w:rPr>
          <w:rFonts w:cs="Times New Roman"/>
          <w:sz w:val="24"/>
          <w:szCs w:val="24"/>
        </w:rPr>
        <w:t xml:space="preserve"> she has now, through a series of tragedies, lost all her intimate friends, such that no one acknowledges her relational virtue now. Sam, in other words, is not a good friend to anyone at this point in the story. She has no one to whom to express her relational virtue. Suppose, however, that Sam recovers from her loss and makes some new friends, would Sam be able to express her relational virtue now that she has new friends? I think that no, she would not. This is because she must first develop an intimate relationship with her new friends. While Sam has the disposition, this disposition alone and by itself does not enable her to immediately create intimate and close relationships, even if we assume that her new friends would like to become her close friends. The disposition will certainly play an important role. However, it is precisely because Sam</w:t>
      </w:r>
      <w:r w:rsidRPr="000C258A">
        <w:rPr>
          <w:rFonts w:cs="Times New Roman"/>
          <w:i/>
          <w:iCs/>
          <w:sz w:val="24"/>
          <w:szCs w:val="24"/>
        </w:rPr>
        <w:t xml:space="preserve"> has </w:t>
      </w:r>
      <w:r w:rsidRPr="000C258A">
        <w:rPr>
          <w:rFonts w:cs="Times New Roman"/>
          <w:sz w:val="24"/>
          <w:szCs w:val="24"/>
        </w:rPr>
        <w:t xml:space="preserve">the disposition that she knows that the relational virtue of being a good friend – which entails being a good friend to </w:t>
      </w:r>
      <w:r w:rsidRPr="000C258A">
        <w:rPr>
          <w:rFonts w:cs="Times New Roman"/>
          <w:i/>
          <w:iCs/>
          <w:sz w:val="24"/>
          <w:szCs w:val="24"/>
        </w:rPr>
        <w:t>someone</w:t>
      </w:r>
      <w:r w:rsidRPr="000C258A">
        <w:rPr>
          <w:rFonts w:cs="Times New Roman"/>
          <w:sz w:val="24"/>
          <w:szCs w:val="24"/>
        </w:rPr>
        <w:t xml:space="preserve"> (or multiple people), rather than having a generically friendly or considerate comportment – is </w:t>
      </w:r>
      <w:r w:rsidRPr="000C258A">
        <w:rPr>
          <w:rFonts w:cs="Times New Roman"/>
          <w:i/>
          <w:iCs/>
          <w:sz w:val="24"/>
          <w:szCs w:val="24"/>
        </w:rPr>
        <w:t>not</w:t>
      </w:r>
      <w:r w:rsidRPr="000C258A">
        <w:rPr>
          <w:rFonts w:cs="Times New Roman"/>
          <w:sz w:val="24"/>
          <w:szCs w:val="24"/>
        </w:rPr>
        <w:t xml:space="preserve"> a portable virtue that once possessed, will make having intimate friendship with anyone possible and smooth. She understands what is required to know and befriend someone in their individualities. It takes humility to resist passing quick judgments over what may seem strange and to take to </w:t>
      </w:r>
      <w:r w:rsidRPr="000C258A">
        <w:rPr>
          <w:rFonts w:cs="Times New Roman"/>
          <w:sz w:val="24"/>
          <w:szCs w:val="24"/>
        </w:rPr>
        <w:lastRenderedPageBreak/>
        <w:t xml:space="preserve">heart that one can be wrong in one’s judgment. It takes courage and vulnerability to reveal oneself and to lose a certain control </w:t>
      </w:r>
      <w:proofErr w:type="gramStart"/>
      <w:r w:rsidRPr="000C258A">
        <w:rPr>
          <w:rFonts w:cs="Times New Roman"/>
          <w:sz w:val="24"/>
          <w:szCs w:val="24"/>
        </w:rPr>
        <w:t>in order to</w:t>
      </w:r>
      <w:proofErr w:type="gramEnd"/>
      <w:r w:rsidRPr="000C258A">
        <w:rPr>
          <w:rFonts w:cs="Times New Roman"/>
          <w:sz w:val="24"/>
          <w:szCs w:val="24"/>
        </w:rPr>
        <w:t xml:space="preserve"> adjust and change oneself for others. Moreover, she knows, more than those with a less-developed disposition, that </w:t>
      </w:r>
      <w:proofErr w:type="gramStart"/>
      <w:r w:rsidRPr="000C258A">
        <w:rPr>
          <w:rFonts w:cs="Times New Roman"/>
          <w:sz w:val="24"/>
          <w:szCs w:val="24"/>
        </w:rPr>
        <w:t>all of</w:t>
      </w:r>
      <w:proofErr w:type="gramEnd"/>
      <w:r w:rsidRPr="000C258A">
        <w:rPr>
          <w:rFonts w:cs="Times New Roman"/>
          <w:sz w:val="24"/>
          <w:szCs w:val="24"/>
        </w:rPr>
        <w:t xml:space="preserve"> these only draw part of the picture, for no disposition contains all that is necessary to establish a new intimate relationship with another person when many of the necessary details – namely, the individualities of pet peeves, quirks, values and desires of bonded others—can only come from others. Disregarding all these details, what is left is not a friendship but a relationship with a non-specified acquaintance, not the relational virtue of being a good friend but a general virtue, such as kindness or friendliness. Valuing individual details that intimates share and desiring relational virtue, Sam needs her friends to acknowledge and respond to her initiations, and to take part in similar manners to understand and trust her and reveal themselves to her. Only with their acknowledgements and contributions can Sam gradually redevelop her relational virtue and act in a deeply relational way that goes beyond generic interactions among new acquaintances. Saying that having a well-developed disposition alone suffices for having a relational virtue presents a misunderstanding of how relational virtue must be achieved. It is a kind of disposition that is necessary but characteristically insufficient for having corresponding relational virtue. </w:t>
      </w:r>
    </w:p>
    <w:p w14:paraId="56D89BA0" w14:textId="77777777" w:rsidR="00EA5D45" w:rsidRPr="000C258A" w:rsidRDefault="00EA5D45" w:rsidP="00EA5D45">
      <w:pPr>
        <w:spacing w:line="480" w:lineRule="auto"/>
        <w:ind w:firstLine="720"/>
        <w:rPr>
          <w:rFonts w:cs="Times New Roman"/>
          <w:sz w:val="24"/>
          <w:szCs w:val="24"/>
        </w:rPr>
      </w:pPr>
      <w:proofErr w:type="gramStart"/>
      <w:r w:rsidRPr="000C258A">
        <w:rPr>
          <w:rFonts w:cs="Times New Roman"/>
          <w:sz w:val="24"/>
          <w:szCs w:val="24"/>
        </w:rPr>
        <w:t>Last but not least</w:t>
      </w:r>
      <w:proofErr w:type="gramEnd"/>
      <w:r w:rsidRPr="000C258A">
        <w:rPr>
          <w:rFonts w:cs="Times New Roman"/>
          <w:sz w:val="24"/>
          <w:szCs w:val="24"/>
        </w:rPr>
        <w:t xml:space="preserve">, the focus of my discussion thus far may lead to a misunderstanding that for intimate relationships and relational virtue, everything involved is private and not open to evaluation by anyone outside of the relationships. One might think, for instance, that I am arguing for a view in which no one, including our parents, can question or criticize how my brother and I interact </w:t>
      </w:r>
      <w:proofErr w:type="gramStart"/>
      <w:r w:rsidRPr="000C258A">
        <w:rPr>
          <w:rFonts w:cs="Times New Roman"/>
          <w:sz w:val="24"/>
          <w:szCs w:val="24"/>
        </w:rPr>
        <w:t>as long as</w:t>
      </w:r>
      <w:proofErr w:type="gramEnd"/>
      <w:r w:rsidRPr="000C258A">
        <w:rPr>
          <w:rFonts w:cs="Times New Roman"/>
          <w:sz w:val="24"/>
          <w:szCs w:val="24"/>
        </w:rPr>
        <w:t xml:space="preserve"> both of us consider our interaction fine. While I do emphasize that there is a highly exclusive part to every intimate relationship, I have been careful to avoid saying that everything about an intimate relationship is private. Rather, the private, exclusive, </w:t>
      </w:r>
      <w:r w:rsidRPr="000C258A">
        <w:rPr>
          <w:rFonts w:cs="Times New Roman"/>
          <w:sz w:val="24"/>
          <w:szCs w:val="24"/>
        </w:rPr>
        <w:lastRenderedPageBreak/>
        <w:t xml:space="preserve">and deeply relational part of an intimate relationship is but a part of the whole. There are also parts of an intimate relationship that are public and can be openly evaluated. Take child-rearing, for example. Being good parents is highly relational. It requires knowing all the quirks and unique personalities of a child and trying to meet the child’s individual needs, even and perhaps especially those needs that no one else knows. However, pediatricians can provide a lot of important information about child-rearing without knowing much about anything particular about every child who visits them. Sometimes, neighbors with neither professional knowledge about young children nor intimate knowledge about </w:t>
      </w:r>
      <w:r w:rsidRPr="000C258A">
        <w:rPr>
          <w:rFonts w:cs="Times New Roman"/>
          <w:i/>
          <w:iCs/>
          <w:sz w:val="24"/>
          <w:szCs w:val="24"/>
        </w:rPr>
        <w:t>your</w:t>
      </w:r>
      <w:r w:rsidRPr="000C258A">
        <w:rPr>
          <w:rFonts w:cs="Times New Roman"/>
          <w:sz w:val="24"/>
          <w:szCs w:val="24"/>
        </w:rPr>
        <w:t xml:space="preserve"> child can justifiably say that “</w:t>
      </w:r>
      <w:r w:rsidRPr="000C258A">
        <w:rPr>
          <w:rFonts w:cs="Times New Roman"/>
          <w:i/>
          <w:iCs/>
          <w:sz w:val="24"/>
          <w:szCs w:val="24"/>
        </w:rPr>
        <w:t>you</w:t>
      </w:r>
      <w:r w:rsidRPr="000C258A">
        <w:rPr>
          <w:rFonts w:cs="Times New Roman"/>
          <w:sz w:val="24"/>
          <w:szCs w:val="24"/>
        </w:rPr>
        <w:t xml:space="preserve"> are spoiling your kid.” Intimate relationships and relational virtue, therefore, have areas and activities that are open to public discussion and evaluation, and are not completely private and exclusive to those involved. </w:t>
      </w:r>
    </w:p>
    <w:p w14:paraId="4ED71FD1"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Public acknowledgement and evaluations are indispensable for evaluating and determining whether an agent has relational virtue. In case what I argue seems redundant and bizarre, considering public acknowledgment and evaluation as necessary is practiced and assumed de facto. Those of us in philosophy take our public discourse on virtues as relevant for determining and refining what a particular virtue is, a project in which this paper also partakes. Humility calls for a check on how important our discourse </w:t>
      </w:r>
      <w:proofErr w:type="gramStart"/>
      <w:r w:rsidRPr="000C258A">
        <w:rPr>
          <w:rFonts w:cs="Times New Roman"/>
          <w:sz w:val="24"/>
          <w:szCs w:val="24"/>
        </w:rPr>
        <w:t>actually is</w:t>
      </w:r>
      <w:proofErr w:type="gramEnd"/>
      <w:r w:rsidRPr="000C258A">
        <w:rPr>
          <w:rFonts w:cs="Times New Roman"/>
          <w:sz w:val="24"/>
          <w:szCs w:val="24"/>
        </w:rPr>
        <w:t xml:space="preserve">, though it seems undeniable that discussions of what is good and bad, or what should and should not be done, are generally important and relevant for understanding and redefining virtues. When it comes to relational virtue, public acknowledgement and evaluation provide a necessary guard rail against intimate but toxic relationships that either satisfy those involved or </w:t>
      </w:r>
      <w:proofErr w:type="gramStart"/>
      <w:r w:rsidRPr="000C258A">
        <w:rPr>
          <w:rFonts w:cs="Times New Roman"/>
          <w:sz w:val="24"/>
          <w:szCs w:val="24"/>
        </w:rPr>
        <w:t>were considered to be</w:t>
      </w:r>
      <w:proofErr w:type="gramEnd"/>
      <w:r w:rsidRPr="000C258A">
        <w:rPr>
          <w:rFonts w:cs="Times New Roman"/>
          <w:sz w:val="24"/>
          <w:szCs w:val="24"/>
        </w:rPr>
        <w:t xml:space="preserve"> appropriate in previous eras. Thus, regarding relational virtue (and virtues in general), even </w:t>
      </w:r>
      <w:r w:rsidRPr="000C258A">
        <w:rPr>
          <w:rFonts w:cs="Times New Roman"/>
          <w:sz w:val="24"/>
          <w:szCs w:val="24"/>
        </w:rPr>
        <w:lastRenderedPageBreak/>
        <w:t xml:space="preserve">though the necessity of public judgment most often manifests in high-level discussions or when clear problems occur, it is nonetheless necessary. </w:t>
      </w:r>
    </w:p>
    <w:p w14:paraId="2DEC74D6"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Which public discourses should be considered relevant and salient? How might we identify and filter what matters from what does not? These are difficult and important questions that await further exploration. Pertinent to this paper is the question of how they matter for relational virtues. What do we say when two sources of acknowledgment – namely, the one from intimate others and one from a public source – conflict? While I have been emphasizing the significance of intimate others, what do we say when those bonded others turn bad, or are ungrateful for all that one has done for them? In what follows, I answer these questions after discussing a case of misery. </w:t>
      </w:r>
    </w:p>
    <w:p w14:paraId="634AFC66" w14:textId="67408B0C" w:rsidR="00EA5D45" w:rsidRDefault="00EA5D45" w:rsidP="00EA5D45">
      <w:pPr>
        <w:pStyle w:val="Heading2"/>
        <w:numPr>
          <w:ilvl w:val="0"/>
          <w:numId w:val="3"/>
        </w:numPr>
      </w:pPr>
      <w:bookmarkStart w:id="46" w:name="_Toc102412740"/>
      <w:r>
        <w:rPr>
          <w:rFonts w:hint="eastAsia"/>
        </w:rPr>
        <w:t>Ca</w:t>
      </w:r>
      <w:r>
        <w:t>veats and Qualifications</w:t>
      </w:r>
      <w:bookmarkEnd w:id="46"/>
    </w:p>
    <w:p w14:paraId="4EC1B9E8"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There are unfortunate cases of abusive spouses, ungrateful and unstable friends or siblings, relatives with strong, problematic beliefs, or parents who suffer from medical conditions such as dementia and become neuro-biologically “not who they were” anymore. As diverse as these cases are, one common feature shared by all of them is that the intimate relationship is now broken and gone, regardless of how it was before. These cases seem to challenge my view that acknowledgement from intimate others is necessary, since agents in these cases either cannot receive or should not credit acknowledgement from intimate others. I argue that the opposite is the case, that these cases, because they are unfortunate and atypical, further support my view. First, let me present one such case. Then I will offer what seems to me a reasonable analysis of such cases. </w:t>
      </w:r>
    </w:p>
    <w:p w14:paraId="7905E5D9"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Take, for instance, the extreme case of parents suffering from late-stage dementia. It is extreme for numerous reasons, not least of which is that our assumed, typical expectations of a </w:t>
      </w:r>
      <w:r w:rsidRPr="000C258A">
        <w:rPr>
          <w:rFonts w:cs="Times New Roman"/>
          <w:sz w:val="24"/>
          <w:szCs w:val="24"/>
        </w:rPr>
        <w:lastRenderedPageBreak/>
        <w:t xml:space="preserve">person as capable of reasoning and change are inapplicable to them. Reciprocity is near-impossible, and </w:t>
      </w:r>
      <w:proofErr w:type="gramStart"/>
      <w:r w:rsidRPr="000C258A">
        <w:rPr>
          <w:rFonts w:cs="Times New Roman"/>
          <w:sz w:val="24"/>
          <w:szCs w:val="24"/>
        </w:rPr>
        <w:t>care-givers</w:t>
      </w:r>
      <w:proofErr w:type="gramEnd"/>
      <w:r w:rsidRPr="000C258A">
        <w:rPr>
          <w:rFonts w:cs="Times New Roman"/>
          <w:sz w:val="24"/>
          <w:szCs w:val="24"/>
        </w:rPr>
        <w:t xml:space="preserve"> can only offer unidirectional activities of giving and caring. If the child previously had an intimate relationship with the parents, it is a particularly excruciating task for her to take care of parents in such a case. Loving parents may, </w:t>
      </w:r>
      <w:proofErr w:type="gramStart"/>
      <w:r w:rsidRPr="000C258A">
        <w:rPr>
          <w:rFonts w:cs="Times New Roman"/>
          <w:sz w:val="24"/>
          <w:szCs w:val="24"/>
        </w:rPr>
        <w:t>all of a sudden</w:t>
      </w:r>
      <w:proofErr w:type="gramEnd"/>
      <w:r w:rsidRPr="000C258A">
        <w:rPr>
          <w:rFonts w:cs="Times New Roman"/>
          <w:sz w:val="24"/>
          <w:szCs w:val="24"/>
        </w:rPr>
        <w:t>, enact aggressions to a level that in no way matches with who they were before.</w:t>
      </w:r>
      <w:r w:rsidRPr="000C258A">
        <w:rPr>
          <w:rStyle w:val="FootnoteReference"/>
          <w:rFonts w:cs="Times New Roman"/>
          <w:sz w:val="24"/>
          <w:szCs w:val="24"/>
        </w:rPr>
        <w:footnoteReference w:id="118"/>
      </w:r>
      <w:r w:rsidRPr="000C258A">
        <w:rPr>
          <w:rFonts w:cs="Times New Roman"/>
          <w:sz w:val="24"/>
          <w:szCs w:val="24"/>
        </w:rPr>
        <w:t xml:space="preserve"> When the damage is done, the child now faces a contradiction: keen memories of who the parents were, on the one hand, and the cold, alienating, and utterly scary being who takes the “form” of parents, on the other hand. She could leave the responsibility of caretaking to </w:t>
      </w:r>
      <w:proofErr w:type="gramStart"/>
      <w:r w:rsidRPr="000C258A">
        <w:rPr>
          <w:rFonts w:cs="Times New Roman"/>
          <w:sz w:val="24"/>
          <w:szCs w:val="24"/>
        </w:rPr>
        <w:t>specialized</w:t>
      </w:r>
      <w:proofErr w:type="gramEnd"/>
      <w:r w:rsidRPr="000C258A">
        <w:rPr>
          <w:rFonts w:cs="Times New Roman"/>
          <w:sz w:val="24"/>
          <w:szCs w:val="24"/>
        </w:rPr>
        <w:t xml:space="preserve"> facilities and let them take full control of the parents if she has the resources. While that would not be relationally virtuous, for she is not engaging in any kind of care-taking activities, it is not clearly blameworthy. She could take up the responsibility and do it poorly. The alienating disease tortures not only the patients, but the heart of caretakers, such that a child may also “give in” to the </w:t>
      </w:r>
      <w:proofErr w:type="gramStart"/>
      <w:r w:rsidRPr="000C258A">
        <w:rPr>
          <w:rFonts w:cs="Times New Roman"/>
          <w:sz w:val="24"/>
          <w:szCs w:val="24"/>
        </w:rPr>
        <w:t>disease, and</w:t>
      </w:r>
      <w:proofErr w:type="gramEnd"/>
      <w:r w:rsidRPr="000C258A">
        <w:rPr>
          <w:rFonts w:cs="Times New Roman"/>
          <w:sz w:val="24"/>
          <w:szCs w:val="24"/>
        </w:rPr>
        <w:t xml:space="preserve"> treat the late-stage parents </w:t>
      </w:r>
      <w:r w:rsidRPr="000C258A">
        <w:rPr>
          <w:rFonts w:cs="Times New Roman"/>
          <w:i/>
          <w:iCs/>
          <w:sz w:val="24"/>
          <w:szCs w:val="24"/>
        </w:rPr>
        <w:t xml:space="preserve">not </w:t>
      </w:r>
      <w:r w:rsidRPr="000C258A">
        <w:rPr>
          <w:rFonts w:cs="Times New Roman"/>
          <w:sz w:val="24"/>
          <w:szCs w:val="24"/>
        </w:rPr>
        <w:t>as how the parents would have liked to be treated before they fell ill, but as an unfeeling, confused, unstable being who is not much more than an incredible burden. Lastly, she could take up the responsibility and the daunting task of doing it well, which, alongside following medical advice, may consistently imply providing them with food they used to enjoy eating, speaking in the only language that hangs on the edge of their memory, and, in general, tending to their old quirks and preferences within reasonable measures, treating them as if they are still “there,” even during the (literally) violent times. She could, in other words, behave relationally virtuously even though she would not (and should not expect to) receive any acknowledgement from parents.</w:t>
      </w:r>
    </w:p>
    <w:p w14:paraId="724FBD99"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lastRenderedPageBreak/>
        <w:t xml:space="preserve">It is the last scenario that I want to discuss and let us call this imaginary child Jesse. Jesse’s case seems a readily recognizable case where we as non-related outsiders would happily say that she is relationally virtuous, and I agree. Jesse has tried to take care of a parent whose disease has prevented them from giving Jesse any of the acknowledgement she both wants and deserves. Nevertheless, Jesse resists the temptation to treat her parents as the uncanny beings they now </w:t>
      </w:r>
      <w:proofErr w:type="gramStart"/>
      <w:r w:rsidRPr="000C258A">
        <w:rPr>
          <w:rFonts w:cs="Times New Roman"/>
          <w:sz w:val="24"/>
          <w:szCs w:val="24"/>
        </w:rPr>
        <w:t>are, and</w:t>
      </w:r>
      <w:proofErr w:type="gramEnd"/>
      <w:r w:rsidRPr="000C258A">
        <w:rPr>
          <w:rFonts w:cs="Times New Roman"/>
          <w:sz w:val="24"/>
          <w:szCs w:val="24"/>
        </w:rPr>
        <w:t xml:space="preserve"> continues to take care of them based on how they would have preferred based on her intimate knowledge of them. To deny that Jesse is relationally virtuous as a good child (or </w:t>
      </w:r>
      <w:r w:rsidRPr="000C258A">
        <w:rPr>
          <w:rFonts w:cs="Times New Roman"/>
          <w:i/>
          <w:iCs/>
          <w:sz w:val="24"/>
          <w:szCs w:val="24"/>
        </w:rPr>
        <w:t>xiao</w:t>
      </w:r>
      <w:r w:rsidRPr="000C258A">
        <w:rPr>
          <w:rFonts w:cs="Times New Roman"/>
          <w:sz w:val="24"/>
          <w:szCs w:val="24"/>
        </w:rPr>
        <w:t xml:space="preserve"> </w:t>
      </w:r>
      <w:proofErr w:type="spellStart"/>
      <w:r w:rsidRPr="000C258A">
        <w:rPr>
          <w:rFonts w:cs="Times New Roman"/>
          <w:sz w:val="24"/>
          <w:szCs w:val="24"/>
        </w:rPr>
        <w:t>孝</w:t>
      </w:r>
      <w:r w:rsidRPr="000C258A">
        <w:rPr>
          <w:rFonts w:cs="Times New Roman"/>
          <w:sz w:val="24"/>
          <w:szCs w:val="24"/>
        </w:rPr>
        <w:t>in</w:t>
      </w:r>
      <w:proofErr w:type="spellEnd"/>
      <w:r w:rsidRPr="000C258A">
        <w:rPr>
          <w:rFonts w:cs="Times New Roman"/>
          <w:sz w:val="24"/>
          <w:szCs w:val="24"/>
        </w:rPr>
        <w:t xml:space="preserve"> Chinese philosophy), is to render this </w:t>
      </w:r>
      <w:proofErr w:type="gramStart"/>
      <w:r w:rsidRPr="000C258A">
        <w:rPr>
          <w:rFonts w:cs="Times New Roman"/>
          <w:sz w:val="24"/>
          <w:szCs w:val="24"/>
        </w:rPr>
        <w:t>particular relational</w:t>
      </w:r>
      <w:proofErr w:type="gramEnd"/>
      <w:r w:rsidRPr="000C258A">
        <w:rPr>
          <w:rFonts w:cs="Times New Roman"/>
          <w:sz w:val="24"/>
          <w:szCs w:val="24"/>
        </w:rPr>
        <w:t xml:space="preserve"> virtue exceptionally demanding and therefore, to take away any practical significance this could have in real life. However, acknowledging that Jesse is relationally virtuous despite having no acknowledgement from her ill parents is not a mark against my view. On the contrary, Jesse’s case further strengthens my view that both acknowledgments from intimate others and from the public are necessary components that standard relational virtues should have. The crux is on the nature of Jesse’s case. </w:t>
      </w:r>
    </w:p>
    <w:p w14:paraId="78299BE0" w14:textId="77777777" w:rsidR="00EA5D45" w:rsidRPr="000C258A" w:rsidRDefault="00EA5D45" w:rsidP="00EA5D45">
      <w:pPr>
        <w:spacing w:line="480" w:lineRule="auto"/>
        <w:rPr>
          <w:rFonts w:cs="Times New Roman"/>
          <w:sz w:val="24"/>
          <w:szCs w:val="24"/>
        </w:rPr>
      </w:pPr>
      <w:r w:rsidRPr="000C258A">
        <w:rPr>
          <w:rFonts w:cs="Times New Roman"/>
          <w:sz w:val="24"/>
          <w:szCs w:val="24"/>
        </w:rPr>
        <w:tab/>
        <w:t xml:space="preserve">What we recognize in Jesse’s case is not only that she is relationally virtuous. Perhaps even before that, we see Jesse as suffering from a great misfortune that her parents have late-stage dementia. We cannot help but imagine how much better it would be if Jesse’s parents were fine and healthy. Arguably, we may (or at least I think Jesse would) think that it would be better for Jesse’s whole family to have the parents healthy than to have Jesse displaying relational virtue in such an agonizing circumstance. If Jesse were not as nice to her parents before they had fallen ill as she is now, she would most definitely wish that she were relationally virtuous to her parents when they were healthy and would consider that to be a much better alternative than her being relationally virtuous to her parents now. </w:t>
      </w:r>
    </w:p>
    <w:p w14:paraId="6F4DE5F8"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lastRenderedPageBreak/>
        <w:t xml:space="preserve">If what I describe seem right, this means that Jesse’s relational virtue to her ill parents is atypical and not the ideal kind. Moreover, we acknowledge from Jesse’s atypical relational virtue what the ideal kind should be. Compared to Jesse trying hard to take care of ill parents who can no longer respond to her, it seems a much better alternative if Jesse can be relationally virtuous to her healthy parents, precisely because they could acknowledge and respond to Jesse’s caring. The ideal kind, therefore, is one in which those involved can, and do, </w:t>
      </w:r>
      <w:proofErr w:type="gramStart"/>
      <w:r w:rsidRPr="000C258A">
        <w:rPr>
          <w:rFonts w:cs="Times New Roman"/>
          <w:sz w:val="24"/>
          <w:szCs w:val="24"/>
        </w:rPr>
        <w:t>acknowledge</w:t>
      </w:r>
      <w:proofErr w:type="gramEnd"/>
      <w:r w:rsidRPr="000C258A">
        <w:rPr>
          <w:rFonts w:cs="Times New Roman"/>
          <w:sz w:val="24"/>
          <w:szCs w:val="24"/>
        </w:rPr>
        <w:t xml:space="preserve"> and respond to each other. The absence of acknowledgment from intimate others in a well-recognized relational virtue, therefore, does not imply that acknowledgement from intimate others is unnecessary, but marks a tragedy that demonstrates how irreplaceable it is for those involved. </w:t>
      </w:r>
    </w:p>
    <w:p w14:paraId="1A7C5634"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Furthermore, because Jesse’s attention is most likely not on evaluating and affirming herself as relationally virtuous, </w:t>
      </w:r>
      <w:r w:rsidRPr="000C258A">
        <w:rPr>
          <w:rFonts w:cs="Times New Roman"/>
          <w:i/>
          <w:iCs/>
          <w:sz w:val="24"/>
          <w:szCs w:val="24"/>
        </w:rPr>
        <w:t xml:space="preserve">we </w:t>
      </w:r>
      <w:r w:rsidRPr="000C258A">
        <w:rPr>
          <w:rFonts w:cs="Times New Roman"/>
          <w:sz w:val="24"/>
          <w:szCs w:val="24"/>
        </w:rPr>
        <w:t xml:space="preserve">as the public are those who confer on her the relational virtue. We clearly see in Jesse an admirable quality evidenced through her care-taking acts and consider that quality worthy of being considered a “relational virtue.” Our evaluation of Jesse is important because we as the public are the only group left for determining and identifying what counts as relational virtue when her parents cease to be capable judges of her virtue. Without this public evaluation and conferral, Jesse’s virtue would not only go unnoticed, but even be wrongly identified as vice by her parents. Her parents, whom Jesse may block from unsafe activities they desire, such as driving, may well turn on her, judging Jesse bad or vicious. </w:t>
      </w:r>
      <w:proofErr w:type="gramStart"/>
      <w:r w:rsidRPr="000C258A">
        <w:rPr>
          <w:rFonts w:cs="Times New Roman"/>
          <w:sz w:val="24"/>
          <w:szCs w:val="24"/>
        </w:rPr>
        <w:t>This is why</w:t>
      </w:r>
      <w:proofErr w:type="gramEnd"/>
      <w:r w:rsidRPr="000C258A">
        <w:rPr>
          <w:rFonts w:cs="Times New Roman"/>
          <w:sz w:val="24"/>
          <w:szCs w:val="24"/>
        </w:rPr>
        <w:t xml:space="preserve"> I contend that public acknowledgement and evaluation is also a necessary component for relational virtue. In addition to serving as a guard rail against clear wrongs, updating our understandings of what is good and right, public acknowledgement and evaluation can credit agents when intimate others are unable to do so. </w:t>
      </w:r>
    </w:p>
    <w:p w14:paraId="2F03CD27"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lastRenderedPageBreak/>
        <w:t xml:space="preserve">In Jesse’s case, public evaluation is more creditable than Jesse’s parents’ evaluation for determining whether Jesse is relationally virtuous. However, how significant public evaluation is for relational virtue overall is quite a different matter. Imagine us telling Jesse right after her parents’ dismissive reaction to her caring that “please do not take to heart what they said. We think you have done well. In fact, you have acted virtuously.” Jesse, while being moved, may respond that “but I want </w:t>
      </w:r>
      <w:r w:rsidRPr="000C258A">
        <w:rPr>
          <w:rFonts w:cs="Times New Roman"/>
          <w:i/>
          <w:iCs/>
          <w:sz w:val="24"/>
          <w:szCs w:val="24"/>
        </w:rPr>
        <w:t>them</w:t>
      </w:r>
      <w:r w:rsidRPr="000C258A">
        <w:rPr>
          <w:rFonts w:cs="Times New Roman"/>
          <w:sz w:val="24"/>
          <w:szCs w:val="24"/>
        </w:rPr>
        <w:t xml:space="preserve"> to know that I have really tried hard (to take care of them).” In other words, for those who have lost the possibility of connecting with their intimately bonded persons, what they long for is not the public acknowledgement of their virtuousness, but acknowledgement from intimate others. This seems true not only from a first-person perspective, but from the nature of relational virtue as well. After all, relational virtues are </w:t>
      </w:r>
      <w:r w:rsidRPr="000C258A">
        <w:rPr>
          <w:rFonts w:cs="Times New Roman"/>
          <w:i/>
          <w:iCs/>
          <w:sz w:val="24"/>
          <w:szCs w:val="24"/>
        </w:rPr>
        <w:t>relational</w:t>
      </w:r>
      <w:r w:rsidRPr="000C258A">
        <w:rPr>
          <w:rFonts w:cs="Times New Roman"/>
          <w:sz w:val="24"/>
          <w:szCs w:val="24"/>
        </w:rPr>
        <w:t xml:space="preserve"> rather than general. What matters most would be acknowledgment from one’s intimates, rather than those from the public. </w:t>
      </w:r>
    </w:p>
    <w:p w14:paraId="3FE216DA" w14:textId="77777777" w:rsidR="00EA5D45" w:rsidRPr="000C258A" w:rsidRDefault="00EA5D45" w:rsidP="00EA5D45">
      <w:pPr>
        <w:spacing w:line="480" w:lineRule="auto"/>
        <w:ind w:firstLine="720"/>
        <w:rPr>
          <w:rFonts w:cs="Times New Roman"/>
          <w:sz w:val="24"/>
          <w:szCs w:val="24"/>
        </w:rPr>
      </w:pPr>
      <w:r w:rsidRPr="000C258A">
        <w:rPr>
          <w:rFonts w:cs="Times New Roman"/>
          <w:sz w:val="24"/>
          <w:szCs w:val="24"/>
        </w:rPr>
        <w:t xml:space="preserve">If the discussion of Jesse’s case is on the right track, we can draw the following conclusions about the relationship of the three components of relational virtues. In the typical and therefore, majority of the circumstances in our lives, where relationship participants are neither exemplarily virtuous nor irredeemably vicious, the public guard rail will rarely interfere. An agent’s disposition and acknowledgement from intimate others consist of the necessary and most important components of relational virtue. Public evaluation “takes a backseat” in that the preferences of intimate others often (though not always) take priority over any general moral consensus regarding right and wrong on matters with no serious moral import. For instance, if my quite elderly grandmother hates being treated and cared for as an “old lady” because it makes her feel that she “has one foot in the grave,” I should treat her the way she prefers and not help </w:t>
      </w:r>
      <w:r w:rsidRPr="000C258A">
        <w:rPr>
          <w:rFonts w:cs="Times New Roman"/>
          <w:sz w:val="24"/>
          <w:szCs w:val="24"/>
        </w:rPr>
        <w:lastRenderedPageBreak/>
        <w:t>her with the four grocery bags she has in her hand.</w:t>
      </w:r>
      <w:r w:rsidRPr="000C258A">
        <w:rPr>
          <w:rStyle w:val="FootnoteReference"/>
          <w:rFonts w:cs="Times New Roman"/>
          <w:sz w:val="24"/>
          <w:szCs w:val="24"/>
        </w:rPr>
        <w:footnoteReference w:id="119"/>
      </w:r>
      <w:r w:rsidRPr="000C258A">
        <w:rPr>
          <w:rFonts w:cs="Times New Roman"/>
          <w:sz w:val="24"/>
          <w:szCs w:val="24"/>
        </w:rPr>
        <w:t xml:space="preserve"> Public evaluation becomes relevant when the relationship of intimately bonded people is broken, either because of disease, death, or other extreme life circumstances, or because one (or some) of them commits clear moral wrong against others.</w:t>
      </w:r>
      <w:r w:rsidRPr="000C258A">
        <w:rPr>
          <w:rStyle w:val="FootnoteReference"/>
          <w:rFonts w:cs="Times New Roman"/>
          <w:sz w:val="24"/>
          <w:szCs w:val="24"/>
        </w:rPr>
        <w:footnoteReference w:id="120"/>
      </w:r>
      <w:r w:rsidRPr="000C258A">
        <w:rPr>
          <w:rFonts w:cs="Times New Roman"/>
          <w:sz w:val="24"/>
          <w:szCs w:val="24"/>
        </w:rPr>
        <w:t xml:space="preserve">  In such cases, public evaluation can not only challenge the judgment from intimates, but even overrule this judgment in determining whether an agent is relationally virtuous. Nonetheless publicly conferred relational virtue rarely carries much significance for the agent. After all, relational virtues are meant to facilitate and foster deep and enriching relationships, rather than being a civic or general virtue that inspires outsiders for moral </w:t>
      </w:r>
      <w:proofErr w:type="gramStart"/>
      <w:r w:rsidRPr="000C258A">
        <w:rPr>
          <w:rFonts w:cs="Times New Roman"/>
          <w:sz w:val="24"/>
          <w:szCs w:val="24"/>
        </w:rPr>
        <w:t>cultivation, or</w:t>
      </w:r>
      <w:proofErr w:type="gramEnd"/>
      <w:r w:rsidRPr="000C258A">
        <w:rPr>
          <w:rFonts w:cs="Times New Roman"/>
          <w:sz w:val="24"/>
          <w:szCs w:val="24"/>
        </w:rPr>
        <w:t xml:space="preserve"> providing guidance to universal standards of right or wrong.</w:t>
      </w:r>
      <w:r w:rsidRPr="000C258A">
        <w:rPr>
          <w:rStyle w:val="FootnoteReference"/>
          <w:rFonts w:cs="Times New Roman"/>
          <w:sz w:val="24"/>
          <w:szCs w:val="24"/>
        </w:rPr>
        <w:footnoteReference w:id="121"/>
      </w:r>
      <w:r w:rsidRPr="000C258A">
        <w:rPr>
          <w:rFonts w:cs="Times New Roman"/>
          <w:sz w:val="24"/>
          <w:szCs w:val="24"/>
        </w:rPr>
        <w:t xml:space="preserve"> </w:t>
      </w:r>
    </w:p>
    <w:p w14:paraId="5F93802F" w14:textId="4BB35F9B" w:rsidR="00EA5D45" w:rsidRDefault="00EA5D45" w:rsidP="00EA5D45">
      <w:pPr>
        <w:pStyle w:val="Heading2"/>
        <w:numPr>
          <w:ilvl w:val="0"/>
          <w:numId w:val="3"/>
        </w:numPr>
      </w:pPr>
      <w:bookmarkStart w:id="47" w:name="_Toc102412741"/>
      <w:r>
        <w:t>Conclusion and Implications</w:t>
      </w:r>
      <w:bookmarkEnd w:id="47"/>
    </w:p>
    <w:p w14:paraId="38A986DB" w14:textId="77777777" w:rsidR="00EA5D45" w:rsidRPr="000C258A" w:rsidRDefault="00EA5D45" w:rsidP="00EA5D45">
      <w:pPr>
        <w:spacing w:line="480" w:lineRule="auto"/>
        <w:rPr>
          <w:rFonts w:cs="Times New Roman"/>
          <w:sz w:val="24"/>
          <w:szCs w:val="24"/>
        </w:rPr>
      </w:pPr>
      <w:r>
        <w:tab/>
      </w:r>
      <w:r w:rsidRPr="000C258A">
        <w:rPr>
          <w:rFonts w:cs="Times New Roman"/>
          <w:sz w:val="24"/>
          <w:szCs w:val="24"/>
        </w:rPr>
        <w:t xml:space="preserve">Traditional virtue ethics theories take disposition to be the necessary and sufficient factor in determining whether an agent has virtue or not. I have argued for a strong version of relational virtue that consists of three components:  the appropriate disposition of the agent, acknowledgement from intimate others, and acknowledgment from the public. This means that disposition alone does not determine whether an agent has relational virtue, and acknowledgements from intimate others and the public are also necessary. Of the two sources of acknowledgment, acknowledgement from intimate others is especially important (and typically, more important than acknowledgement from the public), and I provided three arguments for this claim. They are, first, the argument from parameters and the judgment that part of the parameters </w:t>
      </w:r>
      <w:r w:rsidRPr="000C258A">
        <w:rPr>
          <w:rFonts w:cs="Times New Roman"/>
          <w:sz w:val="24"/>
          <w:szCs w:val="24"/>
        </w:rPr>
        <w:lastRenderedPageBreak/>
        <w:t xml:space="preserve">of what it means to be a good relationship participant is set by the bonded others. They are the only proper judge on whether one has met the parameters well. Second, I provide an argument regarding developmental necessity. Acknowledgement from intimate others presents the basic precondition for relational virtue because it is required for developing an intimate relationship, the field and ground for developing relational virtue. Third, I offer an argument from the disposition belonging to relational virtue. Because relational virtue is not a general virtue (such as compassion or friendliness) that targets </w:t>
      </w:r>
      <w:proofErr w:type="gramStart"/>
      <w:r w:rsidRPr="000C258A">
        <w:rPr>
          <w:rFonts w:cs="Times New Roman"/>
          <w:sz w:val="24"/>
          <w:szCs w:val="24"/>
        </w:rPr>
        <w:t>general public</w:t>
      </w:r>
      <w:proofErr w:type="gramEnd"/>
      <w:r w:rsidRPr="000C258A">
        <w:rPr>
          <w:rFonts w:cs="Times New Roman"/>
          <w:sz w:val="24"/>
          <w:szCs w:val="24"/>
        </w:rPr>
        <w:t xml:space="preserve">, but a tailored virtue involving particular individuals, its disposition involves an understanding that others – including their acknowledgement and contribution – are needed for making an agent relationally virtuous. At the core of all three arguments is an understanding that having relational virtue, or more concretely, being a good relationship participant to a definite and </w:t>
      </w:r>
      <w:proofErr w:type="gramStart"/>
      <w:r w:rsidRPr="000C258A">
        <w:rPr>
          <w:rFonts w:cs="Times New Roman"/>
          <w:sz w:val="24"/>
          <w:szCs w:val="24"/>
        </w:rPr>
        <w:t>particular individual</w:t>
      </w:r>
      <w:proofErr w:type="gramEnd"/>
      <w:r w:rsidRPr="000C258A">
        <w:rPr>
          <w:rFonts w:cs="Times New Roman"/>
          <w:sz w:val="24"/>
          <w:szCs w:val="24"/>
        </w:rPr>
        <w:t xml:space="preserve"> (or individuals) is not a unilateral project that can be achieved by a single person, but a joint project that involves all participants at a deep personal level in a reciprocal manner. Even in the extreme cases where misfortune has stripped away the possibility of having acknowledgement from intimate others, the atypical relational virtue still reveals why acknowledgment from intimate others is irreplaceable, and why public acknowledgement is necessary but weaker in its significance as a substitute. </w:t>
      </w:r>
    </w:p>
    <w:p w14:paraId="5AA75C18" w14:textId="77777777" w:rsidR="00EA5D45" w:rsidRPr="000C258A" w:rsidRDefault="00EA5D45" w:rsidP="00EA5D45">
      <w:pPr>
        <w:spacing w:line="480" w:lineRule="auto"/>
        <w:rPr>
          <w:rFonts w:cs="Times New Roman"/>
          <w:sz w:val="24"/>
          <w:szCs w:val="24"/>
        </w:rPr>
      </w:pPr>
      <w:r w:rsidRPr="000C258A">
        <w:rPr>
          <w:rFonts w:cs="Times New Roman"/>
          <w:sz w:val="24"/>
          <w:szCs w:val="24"/>
        </w:rPr>
        <w:tab/>
        <w:t xml:space="preserve">My view finds some of its implications in virtues that have the well-being of other people as its intentional object, such as generosity. Christian Miller has recently provided a preliminary account of generosity. He argues that </w:t>
      </w:r>
    </w:p>
    <w:p w14:paraId="6184EB12" w14:textId="77777777" w:rsidR="00EA5D45" w:rsidRPr="000C258A" w:rsidRDefault="00EA5D45" w:rsidP="00EA5D45">
      <w:pPr>
        <w:spacing w:line="480" w:lineRule="auto"/>
        <w:ind w:left="720"/>
        <w:rPr>
          <w:rFonts w:cs="Times New Roman"/>
          <w:color w:val="231F20"/>
          <w:sz w:val="24"/>
          <w:szCs w:val="24"/>
        </w:rPr>
      </w:pPr>
      <w:r w:rsidRPr="000C258A">
        <w:rPr>
          <w:rFonts w:cs="Times New Roman"/>
          <w:color w:val="231F20"/>
          <w:sz w:val="24"/>
          <w:szCs w:val="24"/>
        </w:rPr>
        <w:t xml:space="preserve">A person has the virtue of generosity only if she is disposed to perform actions, in a variety of different relevant situations and stably over time, which are such that: </w:t>
      </w:r>
    </w:p>
    <w:p w14:paraId="433AF006" w14:textId="77777777" w:rsidR="00EA5D45" w:rsidRPr="000C258A" w:rsidRDefault="00EA5D45" w:rsidP="00EA5D45">
      <w:pPr>
        <w:spacing w:line="480" w:lineRule="auto"/>
        <w:ind w:left="720"/>
        <w:rPr>
          <w:rFonts w:cs="Times New Roman"/>
          <w:sz w:val="24"/>
          <w:szCs w:val="24"/>
        </w:rPr>
      </w:pPr>
      <w:r w:rsidRPr="000C258A">
        <w:rPr>
          <w:rFonts w:cs="Times New Roman"/>
          <w:color w:val="231F20"/>
          <w:sz w:val="24"/>
          <w:szCs w:val="24"/>
        </w:rPr>
        <w:lastRenderedPageBreak/>
        <w:t>(i) What is bestowed by the actions is of value to the giver.</w:t>
      </w:r>
      <w:r w:rsidRPr="000C258A">
        <w:rPr>
          <w:rFonts w:cs="Times New Roman"/>
          <w:color w:val="231F20"/>
          <w:sz w:val="24"/>
          <w:szCs w:val="24"/>
        </w:rPr>
        <w:br/>
        <w:t>(ii) The actions are motivated by an ultimate desire that is altruistic, and</w:t>
      </w:r>
      <w:r w:rsidRPr="000C258A">
        <w:rPr>
          <w:rFonts w:cs="Times New Roman"/>
          <w:color w:val="231F20"/>
          <w:sz w:val="24"/>
          <w:szCs w:val="24"/>
        </w:rPr>
        <w:br/>
        <w:t>in the case of mixed motives this desire is primary and capable of leading to these actions even in the absence of the other motives.</w:t>
      </w:r>
      <w:r w:rsidRPr="000C258A">
        <w:rPr>
          <w:rFonts w:cs="Times New Roman"/>
          <w:color w:val="231F20"/>
          <w:sz w:val="24"/>
          <w:szCs w:val="24"/>
        </w:rPr>
        <w:br/>
        <w:t>(iii) The actions are morally supererogatory and not morally required.</w:t>
      </w:r>
      <w:r>
        <w:rPr>
          <w:rStyle w:val="FootnoteReference"/>
          <w:rFonts w:cs="Times New Roman"/>
          <w:color w:val="231F20"/>
          <w:sz w:val="24"/>
          <w:szCs w:val="24"/>
        </w:rPr>
        <w:footnoteReference w:id="122"/>
      </w:r>
      <w:r w:rsidRPr="000C258A">
        <w:rPr>
          <w:rFonts w:cs="Times New Roman"/>
          <w:sz w:val="24"/>
          <w:szCs w:val="24"/>
        </w:rPr>
        <w:t xml:space="preserve"> </w:t>
      </w:r>
    </w:p>
    <w:p w14:paraId="4716F1E4" w14:textId="77777777" w:rsidR="00EA5D45" w:rsidRPr="000C258A" w:rsidRDefault="00EA5D45" w:rsidP="00EA5D45">
      <w:pPr>
        <w:spacing w:line="480" w:lineRule="auto"/>
        <w:rPr>
          <w:rFonts w:cs="Times New Roman"/>
          <w:sz w:val="24"/>
          <w:szCs w:val="24"/>
        </w:rPr>
      </w:pPr>
      <w:r w:rsidRPr="000C258A">
        <w:rPr>
          <w:rFonts w:cs="Times New Roman"/>
          <w:sz w:val="24"/>
          <w:szCs w:val="24"/>
        </w:rPr>
        <w:t xml:space="preserve">While Miller’s account sheds lights on the virtue of generosity, I wonder whether there needs to be an additional condition given the nature of generosity being an other-regarding virtue. </w:t>
      </w:r>
    </w:p>
    <w:p w14:paraId="564A9E41" w14:textId="77777777" w:rsidR="00EA5D45" w:rsidRDefault="00EA5D45" w:rsidP="00EA5D45">
      <w:pPr>
        <w:spacing w:line="480" w:lineRule="auto"/>
        <w:ind w:firstLine="720"/>
        <w:rPr>
          <w:rFonts w:cs="Times New Roman"/>
          <w:sz w:val="24"/>
          <w:szCs w:val="24"/>
        </w:rPr>
      </w:pPr>
      <w:r w:rsidRPr="000C258A">
        <w:rPr>
          <w:rFonts w:cs="Times New Roman"/>
          <w:sz w:val="24"/>
          <w:szCs w:val="24"/>
        </w:rPr>
        <w:t xml:space="preserve">Generosity does not require any intimate relationship, and therefore, is significantly different from relational virtues. However, given that generosity is about roughly, giving to others, it is </w:t>
      </w:r>
      <w:proofErr w:type="gramStart"/>
      <w:r w:rsidRPr="000C258A">
        <w:rPr>
          <w:rFonts w:cs="Times New Roman"/>
          <w:sz w:val="24"/>
          <w:szCs w:val="24"/>
        </w:rPr>
        <w:t>similar to</w:t>
      </w:r>
      <w:proofErr w:type="gramEnd"/>
      <w:r w:rsidRPr="000C258A">
        <w:rPr>
          <w:rFonts w:cs="Times New Roman"/>
          <w:sz w:val="24"/>
          <w:szCs w:val="24"/>
        </w:rPr>
        <w:t xml:space="preserve"> relational virtues in the sense that it too involves joint projects. It too, therefore, seems to need certain kind of participation from the broadly related others, namely, recipients. Given that the project of being generous does not need to be tailored to idiosyncratic needs of involved individuals, the kind of participation from recipients can take a highly different and general form, and the judgment from them may also have different weight. However, it seems bizarre to think that generosity only requires good dispositions of the agent without any regard for the recipients. Specifically, it seems bizarre to say that generosity need not consider whether the donation is needed by recipients. This is not saying that only well-received acts are generous acts, which, as Miller points out, is unreasonable. Rather, this is saying that the need of recipients should be given basic and practically plausible considerations to avoid making a generous donation into a disaster on the receiving end. After all, when donated clothes from the U.S. become landfill in Ghana, it is hard to say that such acts are generous, or so </w:t>
      </w:r>
      <w:r w:rsidRPr="000C258A">
        <w:rPr>
          <w:rFonts w:cs="Times New Roman"/>
          <w:sz w:val="24"/>
          <w:szCs w:val="24"/>
        </w:rPr>
        <w:lastRenderedPageBreak/>
        <w:t xml:space="preserve">it </w:t>
      </w:r>
      <w:proofErr w:type="gramStart"/>
      <w:r w:rsidRPr="000C258A">
        <w:rPr>
          <w:rFonts w:cs="Times New Roman"/>
          <w:sz w:val="24"/>
          <w:szCs w:val="24"/>
        </w:rPr>
        <w:t>seem</w:t>
      </w:r>
      <w:proofErr w:type="gramEnd"/>
      <w:r w:rsidRPr="000C258A">
        <w:rPr>
          <w:rFonts w:cs="Times New Roman"/>
          <w:sz w:val="24"/>
          <w:szCs w:val="24"/>
        </w:rPr>
        <w:t xml:space="preserve"> to me.</w:t>
      </w:r>
      <w:r w:rsidRPr="000C258A">
        <w:rPr>
          <w:rStyle w:val="FootnoteReference"/>
          <w:rFonts w:cs="Times New Roman"/>
          <w:sz w:val="24"/>
          <w:szCs w:val="24"/>
        </w:rPr>
        <w:footnoteReference w:id="123"/>
      </w:r>
      <w:r w:rsidRPr="000C258A">
        <w:rPr>
          <w:rFonts w:cs="Times New Roman"/>
          <w:sz w:val="24"/>
          <w:szCs w:val="24"/>
        </w:rPr>
        <w:t xml:space="preserve"> This modification of generosity certain does not guarantee that every thus-defined generous donation would be successful. But to offload this kind of consideration of others to the realm of out-of-control luck seems to offload too much. If this line of reasoning </w:t>
      </w:r>
      <w:proofErr w:type="gramStart"/>
      <w:r w:rsidRPr="000C258A">
        <w:rPr>
          <w:rFonts w:cs="Times New Roman"/>
          <w:sz w:val="24"/>
          <w:szCs w:val="24"/>
        </w:rPr>
        <w:t>seem</w:t>
      </w:r>
      <w:proofErr w:type="gramEnd"/>
      <w:r w:rsidRPr="000C258A">
        <w:rPr>
          <w:rFonts w:cs="Times New Roman"/>
          <w:sz w:val="24"/>
          <w:szCs w:val="24"/>
        </w:rPr>
        <w:t xml:space="preserve"> reasonable, that generosity can (and perhaps, even should) receive an added condition of other people’s participation, many other-regarding virtues can also be modified and add one more component, namely other people’s involvement. Our need for others to become virtuous, therefore, may exist beyond relational virtue, but is a basic condition for many virtues after all. </w:t>
      </w:r>
    </w:p>
    <w:p w14:paraId="07A60912" w14:textId="77777777" w:rsidR="00EA5D45" w:rsidRDefault="00EA5D45" w:rsidP="00EA5D45">
      <w:pPr>
        <w:rPr>
          <w:rFonts w:cs="Times New Roman"/>
          <w:sz w:val="24"/>
          <w:szCs w:val="24"/>
        </w:rPr>
      </w:pPr>
      <w:r>
        <w:rPr>
          <w:rFonts w:cs="Times New Roman"/>
          <w:sz w:val="24"/>
          <w:szCs w:val="24"/>
        </w:rPr>
        <w:br w:type="page"/>
      </w:r>
    </w:p>
    <w:p w14:paraId="07B6A8C5" w14:textId="77777777" w:rsidR="00EA5D45" w:rsidRPr="007A411C" w:rsidRDefault="00EA5D45" w:rsidP="00EA5D45">
      <w:pPr>
        <w:pStyle w:val="Heading2"/>
        <w:rPr>
          <w:rFonts w:cs="Times New Roman"/>
        </w:rPr>
      </w:pPr>
      <w:bookmarkStart w:id="48" w:name="_Toc102412742"/>
      <w:r w:rsidRPr="007A411C">
        <w:rPr>
          <w:rFonts w:cs="Times New Roman"/>
        </w:rPr>
        <w:lastRenderedPageBreak/>
        <w:t>Bibliography</w:t>
      </w:r>
      <w:bookmarkEnd w:id="48"/>
    </w:p>
    <w:p w14:paraId="05754E02" w14:textId="77777777" w:rsidR="00EA5D45" w:rsidRPr="007A411C" w:rsidRDefault="00EA5D45" w:rsidP="00EA5D45">
      <w:pPr>
        <w:pStyle w:val="Bibliography"/>
        <w:rPr>
          <w:rFonts w:cs="Times New Roman"/>
          <w:sz w:val="24"/>
        </w:rPr>
      </w:pPr>
      <w:r>
        <w:rPr>
          <w:rFonts w:asciiTheme="minorHAnsi" w:hAnsiTheme="minorHAnsi"/>
        </w:rPr>
        <w:fldChar w:fldCharType="begin"/>
      </w:r>
      <w:r>
        <w:instrText xml:space="preserve"> ADDIN ZOTERO_BIBL {"uncited":[],"omitted":[],"custom":[]} CSL_BIBLIOGRAPHY </w:instrText>
      </w:r>
      <w:r>
        <w:rPr>
          <w:rFonts w:asciiTheme="minorHAnsi" w:hAnsiTheme="minorHAnsi"/>
        </w:rPr>
        <w:fldChar w:fldCharType="separate"/>
      </w:r>
      <w:r w:rsidRPr="007A411C">
        <w:rPr>
          <w:rFonts w:cs="Times New Roman"/>
          <w:sz w:val="24"/>
        </w:rPr>
        <w:t xml:space="preserve">Carrasco, Maria A. “Morality, Impartiality and Due Partialities.” </w:t>
      </w:r>
      <w:r w:rsidRPr="007A411C">
        <w:rPr>
          <w:rFonts w:cs="Times New Roman"/>
          <w:i/>
          <w:iCs/>
          <w:sz w:val="24"/>
        </w:rPr>
        <w:t>Journal of Value Inquiry</w:t>
      </w:r>
      <w:r w:rsidRPr="007A411C">
        <w:rPr>
          <w:rFonts w:cs="Times New Roman"/>
          <w:sz w:val="24"/>
        </w:rPr>
        <w:t xml:space="preserve"> 49, no. 4 (2015): 667–89. http://dx.doi.org/10.1007/s10790-015-9523-8.</w:t>
      </w:r>
    </w:p>
    <w:p w14:paraId="003E5E4C" w14:textId="77777777" w:rsidR="00EA5D45" w:rsidRPr="007A411C" w:rsidRDefault="00EA5D45" w:rsidP="00EA5D45">
      <w:pPr>
        <w:pStyle w:val="Bibliography"/>
        <w:rPr>
          <w:rFonts w:cs="Times New Roman"/>
          <w:sz w:val="24"/>
        </w:rPr>
      </w:pPr>
      <w:r w:rsidRPr="007A411C">
        <w:rPr>
          <w:rFonts w:cs="Times New Roman"/>
          <w:sz w:val="24"/>
        </w:rPr>
        <w:t xml:space="preserve">Darwell, Stephen. “Responsibility within Relations.” In </w:t>
      </w:r>
      <w:r w:rsidRPr="007A411C">
        <w:rPr>
          <w:rFonts w:cs="Times New Roman"/>
          <w:i/>
          <w:iCs/>
          <w:sz w:val="24"/>
        </w:rPr>
        <w:t>Partiality and Impartiality</w:t>
      </w:r>
      <w:r w:rsidRPr="007A411C">
        <w:rPr>
          <w:rFonts w:cs="Times New Roman"/>
          <w:sz w:val="24"/>
        </w:rPr>
        <w:t>, edited by Brian Feltham and John Cottingham, 150–68. Oxford University Press, 2010. https://doi.org/10.1093/acprof:oso/9780199579952.001.0001.</w:t>
      </w:r>
    </w:p>
    <w:p w14:paraId="73B44C98" w14:textId="77777777" w:rsidR="00EA5D45" w:rsidRPr="007A411C" w:rsidRDefault="00EA5D45" w:rsidP="00EA5D45">
      <w:pPr>
        <w:pStyle w:val="Bibliography"/>
        <w:rPr>
          <w:rFonts w:cs="Times New Roman"/>
          <w:sz w:val="24"/>
        </w:rPr>
      </w:pPr>
      <w:r w:rsidRPr="007A411C">
        <w:rPr>
          <w:rFonts w:cs="Times New Roman"/>
          <w:sz w:val="24"/>
        </w:rPr>
        <w:t xml:space="preserve">Kellenberger, James. </w:t>
      </w:r>
      <w:r w:rsidRPr="007A411C">
        <w:rPr>
          <w:rFonts w:cs="Times New Roman"/>
          <w:i/>
          <w:iCs/>
          <w:sz w:val="24"/>
        </w:rPr>
        <w:t>Relationship Morality</w:t>
      </w:r>
      <w:r w:rsidRPr="007A411C">
        <w:rPr>
          <w:rFonts w:cs="Times New Roman"/>
          <w:sz w:val="24"/>
        </w:rPr>
        <w:t>. University Park, Pa: Pennsylvania State University Press, 1995.</w:t>
      </w:r>
    </w:p>
    <w:p w14:paraId="66EB4BE5" w14:textId="77777777" w:rsidR="00EA5D45" w:rsidRPr="007A411C" w:rsidRDefault="00EA5D45" w:rsidP="00EA5D45">
      <w:pPr>
        <w:pStyle w:val="Bibliography"/>
        <w:rPr>
          <w:rFonts w:cs="Times New Roman"/>
          <w:sz w:val="24"/>
        </w:rPr>
      </w:pPr>
      <w:r w:rsidRPr="007A411C">
        <w:rPr>
          <w:rFonts w:cs="Times New Roman"/>
          <w:sz w:val="24"/>
        </w:rPr>
        <w:t xml:space="preserve">Keller, Simon. </w:t>
      </w:r>
      <w:r w:rsidRPr="007A411C">
        <w:rPr>
          <w:rFonts w:cs="Times New Roman"/>
          <w:i/>
          <w:iCs/>
          <w:sz w:val="24"/>
        </w:rPr>
        <w:t>Partiality</w:t>
      </w:r>
      <w:r w:rsidRPr="007A411C">
        <w:rPr>
          <w:rFonts w:cs="Times New Roman"/>
          <w:sz w:val="24"/>
        </w:rPr>
        <w:t>. Princeton Monographs in Philosophy. Princeton: Princeton University Press, 2013.</w:t>
      </w:r>
    </w:p>
    <w:p w14:paraId="6BCB6EF9" w14:textId="77777777" w:rsidR="00EA5D45" w:rsidRPr="007A411C" w:rsidRDefault="00EA5D45" w:rsidP="00EA5D45">
      <w:pPr>
        <w:pStyle w:val="Bibliography"/>
        <w:rPr>
          <w:rFonts w:cs="Times New Roman"/>
          <w:sz w:val="24"/>
        </w:rPr>
      </w:pPr>
      <w:r w:rsidRPr="007A411C">
        <w:rPr>
          <w:rFonts w:cs="Times New Roman"/>
          <w:sz w:val="24"/>
        </w:rPr>
        <w:t xml:space="preserve">Kolodny, Niko. “Which Relationships Justify Partiality? General Considerations and Problem Cases.” In </w:t>
      </w:r>
      <w:r w:rsidRPr="007A411C">
        <w:rPr>
          <w:rFonts w:cs="Times New Roman"/>
          <w:i/>
          <w:iCs/>
          <w:sz w:val="24"/>
        </w:rPr>
        <w:t>Partiality and Impartiality</w:t>
      </w:r>
      <w:r w:rsidRPr="007A411C">
        <w:rPr>
          <w:rFonts w:cs="Times New Roman"/>
          <w:sz w:val="24"/>
        </w:rPr>
        <w:t>, edited by Brian Feltham and John Cottingham, 169–93. Oxford University Press, 2010. https://doi.org/10.1093/acprof:oso/9780199579952.001.0001.</w:t>
      </w:r>
    </w:p>
    <w:p w14:paraId="766D3E0A" w14:textId="77777777" w:rsidR="00EA5D45" w:rsidRPr="007A411C" w:rsidRDefault="00EA5D45" w:rsidP="00EA5D45">
      <w:pPr>
        <w:pStyle w:val="Bibliography"/>
        <w:rPr>
          <w:rFonts w:cs="Times New Roman"/>
          <w:sz w:val="24"/>
        </w:rPr>
      </w:pPr>
      <w:r w:rsidRPr="007A411C">
        <w:rPr>
          <w:rFonts w:cs="Times New Roman"/>
          <w:sz w:val="24"/>
        </w:rPr>
        <w:t xml:space="preserve">———. “Which Relationships Justify Partiality? The Case of Parents and Children.” </w:t>
      </w:r>
      <w:r w:rsidRPr="007A411C">
        <w:rPr>
          <w:rFonts w:cs="Times New Roman"/>
          <w:i/>
          <w:iCs/>
          <w:sz w:val="24"/>
        </w:rPr>
        <w:t>Philosophy &amp; Public Affairs</w:t>
      </w:r>
      <w:r w:rsidRPr="007A411C">
        <w:rPr>
          <w:rFonts w:cs="Times New Roman"/>
          <w:sz w:val="24"/>
        </w:rPr>
        <w:t xml:space="preserve"> 38, no. 1 (January 2010): 37–75. https://doi.org/10.1111/j.1088-4963.2009.01173.x.</w:t>
      </w:r>
    </w:p>
    <w:p w14:paraId="57F201F0" w14:textId="77777777" w:rsidR="00EA5D45" w:rsidRPr="007A411C" w:rsidRDefault="00EA5D45" w:rsidP="00EA5D45">
      <w:pPr>
        <w:pStyle w:val="Bibliography"/>
        <w:rPr>
          <w:rFonts w:cs="Times New Roman"/>
          <w:sz w:val="24"/>
        </w:rPr>
      </w:pPr>
      <w:r w:rsidRPr="007A411C">
        <w:rPr>
          <w:rFonts w:cs="Times New Roman"/>
          <w:sz w:val="24"/>
        </w:rPr>
        <w:t xml:space="preserve">Lord, Errol. “Justifying Partiality.” </w:t>
      </w:r>
      <w:r w:rsidRPr="007A411C">
        <w:rPr>
          <w:rFonts w:cs="Times New Roman"/>
          <w:i/>
          <w:iCs/>
          <w:sz w:val="24"/>
        </w:rPr>
        <w:t>Ethical Theory and Moral Practice</w:t>
      </w:r>
      <w:r w:rsidRPr="007A411C">
        <w:rPr>
          <w:rFonts w:cs="Times New Roman"/>
          <w:sz w:val="24"/>
        </w:rPr>
        <w:t xml:space="preserve"> 19, no. 3 (2016): 569–90.</w:t>
      </w:r>
    </w:p>
    <w:p w14:paraId="7A413B36" w14:textId="77777777" w:rsidR="00EA5D45" w:rsidRPr="007A411C" w:rsidRDefault="00EA5D45" w:rsidP="00EA5D45">
      <w:pPr>
        <w:pStyle w:val="Bibliography"/>
        <w:rPr>
          <w:rFonts w:cs="Times New Roman"/>
          <w:sz w:val="24"/>
        </w:rPr>
      </w:pPr>
      <w:r w:rsidRPr="007A411C">
        <w:rPr>
          <w:rFonts w:cs="Times New Roman"/>
          <w:sz w:val="24"/>
        </w:rPr>
        <w:t xml:space="preserve">Lycan, William G. </w:t>
      </w:r>
      <w:r w:rsidRPr="007A411C">
        <w:rPr>
          <w:rFonts w:cs="Times New Roman"/>
          <w:i/>
          <w:iCs/>
          <w:sz w:val="24"/>
        </w:rPr>
        <w:t>Philosophy of Language</w:t>
      </w:r>
      <w:r w:rsidRPr="007A411C">
        <w:rPr>
          <w:rFonts w:cs="Times New Roman"/>
          <w:sz w:val="24"/>
        </w:rPr>
        <w:t>. 3rd edition. Routledge Contemporary Introductions to Philosophy. New York: Routledge, 2018.</w:t>
      </w:r>
    </w:p>
    <w:p w14:paraId="33897D74" w14:textId="77777777" w:rsidR="00EA5D45" w:rsidRPr="007A411C" w:rsidRDefault="00EA5D45" w:rsidP="00EA5D45">
      <w:pPr>
        <w:pStyle w:val="Bibliography"/>
        <w:rPr>
          <w:rFonts w:cs="Times New Roman"/>
          <w:sz w:val="24"/>
        </w:rPr>
      </w:pPr>
      <w:r w:rsidRPr="007A411C">
        <w:rPr>
          <w:rFonts w:cs="Times New Roman"/>
          <w:sz w:val="24"/>
        </w:rPr>
        <w:t xml:space="preserve">Miller, Christian B. “Generosity: A Preliminary Account of a Surprisingly Neglected Virtue.” </w:t>
      </w:r>
      <w:r w:rsidRPr="007A411C">
        <w:rPr>
          <w:rFonts w:cs="Times New Roman"/>
          <w:i/>
          <w:iCs/>
          <w:sz w:val="24"/>
        </w:rPr>
        <w:t>Metaphilosophy</w:t>
      </w:r>
      <w:r w:rsidRPr="007A411C">
        <w:rPr>
          <w:rFonts w:cs="Times New Roman"/>
          <w:sz w:val="24"/>
        </w:rPr>
        <w:t xml:space="preserve"> 49, no. 3 (April 2018): 216–45. https://doi.org/10.1111/meta.12298.</w:t>
      </w:r>
    </w:p>
    <w:p w14:paraId="3C9EA847" w14:textId="77777777" w:rsidR="00EA5D45" w:rsidRPr="007A411C" w:rsidRDefault="00EA5D45" w:rsidP="00EA5D45">
      <w:pPr>
        <w:pStyle w:val="Bibliography"/>
        <w:rPr>
          <w:rFonts w:cs="Times New Roman"/>
          <w:sz w:val="24"/>
        </w:rPr>
      </w:pPr>
      <w:r w:rsidRPr="007A411C">
        <w:rPr>
          <w:rFonts w:cs="Times New Roman"/>
          <w:sz w:val="24"/>
        </w:rPr>
        <w:t xml:space="preserve">Um, Sungwoo. “Solving the Puzzle of Partiality.” </w:t>
      </w:r>
      <w:r w:rsidRPr="007A411C">
        <w:rPr>
          <w:rFonts w:cs="Times New Roman"/>
          <w:i/>
          <w:iCs/>
          <w:sz w:val="24"/>
        </w:rPr>
        <w:t>Journal of Social Philosophy</w:t>
      </w:r>
      <w:r w:rsidRPr="007A411C">
        <w:rPr>
          <w:rFonts w:cs="Times New Roman"/>
          <w:sz w:val="24"/>
        </w:rPr>
        <w:t xml:space="preserve"> 52, no. 3 (2021): 362–76. https://doi.org/10.1111/josp.12367.</w:t>
      </w:r>
    </w:p>
    <w:p w14:paraId="2DAA7D2B" w14:textId="77777777" w:rsidR="00EA5D45" w:rsidRPr="007A411C" w:rsidRDefault="00EA5D45" w:rsidP="00EA5D45">
      <w:pPr>
        <w:pStyle w:val="Bibliography"/>
        <w:rPr>
          <w:rFonts w:cs="Times New Roman"/>
          <w:sz w:val="24"/>
        </w:rPr>
      </w:pPr>
      <w:r w:rsidRPr="007A411C">
        <w:rPr>
          <w:rFonts w:cs="Times New Roman"/>
          <w:sz w:val="24"/>
        </w:rPr>
        <w:t xml:space="preserve">———. “What Is a Relational Virtue?” </w:t>
      </w:r>
      <w:r w:rsidRPr="007A411C">
        <w:rPr>
          <w:rFonts w:cs="Times New Roman"/>
          <w:i/>
          <w:iCs/>
          <w:sz w:val="24"/>
        </w:rPr>
        <w:t>Philosophical Studies</w:t>
      </w:r>
      <w:r w:rsidRPr="007A411C">
        <w:rPr>
          <w:rFonts w:cs="Times New Roman"/>
          <w:sz w:val="24"/>
        </w:rPr>
        <w:t xml:space="preserve"> 178, no. 1 (January 1, 2021): 95–111. https://doi.org/10.1007/s11098-020-01422-1.</w:t>
      </w:r>
    </w:p>
    <w:p w14:paraId="00909824" w14:textId="77777777" w:rsidR="00EA5D45" w:rsidRPr="007A411C" w:rsidRDefault="00EA5D45" w:rsidP="00EA5D45">
      <w:pPr>
        <w:pStyle w:val="Bibliography"/>
        <w:rPr>
          <w:rFonts w:cs="Times New Roman"/>
          <w:sz w:val="24"/>
        </w:rPr>
      </w:pPr>
      <w:r w:rsidRPr="007A411C">
        <w:rPr>
          <w:rFonts w:cs="Times New Roman"/>
          <w:sz w:val="24"/>
        </w:rPr>
        <w:t xml:space="preserve">Williams, Bernard. “Persons, Character and Morality.” In </w:t>
      </w:r>
      <w:r w:rsidRPr="007A411C">
        <w:rPr>
          <w:rFonts w:cs="Times New Roman"/>
          <w:i/>
          <w:iCs/>
          <w:sz w:val="24"/>
        </w:rPr>
        <w:t>Moral Luck: Philosophical Papers 1973–1980</w:t>
      </w:r>
      <w:r w:rsidRPr="007A411C">
        <w:rPr>
          <w:rFonts w:cs="Times New Roman"/>
          <w:sz w:val="24"/>
        </w:rPr>
        <w:t>, 1st ed., 1–19. Cambridge University Press, 1981. https://doi.org/10.1017/CBO9781139165860.</w:t>
      </w:r>
    </w:p>
    <w:p w14:paraId="4629556D" w14:textId="77777777" w:rsidR="00EA5D45" w:rsidRPr="007A411C" w:rsidRDefault="00EA5D45" w:rsidP="00EA5D45">
      <w:pPr>
        <w:pStyle w:val="Bibliography"/>
        <w:rPr>
          <w:rFonts w:cs="Times New Roman"/>
          <w:sz w:val="24"/>
        </w:rPr>
      </w:pPr>
      <w:r w:rsidRPr="007A411C">
        <w:rPr>
          <w:rFonts w:cs="Times New Roman"/>
          <w:sz w:val="24"/>
        </w:rPr>
        <w:t xml:space="preserve">Wolf, Susan. “‘One Thought Too Many’: Love, Morality, and the Ordering of Commitment.” In </w:t>
      </w:r>
      <w:r w:rsidRPr="007A411C">
        <w:rPr>
          <w:rFonts w:cs="Times New Roman"/>
          <w:i/>
          <w:iCs/>
          <w:sz w:val="24"/>
        </w:rPr>
        <w:t>Luck, Value, and Commitment</w:t>
      </w:r>
      <w:r w:rsidRPr="007A411C">
        <w:rPr>
          <w:rFonts w:cs="Times New Roman"/>
          <w:sz w:val="24"/>
        </w:rPr>
        <w:t>, edited by Ulrike Heuer and Gerald Lang, 71–92. Oxford University Press, 2012. https://doi.org/10.1093/acprof:oso/9780199599325.003.0004.</w:t>
      </w:r>
    </w:p>
    <w:p w14:paraId="3ABF00DA" w14:textId="0DC1C30F" w:rsidR="00EA5D45" w:rsidRDefault="00EA5D45" w:rsidP="00EA5D45">
      <w:pPr>
        <w:pStyle w:val="Bibliography"/>
        <w:rPr>
          <w:rFonts w:cs="Times New Roman"/>
          <w:sz w:val="24"/>
        </w:rPr>
      </w:pPr>
      <w:r w:rsidRPr="007A411C">
        <w:rPr>
          <w:rFonts w:cs="Times New Roman"/>
          <w:sz w:val="24"/>
        </w:rPr>
        <w:t xml:space="preserve">Zagzebski, Linda Trinkaus. </w:t>
      </w:r>
      <w:r w:rsidRPr="007A411C">
        <w:rPr>
          <w:rFonts w:cs="Times New Roman"/>
          <w:i/>
          <w:iCs/>
          <w:sz w:val="24"/>
        </w:rPr>
        <w:t>Virtues of the Mind: An Inquiry into the Nature of Virtue and the Ethical Foundations of Knowledge</w:t>
      </w:r>
      <w:r w:rsidRPr="007A411C">
        <w:rPr>
          <w:rFonts w:cs="Times New Roman"/>
          <w:sz w:val="24"/>
        </w:rPr>
        <w:t>. New York, NY, USA: Cambridge University Press, 1996.</w:t>
      </w:r>
    </w:p>
    <w:p w14:paraId="12A984D6" w14:textId="77777777" w:rsidR="0092467A" w:rsidRDefault="00EA5D45">
      <w:pPr>
        <w:rPr>
          <w:rFonts w:cs="Times New Roman"/>
          <w:sz w:val="24"/>
        </w:rPr>
        <w:sectPr w:rsidR="0092467A" w:rsidSect="00041FC6">
          <w:footnotePr>
            <w:numRestart w:val="eachSect"/>
          </w:footnotePr>
          <w:pgSz w:w="12240" w:h="15840"/>
          <w:pgMar w:top="1440" w:right="1440" w:bottom="1440" w:left="1440" w:header="720" w:footer="720" w:gutter="0"/>
          <w:cols w:space="720"/>
          <w:titlePg/>
          <w:docGrid w:linePitch="360"/>
        </w:sectPr>
      </w:pPr>
      <w:r>
        <w:rPr>
          <w:rFonts w:cs="Times New Roman"/>
          <w:sz w:val="24"/>
        </w:rPr>
        <w:br w:type="page"/>
      </w:r>
    </w:p>
    <w:p w14:paraId="6F1BDFAA" w14:textId="77777777" w:rsidR="00EA5D45" w:rsidRDefault="00EA5D45" w:rsidP="00EA5D45">
      <w:pPr>
        <w:pStyle w:val="Heading1"/>
        <w:rPr>
          <w:rFonts w:ascii="Times New Roman" w:hAnsi="Times New Roman"/>
        </w:rPr>
      </w:pPr>
      <w:r>
        <w:rPr>
          <w:rFonts w:ascii="Times New Roman" w:hAnsi="Times New Roman"/>
        </w:rPr>
        <w:lastRenderedPageBreak/>
        <w:fldChar w:fldCharType="end"/>
      </w:r>
      <w:bookmarkStart w:id="49" w:name="_Toc102412743"/>
      <w:r>
        <w:rPr>
          <w:rFonts w:ascii="Times New Roman" w:hAnsi="Times New Roman"/>
        </w:rPr>
        <w:t>Conclusion</w:t>
      </w:r>
      <w:bookmarkEnd w:id="49"/>
    </w:p>
    <w:p w14:paraId="1B606715" w14:textId="77777777" w:rsidR="00EA5D45" w:rsidRPr="00B84FB0" w:rsidRDefault="00EA5D45" w:rsidP="00EA5D45">
      <w:pPr>
        <w:spacing w:line="480" w:lineRule="auto"/>
        <w:ind w:firstLine="720"/>
        <w:rPr>
          <w:rFonts w:cs="Times New Roman"/>
          <w:sz w:val="24"/>
          <w:szCs w:val="24"/>
        </w:rPr>
      </w:pPr>
      <w:r w:rsidRPr="00B84FB0">
        <w:rPr>
          <w:rFonts w:cs="Times New Roman"/>
          <w:sz w:val="24"/>
          <w:szCs w:val="24"/>
        </w:rPr>
        <w:t xml:space="preserve">In this dissertation, I </w:t>
      </w:r>
      <w:r>
        <w:rPr>
          <w:rFonts w:cs="Times New Roman"/>
          <w:sz w:val="24"/>
          <w:szCs w:val="24"/>
        </w:rPr>
        <w:t>present</w:t>
      </w:r>
      <w:r w:rsidRPr="00B84FB0">
        <w:rPr>
          <w:rFonts w:cs="Times New Roman"/>
          <w:sz w:val="24"/>
          <w:szCs w:val="24"/>
        </w:rPr>
        <w:t xml:space="preserve"> three </w:t>
      </w:r>
      <w:r>
        <w:rPr>
          <w:rFonts w:cs="Times New Roman"/>
          <w:sz w:val="24"/>
          <w:szCs w:val="24"/>
        </w:rPr>
        <w:t>distinct</w:t>
      </w:r>
      <w:r w:rsidRPr="00B84FB0">
        <w:rPr>
          <w:rFonts w:cs="Times New Roman"/>
          <w:sz w:val="24"/>
          <w:szCs w:val="24"/>
        </w:rPr>
        <w:t xml:space="preserve"> papers connected through the theme of control. The first two papers </w:t>
      </w:r>
      <w:r>
        <w:rPr>
          <w:rFonts w:cs="Times New Roman"/>
          <w:sz w:val="24"/>
          <w:szCs w:val="24"/>
        </w:rPr>
        <w:t xml:space="preserve">focus on debates in </w:t>
      </w:r>
      <w:r w:rsidRPr="00B84FB0">
        <w:rPr>
          <w:rFonts w:cs="Times New Roman"/>
          <w:sz w:val="24"/>
          <w:szCs w:val="24"/>
        </w:rPr>
        <w:t xml:space="preserve">early Chinese philosophy. The first paper argues for the significance of worry in the Confucian moral cultivation program. The second paper argues for an account of humility based on the </w:t>
      </w:r>
      <w:r w:rsidRPr="00B84FB0">
        <w:rPr>
          <w:rFonts w:cs="Times New Roman"/>
          <w:i/>
          <w:iCs/>
          <w:sz w:val="24"/>
          <w:szCs w:val="24"/>
        </w:rPr>
        <w:t>Analects</w:t>
      </w:r>
      <w:r w:rsidRPr="00B84FB0">
        <w:rPr>
          <w:rFonts w:cs="Times New Roman"/>
          <w:sz w:val="24"/>
          <w:szCs w:val="24"/>
        </w:rPr>
        <w:t>. The third paper is a project engaging with contemporary debates about virtue. It argues for an account of relational virtue that considers the acknowledgement of intimate others necessary and significant. All three papers are connected through a focus on the area of life where we neither have full control nor have no control over the outcomes of our actions, our emotions, or our identit</w:t>
      </w:r>
      <w:r>
        <w:rPr>
          <w:rFonts w:cs="Times New Roman"/>
          <w:sz w:val="24"/>
          <w:szCs w:val="24"/>
        </w:rPr>
        <w:t>ies</w:t>
      </w:r>
      <w:r w:rsidRPr="00B84FB0">
        <w:rPr>
          <w:rFonts w:cs="Times New Roman"/>
          <w:sz w:val="24"/>
          <w:szCs w:val="24"/>
        </w:rPr>
        <w:t xml:space="preserve">. Rather, we exert a certain amount of control but also depend </w:t>
      </w:r>
      <w:r>
        <w:rPr>
          <w:rFonts w:cs="Times New Roman"/>
          <w:sz w:val="24"/>
          <w:szCs w:val="24"/>
        </w:rPr>
        <w:t>up</w:t>
      </w:r>
      <w:r w:rsidRPr="00B84FB0">
        <w:rPr>
          <w:rFonts w:cs="Times New Roman"/>
          <w:sz w:val="24"/>
          <w:szCs w:val="24"/>
        </w:rPr>
        <w:t xml:space="preserve">on others for what we do, how we feel, and who we are. </w:t>
      </w:r>
    </w:p>
    <w:p w14:paraId="5C5F60E0" w14:textId="77777777" w:rsidR="00EA5D45" w:rsidRPr="00B84FB0" w:rsidRDefault="00EA5D45" w:rsidP="00EA5D45">
      <w:pPr>
        <w:spacing w:line="480" w:lineRule="auto"/>
        <w:rPr>
          <w:rFonts w:cs="Times New Roman"/>
          <w:sz w:val="24"/>
          <w:szCs w:val="24"/>
        </w:rPr>
      </w:pPr>
      <w:r w:rsidRPr="00B84FB0">
        <w:rPr>
          <w:rFonts w:cs="Times New Roman"/>
          <w:sz w:val="24"/>
          <w:szCs w:val="24"/>
        </w:rPr>
        <w:tab/>
        <w:t xml:space="preserve">  </w:t>
      </w:r>
      <w:r>
        <w:rPr>
          <w:rFonts w:cs="Times New Roman"/>
          <w:sz w:val="24"/>
          <w:szCs w:val="24"/>
        </w:rPr>
        <w:t>The dissertation expansively leads to multiple additional</w:t>
      </w:r>
      <w:r w:rsidRPr="00B84FB0">
        <w:rPr>
          <w:rFonts w:cs="Times New Roman"/>
          <w:sz w:val="24"/>
          <w:szCs w:val="24"/>
        </w:rPr>
        <w:t xml:space="preserve"> projects waiting to be </w:t>
      </w:r>
      <w:r>
        <w:rPr>
          <w:rFonts w:cs="Times New Roman"/>
          <w:sz w:val="24"/>
          <w:szCs w:val="24"/>
        </w:rPr>
        <w:t xml:space="preserve">further </w:t>
      </w:r>
      <w:r w:rsidRPr="00B84FB0">
        <w:rPr>
          <w:rFonts w:cs="Times New Roman"/>
          <w:sz w:val="24"/>
          <w:szCs w:val="24"/>
        </w:rPr>
        <w:t xml:space="preserve">explored. On the more historical side, I have argued in the introduction of this dissertation why a continuum of control is a better analytic tool than a dichotomy of control for interpreting the </w:t>
      </w:r>
      <w:r w:rsidRPr="00B84FB0">
        <w:rPr>
          <w:rFonts w:cs="Times New Roman"/>
          <w:i/>
          <w:iCs/>
          <w:sz w:val="24"/>
          <w:szCs w:val="24"/>
        </w:rPr>
        <w:t>Analects</w:t>
      </w:r>
      <w:r w:rsidRPr="00B84FB0">
        <w:rPr>
          <w:rFonts w:cs="Times New Roman"/>
          <w:sz w:val="24"/>
          <w:szCs w:val="24"/>
        </w:rPr>
        <w:t xml:space="preserve">. However, I have not developed a more elaborate account that demonstrates how this new interpretive </w:t>
      </w:r>
      <w:r>
        <w:rPr>
          <w:rFonts w:cs="Times New Roman"/>
          <w:sz w:val="24"/>
          <w:szCs w:val="24"/>
        </w:rPr>
        <w:t>approach</w:t>
      </w:r>
      <w:r w:rsidRPr="00B84FB0">
        <w:rPr>
          <w:rFonts w:cs="Times New Roman"/>
          <w:sz w:val="24"/>
          <w:szCs w:val="24"/>
        </w:rPr>
        <w:t xml:space="preserve"> can re-interpret traditional issues regarding wealth, fame, and status. Replacing the </w:t>
      </w:r>
      <w:r>
        <w:rPr>
          <w:rFonts w:cs="Times New Roman"/>
          <w:sz w:val="24"/>
          <w:szCs w:val="24"/>
        </w:rPr>
        <w:t xml:space="preserve">standard </w:t>
      </w:r>
      <w:r w:rsidRPr="00B84FB0">
        <w:rPr>
          <w:rFonts w:cs="Times New Roman"/>
          <w:sz w:val="24"/>
          <w:szCs w:val="24"/>
        </w:rPr>
        <w:t>dichotomy with a continuum implies that these items</w:t>
      </w:r>
      <w:r>
        <w:rPr>
          <w:rFonts w:cs="Times New Roman"/>
          <w:sz w:val="24"/>
          <w:szCs w:val="24"/>
        </w:rPr>
        <w:t xml:space="preserve">, which are </w:t>
      </w:r>
      <w:r w:rsidRPr="00B84FB0">
        <w:rPr>
          <w:rFonts w:cs="Times New Roman"/>
          <w:sz w:val="24"/>
          <w:szCs w:val="24"/>
        </w:rPr>
        <w:t>traditionally considered to be out of agent’s control</w:t>
      </w:r>
      <w:r>
        <w:rPr>
          <w:rFonts w:cs="Times New Roman"/>
          <w:sz w:val="24"/>
          <w:szCs w:val="24"/>
        </w:rPr>
        <w:t>,</w:t>
      </w:r>
      <w:r w:rsidRPr="00B84FB0">
        <w:rPr>
          <w:rFonts w:cs="Times New Roman"/>
          <w:sz w:val="24"/>
          <w:szCs w:val="24"/>
        </w:rPr>
        <w:t xml:space="preserve"> need to be re-categorized</w:t>
      </w:r>
      <w:r>
        <w:rPr>
          <w:rFonts w:cs="Times New Roman"/>
          <w:sz w:val="24"/>
          <w:szCs w:val="24"/>
        </w:rPr>
        <w:t xml:space="preserve">. It seems to me that </w:t>
      </w:r>
      <w:r w:rsidRPr="00B84FB0">
        <w:rPr>
          <w:rFonts w:cs="Times New Roman"/>
          <w:sz w:val="24"/>
          <w:szCs w:val="24"/>
        </w:rPr>
        <w:t>commonsense dictates that these items belong in the</w:t>
      </w:r>
      <w:r>
        <w:rPr>
          <w:rFonts w:cs="Times New Roman"/>
          <w:sz w:val="24"/>
          <w:szCs w:val="24"/>
        </w:rPr>
        <w:t xml:space="preserve"> ambiguous</w:t>
      </w:r>
      <w:r w:rsidRPr="00B84FB0">
        <w:rPr>
          <w:rFonts w:cs="Times New Roman"/>
          <w:sz w:val="24"/>
          <w:szCs w:val="24"/>
        </w:rPr>
        <w:t xml:space="preserve"> middle section of a continuum, which is to say that they </w:t>
      </w:r>
      <w:r>
        <w:rPr>
          <w:rFonts w:cs="Times New Roman"/>
          <w:sz w:val="24"/>
          <w:szCs w:val="24"/>
        </w:rPr>
        <w:t>are</w:t>
      </w:r>
      <w:r w:rsidRPr="00B84FB0">
        <w:rPr>
          <w:rFonts w:cs="Times New Roman"/>
          <w:sz w:val="24"/>
          <w:szCs w:val="24"/>
        </w:rPr>
        <w:t xml:space="preserve"> subject to our control, but </w:t>
      </w:r>
      <w:r>
        <w:rPr>
          <w:rFonts w:cs="Times New Roman"/>
          <w:sz w:val="24"/>
          <w:szCs w:val="24"/>
        </w:rPr>
        <w:t xml:space="preserve">always </w:t>
      </w:r>
      <w:r w:rsidRPr="00B84FB0">
        <w:rPr>
          <w:rFonts w:cs="Times New Roman"/>
          <w:sz w:val="24"/>
          <w:szCs w:val="24"/>
        </w:rPr>
        <w:t xml:space="preserve">only partially. How to understand these items anew and develop a new normative stance </w:t>
      </w:r>
      <w:r>
        <w:rPr>
          <w:rFonts w:cs="Times New Roman"/>
          <w:sz w:val="24"/>
          <w:szCs w:val="24"/>
        </w:rPr>
        <w:t>regarding them</w:t>
      </w:r>
      <w:r w:rsidRPr="00B84FB0">
        <w:rPr>
          <w:rFonts w:cs="Times New Roman"/>
          <w:sz w:val="24"/>
          <w:szCs w:val="24"/>
        </w:rPr>
        <w:t xml:space="preserve"> present</w:t>
      </w:r>
      <w:r>
        <w:rPr>
          <w:rFonts w:cs="Times New Roman"/>
          <w:sz w:val="24"/>
          <w:szCs w:val="24"/>
        </w:rPr>
        <w:t>s</w:t>
      </w:r>
      <w:r w:rsidRPr="00B84FB0">
        <w:rPr>
          <w:rFonts w:cs="Times New Roman"/>
          <w:sz w:val="24"/>
          <w:szCs w:val="24"/>
        </w:rPr>
        <w:t xml:space="preserve"> </w:t>
      </w:r>
      <w:r>
        <w:rPr>
          <w:rFonts w:cs="Times New Roman"/>
          <w:sz w:val="24"/>
          <w:szCs w:val="24"/>
        </w:rPr>
        <w:t>one set of</w:t>
      </w:r>
      <w:r w:rsidRPr="00B84FB0">
        <w:rPr>
          <w:rFonts w:cs="Times New Roman"/>
          <w:sz w:val="24"/>
          <w:szCs w:val="24"/>
        </w:rPr>
        <w:t xml:space="preserve"> future project</w:t>
      </w:r>
      <w:r>
        <w:rPr>
          <w:rFonts w:cs="Times New Roman"/>
          <w:sz w:val="24"/>
          <w:szCs w:val="24"/>
        </w:rPr>
        <w:t>s</w:t>
      </w:r>
      <w:r w:rsidRPr="00B84FB0">
        <w:rPr>
          <w:rFonts w:cs="Times New Roman"/>
          <w:sz w:val="24"/>
          <w:szCs w:val="24"/>
        </w:rPr>
        <w:t>.</w:t>
      </w:r>
    </w:p>
    <w:p w14:paraId="52145FD2" w14:textId="77777777" w:rsidR="00EA5D45" w:rsidRPr="00B84FB0" w:rsidRDefault="00EA5D45" w:rsidP="00EA5D45">
      <w:pPr>
        <w:spacing w:line="480" w:lineRule="auto"/>
        <w:ind w:firstLine="420"/>
        <w:rPr>
          <w:rFonts w:cs="Times New Roman"/>
          <w:sz w:val="24"/>
          <w:szCs w:val="24"/>
        </w:rPr>
      </w:pPr>
      <w:r w:rsidRPr="00B84FB0">
        <w:rPr>
          <w:rFonts w:cs="Times New Roman"/>
          <w:sz w:val="24"/>
          <w:szCs w:val="24"/>
        </w:rPr>
        <w:tab/>
        <w:t>There are</w:t>
      </w:r>
      <w:r>
        <w:rPr>
          <w:rFonts w:cs="Times New Roman"/>
          <w:sz w:val="24"/>
          <w:szCs w:val="24"/>
        </w:rPr>
        <w:t xml:space="preserve"> other</w:t>
      </w:r>
      <w:r w:rsidRPr="00B84FB0">
        <w:rPr>
          <w:rFonts w:cs="Times New Roman"/>
          <w:sz w:val="24"/>
          <w:szCs w:val="24"/>
        </w:rPr>
        <w:t xml:space="preserve"> sets of potential projects related to the first paper</w:t>
      </w:r>
      <w:r>
        <w:rPr>
          <w:rFonts w:cs="Times New Roman"/>
          <w:sz w:val="24"/>
          <w:szCs w:val="24"/>
        </w:rPr>
        <w:t>,</w:t>
      </w:r>
      <w:r w:rsidRPr="00B84FB0">
        <w:rPr>
          <w:rFonts w:cs="Times New Roman"/>
          <w:sz w:val="24"/>
          <w:szCs w:val="24"/>
        </w:rPr>
        <w:t xml:space="preserve"> where I argue that learning to worry well is a part of the Confucian cultivation program. If I am right that learning </w:t>
      </w:r>
      <w:r w:rsidRPr="00B84FB0">
        <w:rPr>
          <w:rFonts w:cs="Times New Roman"/>
          <w:sz w:val="24"/>
          <w:szCs w:val="24"/>
        </w:rPr>
        <w:lastRenderedPageBreak/>
        <w:t xml:space="preserve">to worry well is part of the training regime, it is unlikely for sages who have learned to worry broadly and deeply about the right kind of things to be worry-free. There are at least two related but distinct projects here. First, if sages have deep worries in their psychological composition, this </w:t>
      </w:r>
      <w:r>
        <w:rPr>
          <w:rFonts w:cs="Times New Roman"/>
          <w:sz w:val="24"/>
          <w:szCs w:val="24"/>
        </w:rPr>
        <w:t>suggests</w:t>
      </w:r>
      <w:r w:rsidRPr="00B84FB0">
        <w:rPr>
          <w:rFonts w:cs="Times New Roman"/>
          <w:sz w:val="24"/>
          <w:szCs w:val="24"/>
        </w:rPr>
        <w:t xml:space="preserve"> one </w:t>
      </w:r>
      <w:r>
        <w:rPr>
          <w:rFonts w:cs="Times New Roman"/>
          <w:sz w:val="24"/>
          <w:szCs w:val="24"/>
        </w:rPr>
        <w:t xml:space="preserve">important </w:t>
      </w:r>
      <w:r w:rsidRPr="00B84FB0">
        <w:rPr>
          <w:rFonts w:cs="Times New Roman"/>
          <w:sz w:val="24"/>
          <w:szCs w:val="24"/>
        </w:rPr>
        <w:t>argument regarding the value of worry</w:t>
      </w:r>
      <w:r>
        <w:rPr>
          <w:rFonts w:cs="Times New Roman"/>
          <w:sz w:val="24"/>
          <w:szCs w:val="24"/>
        </w:rPr>
        <w:t>:</w:t>
      </w:r>
      <w:r w:rsidRPr="00B84FB0">
        <w:rPr>
          <w:rFonts w:cs="Times New Roman"/>
          <w:sz w:val="24"/>
          <w:szCs w:val="24"/>
        </w:rPr>
        <w:t xml:space="preserve"> that the emotion of worry is not simply a negative emotion to be discarded once an agent reaches a </w:t>
      </w:r>
      <w:r>
        <w:rPr>
          <w:rFonts w:cs="Times New Roman"/>
          <w:sz w:val="24"/>
          <w:szCs w:val="24"/>
        </w:rPr>
        <w:t>high</w:t>
      </w:r>
      <w:r w:rsidRPr="00B84FB0">
        <w:rPr>
          <w:rFonts w:cs="Times New Roman"/>
          <w:sz w:val="24"/>
          <w:szCs w:val="24"/>
        </w:rPr>
        <w:t xml:space="preserve"> level of </w:t>
      </w:r>
      <w:proofErr w:type="gramStart"/>
      <w:r w:rsidRPr="00B84FB0">
        <w:rPr>
          <w:rFonts w:cs="Times New Roman"/>
          <w:sz w:val="24"/>
          <w:szCs w:val="24"/>
        </w:rPr>
        <w:t>cultivation</w:t>
      </w:r>
      <w:r>
        <w:rPr>
          <w:rFonts w:cs="Times New Roman"/>
          <w:sz w:val="24"/>
          <w:szCs w:val="24"/>
        </w:rPr>
        <w:t>, but</w:t>
      </w:r>
      <w:proofErr w:type="gramEnd"/>
      <w:r>
        <w:rPr>
          <w:rFonts w:cs="Times New Roman"/>
          <w:sz w:val="24"/>
          <w:szCs w:val="24"/>
        </w:rPr>
        <w:t xml:space="preserve"> is</w:t>
      </w:r>
      <w:r w:rsidRPr="00B84FB0">
        <w:rPr>
          <w:rFonts w:cs="Times New Roman"/>
          <w:sz w:val="24"/>
          <w:szCs w:val="24"/>
        </w:rPr>
        <w:t xml:space="preserve"> deeply significant and indispensable even for sages. Second, a worried, concerned sage presents a model of sage-hood that is uncommon, to say the least. Understanding how a sage can be worried yet </w:t>
      </w:r>
      <w:r>
        <w:rPr>
          <w:rFonts w:cs="Times New Roman"/>
          <w:sz w:val="24"/>
          <w:szCs w:val="24"/>
        </w:rPr>
        <w:t xml:space="preserve">also </w:t>
      </w:r>
      <w:r w:rsidRPr="00B84FB0">
        <w:rPr>
          <w:rFonts w:cs="Times New Roman"/>
          <w:sz w:val="24"/>
          <w:szCs w:val="24"/>
        </w:rPr>
        <w:t xml:space="preserve">possess the typical </w:t>
      </w:r>
      <w:r>
        <w:rPr>
          <w:rFonts w:cs="Times New Roman"/>
          <w:sz w:val="24"/>
          <w:szCs w:val="24"/>
        </w:rPr>
        <w:t xml:space="preserve">sagely </w:t>
      </w:r>
      <w:r w:rsidRPr="00B84FB0">
        <w:rPr>
          <w:rFonts w:cs="Times New Roman"/>
          <w:sz w:val="24"/>
          <w:szCs w:val="24"/>
        </w:rPr>
        <w:t>qualities</w:t>
      </w:r>
      <w:r>
        <w:rPr>
          <w:rFonts w:cs="Times New Roman"/>
          <w:sz w:val="24"/>
          <w:szCs w:val="24"/>
        </w:rPr>
        <w:t>,</w:t>
      </w:r>
      <w:r w:rsidRPr="00B84FB0">
        <w:rPr>
          <w:rFonts w:cs="Times New Roman"/>
          <w:sz w:val="24"/>
          <w:szCs w:val="24"/>
        </w:rPr>
        <w:t xml:space="preserve"> such as equanimity and joy</w:t>
      </w:r>
      <w:r>
        <w:rPr>
          <w:rFonts w:cs="Times New Roman"/>
          <w:sz w:val="24"/>
          <w:szCs w:val="24"/>
        </w:rPr>
        <w:t>,</w:t>
      </w:r>
      <w:r w:rsidRPr="00B84FB0">
        <w:rPr>
          <w:rFonts w:cs="Times New Roman"/>
          <w:sz w:val="24"/>
          <w:szCs w:val="24"/>
        </w:rPr>
        <w:t xml:space="preserve"> </w:t>
      </w:r>
      <w:r>
        <w:rPr>
          <w:rFonts w:cs="Times New Roman"/>
          <w:sz w:val="24"/>
          <w:szCs w:val="24"/>
        </w:rPr>
        <w:t>invites</w:t>
      </w:r>
      <w:r w:rsidRPr="00B84FB0">
        <w:rPr>
          <w:rFonts w:cs="Times New Roman"/>
          <w:sz w:val="24"/>
          <w:szCs w:val="24"/>
        </w:rPr>
        <w:t xml:space="preserve"> questions worthy of multiple projects, one of which is to present a psychologically plausible account of how a person can be both concerned and composed.</w:t>
      </w:r>
      <w:r w:rsidRPr="00B84FB0">
        <w:rPr>
          <w:rStyle w:val="FootnoteReference"/>
          <w:rFonts w:cs="Times New Roman"/>
          <w:sz w:val="24"/>
          <w:szCs w:val="24"/>
        </w:rPr>
        <w:footnoteReference w:id="124"/>
      </w:r>
      <w:r w:rsidRPr="00B84FB0">
        <w:rPr>
          <w:rFonts w:cs="Times New Roman"/>
          <w:sz w:val="24"/>
          <w:szCs w:val="24"/>
        </w:rPr>
        <w:t xml:space="preserve"> </w:t>
      </w:r>
    </w:p>
    <w:p w14:paraId="72ACCB16" w14:textId="3B3E2726" w:rsidR="00ED049D" w:rsidRDefault="00EA5D45" w:rsidP="00EA5D45">
      <w:pPr>
        <w:spacing w:line="480" w:lineRule="auto"/>
        <w:ind w:firstLine="720"/>
        <w:rPr>
          <w:rFonts w:cs="Times New Roman"/>
          <w:sz w:val="24"/>
          <w:szCs w:val="24"/>
        </w:rPr>
      </w:pPr>
      <w:r w:rsidRPr="00B84FB0">
        <w:rPr>
          <w:rFonts w:cs="Times New Roman"/>
          <w:sz w:val="24"/>
          <w:szCs w:val="24"/>
        </w:rPr>
        <w:t xml:space="preserve">Another future project addresses issues elaborating the Confucian conception of moral luck </w:t>
      </w:r>
      <w:r>
        <w:rPr>
          <w:rFonts w:cs="Times New Roman"/>
          <w:sz w:val="24"/>
          <w:szCs w:val="24"/>
        </w:rPr>
        <w:t xml:space="preserve">briefly indicated </w:t>
      </w:r>
      <w:r w:rsidRPr="00B84FB0">
        <w:rPr>
          <w:rFonts w:cs="Times New Roman"/>
          <w:sz w:val="24"/>
          <w:szCs w:val="24"/>
        </w:rPr>
        <w:t>in one of my dissertation papers. Much contemporary scholarly discussion o</w:t>
      </w:r>
      <w:r>
        <w:rPr>
          <w:rFonts w:cs="Times New Roman"/>
          <w:sz w:val="24"/>
          <w:szCs w:val="24"/>
        </w:rPr>
        <w:t>f</w:t>
      </w:r>
      <w:r w:rsidRPr="00B84FB0">
        <w:rPr>
          <w:rFonts w:cs="Times New Roman"/>
          <w:sz w:val="24"/>
          <w:szCs w:val="24"/>
        </w:rPr>
        <w:t xml:space="preserve"> moral luck assumes a dichotomy between </w:t>
      </w:r>
      <w:r w:rsidRPr="00B84FB0">
        <w:rPr>
          <w:rFonts w:eastAsia="Times New Roman" w:cs="Times New Roman"/>
          <w:color w:val="000000"/>
          <w:sz w:val="24"/>
          <w:szCs w:val="24"/>
        </w:rPr>
        <w:t xml:space="preserve">what is in one’s control and what is out of one’s </w:t>
      </w:r>
      <w:proofErr w:type="gramStart"/>
      <w:r w:rsidRPr="00B84FB0">
        <w:rPr>
          <w:rFonts w:eastAsia="Times New Roman" w:cs="Times New Roman"/>
          <w:color w:val="000000"/>
          <w:sz w:val="24"/>
          <w:szCs w:val="24"/>
        </w:rPr>
        <w:t>control, and</w:t>
      </w:r>
      <w:proofErr w:type="gramEnd"/>
      <w:r w:rsidRPr="00B84FB0">
        <w:rPr>
          <w:rFonts w:eastAsia="Times New Roman" w:cs="Times New Roman"/>
          <w:color w:val="000000"/>
          <w:sz w:val="24"/>
          <w:szCs w:val="24"/>
        </w:rPr>
        <w:t xml:space="preserve"> seeks to trace implications for considering moral responsibility. If I am right that the Confucians </w:t>
      </w:r>
      <w:r w:rsidRPr="00B84FB0">
        <w:rPr>
          <w:rFonts w:cs="Times New Roman"/>
          <w:sz w:val="24"/>
          <w:szCs w:val="24"/>
        </w:rPr>
        <w:t xml:space="preserve">indeed conceive “control” in terms of degrees rather than in terms of dichotomy, their concerns about moral luck diverge from the mainstream of </w:t>
      </w:r>
      <w:r>
        <w:rPr>
          <w:rFonts w:cs="Times New Roman"/>
          <w:sz w:val="24"/>
          <w:szCs w:val="24"/>
        </w:rPr>
        <w:t>contemporary</w:t>
      </w:r>
      <w:r w:rsidRPr="00B84FB0">
        <w:rPr>
          <w:rFonts w:cs="Times New Roman"/>
          <w:sz w:val="24"/>
          <w:szCs w:val="24"/>
        </w:rPr>
        <w:t xml:space="preserve"> discussions on the topic, or so I will argue. For instance, regarding the implications of moral luck, what concerns the Confucians would be unlikely to track Nagel’s question of whether we have agency at all, but instead will highlight how to respond to the influence of moral luck. Numerous projects can stem from such an initial observation. One project is to further investigate the Confucians’ strategy in </w:t>
      </w:r>
      <w:r w:rsidRPr="00B84FB0">
        <w:rPr>
          <w:rFonts w:cs="Times New Roman"/>
          <w:sz w:val="24"/>
          <w:szCs w:val="24"/>
        </w:rPr>
        <w:lastRenderedPageBreak/>
        <w:t xml:space="preserve">dealing with and addressing failures happening in the grey area where responsibilities cannot be clearly assigned. Minimally, this project rejects from the outset the idea that Confucians are </w:t>
      </w:r>
      <w:proofErr w:type="gramStart"/>
      <w:r w:rsidRPr="00B84FB0">
        <w:rPr>
          <w:rFonts w:cs="Times New Roman"/>
          <w:sz w:val="24"/>
          <w:szCs w:val="24"/>
        </w:rPr>
        <w:t>similar to</w:t>
      </w:r>
      <w:proofErr w:type="gramEnd"/>
      <w:r w:rsidRPr="00B84FB0">
        <w:rPr>
          <w:rFonts w:cs="Times New Roman"/>
          <w:sz w:val="24"/>
          <w:szCs w:val="24"/>
        </w:rPr>
        <w:t xml:space="preserve"> the Stoics in how they conceptualize affairs in the world, an idea that continues to hold sway in current scholarship. </w:t>
      </w:r>
    </w:p>
    <w:p w14:paraId="5A70BD76" w14:textId="4A225CFC" w:rsidR="00ED049D" w:rsidRDefault="00ED049D">
      <w:pPr>
        <w:rPr>
          <w:rFonts w:cs="Times New Roman"/>
          <w:sz w:val="24"/>
          <w:szCs w:val="24"/>
        </w:rPr>
      </w:pPr>
    </w:p>
    <w:sectPr w:rsidR="00ED049D" w:rsidSect="00041FC6">
      <w:footnotePr>
        <w:numRestart w:val="eachSect"/>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82B18" w14:textId="77777777" w:rsidR="0000317E" w:rsidRDefault="0000317E" w:rsidP="00830739">
      <w:pPr>
        <w:spacing w:after="0" w:line="240" w:lineRule="auto"/>
      </w:pPr>
      <w:r>
        <w:separator/>
      </w:r>
    </w:p>
  </w:endnote>
  <w:endnote w:type="continuationSeparator" w:id="0">
    <w:p w14:paraId="206503D8" w14:textId="77777777" w:rsidR="0000317E" w:rsidRDefault="0000317E" w:rsidP="00830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dvPTime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9982" w14:textId="77777777" w:rsidR="00AA5F86" w:rsidRDefault="00AA5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521049"/>
      <w:docPartObj>
        <w:docPartGallery w:val="Page Numbers (Bottom of Page)"/>
        <w:docPartUnique/>
      </w:docPartObj>
    </w:sdtPr>
    <w:sdtEndPr>
      <w:rPr>
        <w:noProof/>
      </w:rPr>
    </w:sdtEndPr>
    <w:sdtContent>
      <w:p w14:paraId="517E62DE" w14:textId="3896E27F" w:rsidR="0014303B" w:rsidRDefault="001430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479394" w14:textId="66647A02" w:rsidR="00AA5F86" w:rsidRPr="000F320F" w:rsidRDefault="00AA5F86" w:rsidP="000F32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1F1D" w14:textId="171FD89A" w:rsidR="00C5133F" w:rsidRDefault="00C5133F">
    <w:pPr>
      <w:pStyle w:val="Footer"/>
      <w:jc w:val="center"/>
    </w:pPr>
  </w:p>
  <w:p w14:paraId="0393983F" w14:textId="77777777" w:rsidR="00AA5F86" w:rsidRDefault="00AA5F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226963"/>
      <w:docPartObj>
        <w:docPartGallery w:val="Page Numbers (Bottom of Page)"/>
        <w:docPartUnique/>
      </w:docPartObj>
    </w:sdtPr>
    <w:sdtEndPr>
      <w:rPr>
        <w:noProof/>
      </w:rPr>
    </w:sdtEndPr>
    <w:sdtContent>
      <w:p w14:paraId="293DB30C" w14:textId="3967A64D" w:rsidR="0014303B" w:rsidRDefault="001430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07A905" w14:textId="77777777" w:rsidR="0014303B" w:rsidRDefault="001430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425012"/>
      <w:docPartObj>
        <w:docPartGallery w:val="Page Numbers (Bottom of Page)"/>
        <w:docPartUnique/>
      </w:docPartObj>
    </w:sdtPr>
    <w:sdtEndPr>
      <w:rPr>
        <w:noProof/>
      </w:rPr>
    </w:sdtEndPr>
    <w:sdtContent>
      <w:p w14:paraId="1FAB4E24" w14:textId="3AD5B5B8" w:rsidR="00041FC6" w:rsidRDefault="00041F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27BE04" w14:textId="77777777" w:rsidR="00041FC6" w:rsidRDefault="00041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D92F4" w14:textId="77777777" w:rsidR="0000317E" w:rsidRDefault="0000317E" w:rsidP="00830739">
      <w:pPr>
        <w:spacing w:after="0" w:line="240" w:lineRule="auto"/>
      </w:pPr>
      <w:r>
        <w:separator/>
      </w:r>
    </w:p>
  </w:footnote>
  <w:footnote w:type="continuationSeparator" w:id="0">
    <w:p w14:paraId="092B1AD8" w14:textId="77777777" w:rsidR="0000317E" w:rsidRDefault="0000317E" w:rsidP="00830739">
      <w:pPr>
        <w:spacing w:after="0" w:line="240" w:lineRule="auto"/>
      </w:pPr>
      <w:r>
        <w:continuationSeparator/>
      </w:r>
    </w:p>
  </w:footnote>
  <w:footnote w:id="1">
    <w:p w14:paraId="252CB868" w14:textId="46E9D736"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Many other scholars also consider this view to be the standard view of early Confucianism in general. See for instance, Perkins, 2008; Hwang,</w:t>
      </w:r>
      <w:r w:rsidR="00BD273C" w:rsidRPr="00072DE6">
        <w:rPr>
          <w:rFonts w:ascii="Calibri" w:hAnsi="Calibri" w:cs="Calibri"/>
          <w:sz w:val="20"/>
          <w:szCs w:val="20"/>
        </w:rPr>
        <w:t xml:space="preserve"> </w:t>
      </w:r>
      <w:r w:rsidRPr="00072DE6">
        <w:rPr>
          <w:rFonts w:ascii="Calibri" w:hAnsi="Calibri" w:cs="Calibri"/>
          <w:sz w:val="20"/>
          <w:szCs w:val="20"/>
        </w:rPr>
        <w:t>2013; Wang, 20</w:t>
      </w:r>
      <w:r w:rsidR="002B3C78" w:rsidRPr="00072DE6">
        <w:rPr>
          <w:rFonts w:ascii="Calibri" w:hAnsi="Calibri" w:cs="Calibri"/>
          <w:sz w:val="20"/>
          <w:szCs w:val="20"/>
        </w:rPr>
        <w:t>19</w:t>
      </w:r>
      <w:r w:rsidRPr="00072DE6">
        <w:rPr>
          <w:rFonts w:ascii="Calibri" w:hAnsi="Calibri" w:cs="Calibri"/>
          <w:sz w:val="20"/>
          <w:szCs w:val="20"/>
        </w:rPr>
        <w:t xml:space="preserve">. See Luo 2019 47-51 for a subtle yet important variation of this view that does not consider uncontrollable goals irrelevant. See Huff 2016 for a dissenting view. </w:t>
      </w:r>
    </w:p>
  </w:footnote>
  <w:footnote w:id="2">
    <w:p w14:paraId="3FAB3BDB"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{"citationID":"o18dnTRG","properties":{"formattedCitation":"Slingerland, \\uc0\\u8220{}The Conception of Ming in Early Confucian Thought,\\uc0\\u8221{} 568.","plainCitation":"Slingerland, “The Conception of Ming in Early Confucian Thought,” 568.","noteIndex":4},"citationItems":[{"id":300,"uris":["http://zotero.org/users/4376360/items/6GDIX6UV"],"uri":["http://zotero.org/users/4376360/items/6GDIX6UV"],"itemData":{"id":300,"type":"article-journal","abstract":"Various interpretations of the role that ming (\"fate\") plays in early Confucian thought are examined. An interpretation is advanced which argues that early Confucians saw reality as being bifurcated into two distinct realms--\"inner\" and \"outer\"--and that ming refers to unpredictable forces in the outside realm, which are beyond the bounds of proper human endeavor. The vagaries of ming are not the concern of the gentleman, whose efforts and worries are to be focused on the cultivation of the self: the inner realm where \"seeking helps one to get it.\" It is argued that a sense of \"interiority\" is present in early Confucianism, and an attempt is made to distinguish the world-view of Confucius and Mencius from that of later Neo-Confucian interpreters.","archive":"JSTOR","container-title":"Philosophy East and West","DOI":"10.2307/1399496","ISSN":"0031-8221","issue":"4","note":"publisher: University of Hawai'i Press","page":"567-581","source":"JSTOR","title":"The Conception of Ming in Early Confucian Thought","volume":"46","author":[{"family":"Slingerland","given":"Ted"}],"issued":{"date-parts":[["1996"]]}},"locator":"568"}],"schema":"https://github.com/citation-style-language/schema/raw/master/csl-citation.json"}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Slingerland, “The Conception of Ming in Early Confucian Thought,” 568.</w:t>
      </w:r>
      <w:r w:rsidRPr="00072DE6">
        <w:rPr>
          <w:rFonts w:ascii="Calibri" w:hAnsi="Calibri" w:cs="Calibri"/>
          <w:sz w:val="20"/>
          <w:szCs w:val="20"/>
        </w:rPr>
        <w:fldChar w:fldCharType="end"/>
      </w:r>
    </w:p>
  </w:footnote>
  <w:footnote w:id="3">
    <w:p w14:paraId="272424BD"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{"citationID":"KQ1bvq2J","properties":{"formattedCitation":"Yu, {\\i{}The Ethics of Confucius and Aristotle}, 186\\uc0\\u8211{}87.","plainCitation":"Yu, The Ethics of Confucius and Aristotle, 186–87.","noteIndex":6},"citationItems":[{"id":251,"uris":["http://zotero.org/users/4376360/items/DE7R4IBU"],"uri":["http://zotero.org/users/4376360/items/DE7R4IBU"],"itemData":{"id":251,"type":"book","collection-number":"7","collection-title":"Routledge studies in ethics and moral theory","event-place":"New York","ISBN":"978-0-415-80305-2","language":"eng","note":"OCLC: 610685669","number-of-pages":"276","publisher":"Routledge","publisher-place":"New York","source":"Gemeinsamer Bibliotheksverbund ISBN","title":"The ethics of Confucius and Aristotle: mirrors of virtue","title-short":"The ethics of Confucius and Aristotle","author":[{"family":"Yu","given":"Jiyuan"}],"issued":{"date-parts":[["2007"]]}},"locator":"186-7"}],"schema":"https://github.com/citation-style-language/schema/raw/master/csl-citation.json"}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Yu, </w:t>
      </w:r>
      <w:r w:rsidRPr="00072DE6">
        <w:rPr>
          <w:rFonts w:ascii="Calibri" w:hAnsi="Calibri" w:cs="Calibri"/>
          <w:i/>
          <w:iCs/>
          <w:sz w:val="20"/>
          <w:szCs w:val="20"/>
        </w:rPr>
        <w:t>The Ethics of Confucius and Aristotle</w:t>
      </w:r>
      <w:r w:rsidRPr="00072DE6">
        <w:rPr>
          <w:rFonts w:ascii="Calibri" w:hAnsi="Calibri" w:cs="Calibri"/>
          <w:sz w:val="20"/>
          <w:szCs w:val="20"/>
        </w:rPr>
        <w:t>, 186–87.</w:t>
      </w:r>
      <w:r w:rsidRPr="00072DE6">
        <w:rPr>
          <w:rFonts w:ascii="Calibri" w:hAnsi="Calibri" w:cs="Calibri"/>
          <w:sz w:val="20"/>
          <w:szCs w:val="20"/>
        </w:rPr>
        <w:fldChar w:fldCharType="end"/>
      </w:r>
    </w:p>
  </w:footnote>
  <w:footnote w:id="4">
    <w:p w14:paraId="30A23AE1"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{"citationID":"d0H8s5gF","properties":{"formattedCitation":"Yu, 187.","plainCitation":"Yu, 187.","noteIndex":7},"citationItems":[{"id":251,"uris":["http://zotero.org/users/4376360/items/DE7R4IBU"],"uri":["http://zotero.org/users/4376360/items/DE7R4IBU"],"itemData":{"id":251,"type":"book","collection-number":"7","collection-title":"Routledge studies in ethics and moral theory","event-place":"New York","ISBN":"978-0-415-80305-2","language":"eng","note":"OCLC: 610685669","number-of-pages":"276","publisher":"Routledge","publisher-place":"New York","source":"Gemeinsamer Bibliotheksverbund ISBN","title":"The ethics of Confucius and Aristotle: mirrors of virtue","title-short":"The ethics of Confucius and Aristotle","author":[{"family":"Yu","given":"Jiyuan"}],"issued":{"date-parts":[["2007"]]}},"locator":"187"}],"schema":"https://github.com/citation-style-language/schema/raw/master/csl-citation.json"}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Yu, 187.</w:t>
      </w:r>
      <w:r w:rsidRPr="00072DE6">
        <w:rPr>
          <w:rFonts w:ascii="Calibri" w:hAnsi="Calibri" w:cs="Calibri"/>
          <w:sz w:val="20"/>
          <w:szCs w:val="20"/>
        </w:rPr>
        <w:fldChar w:fldCharType="end"/>
      </w:r>
    </w:p>
  </w:footnote>
  <w:footnote w:id="5">
    <w:p w14:paraId="5AB9A9DF"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{"citationID":"JxKe4kOW","properties":{"formattedCitation":"Yao, \\uc0\\u8220{}Joy, Wisdom and Virtue\\uc0\\u8212{}The Confucian Paradigm of Good Life,\\uc0\\u8221{} 229.","plainCitation":"Yao, “Joy, Wisdom and Virtue—The Confucian Paradigm of Good Life,” 229.","noteIndex":8},"citationItems":[{"id":977,"uris":["http://zotero.org/users/4376360/items/JI7EJY79"],"uri":["http://zotero.org/users/4376360/items/JI7EJY79"],"itemData":{"id":977,"type":"article-journal","abstract":"This paper is intended to examine the ethical paradigm of the good life constructed in the early Confucian texts, in contrast with the clear tendency to the rational paradigm as ascribed in the ancient Greek philosophy. To fully appreciate the Confucian paradigm, we will investigate how joy becomes the central concern for early Confucians and what categories it is classified through discourses on wisdom and virtue. We will argue that joy, wisdom and virtue underlie the theme of learning to be human and is both the necessary ingredient and the consequence of the good life in early Confucianism.","container-title":"Journal of Chinese Philosophy","DOI":"10.1111/1540-6253.12358","ISSN":"1540-6253","issue":"3-4","language":"en","note":"_eprint: https://onlinelibrary.wiley.com/doi/pdf/10.1111/1540-6253.12358","page":"222-232","source":"Wiley Online Library","title":"Joy, Wisdom and Virtue—The Confucian Paradigm of Good Life","volume":"45","author":[{"family":"Yao","given":"Xingzhong"}],"issued":{"date-parts":[["2018"]]}},"locator":"229"}],"schema":"https://github.com/citation-style-language/schema/raw/master/csl-citation.json"}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Yao, “Joy, Wisdom and Virtue—The Confucian Paradigm of Good Life,” 229.</w:t>
      </w:r>
      <w:r w:rsidRPr="00072DE6">
        <w:rPr>
          <w:rFonts w:ascii="Calibri" w:hAnsi="Calibri" w:cs="Calibri"/>
          <w:sz w:val="20"/>
          <w:szCs w:val="20"/>
        </w:rPr>
        <w:fldChar w:fldCharType="end"/>
      </w:r>
    </w:p>
  </w:footnote>
  <w:footnote w:id="6">
    <w:p w14:paraId="1FB6AB94"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See for instance, Wong 2013.</w:t>
      </w:r>
    </w:p>
  </w:footnote>
  <w:footnote w:id="7">
    <w:p w14:paraId="3DE0FEE5"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It is a knowledge requirement of sort because such knowledge is not merely intellectual or cognitive, but involves intimate, personal understanding of what an aspiration involves and entails. Needless to say, this understanding required for wholehearted endorsement is not a perfect understanding, which would be implausible and thus, an inappropriate requirement.</w:t>
      </w:r>
    </w:p>
  </w:footnote>
  <w:footnote w:id="8">
    <w:p w14:paraId="7B9F5E85"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{"citationID":"0ZnPc584","properties":{"formattedCitation":"Shun, \\uc0\\u8220{}Early Confucian Moral Psychology.\\uc0\\u8221{}","plainCitation":"Shun, “Early Confucian Moral Psychology.”","noteIndex":8},"citationItems":[{"id":16,"uris":["http://zotero.org/users/4376360/items/SM3P3CP5"],"uri":["http://zotero.org/users/4376360/items/SM3P3CP5"],"itemData":{"id":16,"type":"chapter","abstract":"In this chapter, I discuss an aspect of early Confucian ethical thought that arguably is one of its more distinctive characteristics, namely, its emphasis on self-transformation. By self-transformation, I refer to the transformation of oneself that comes about as a result of one’s own reflective efforts at self-improvement; the process that involves such efforts I will refer to as “self-cultivation.” This aspect of Confucian thought is related to its distinctive nature as a kind of ethical thought. Suppose we use the term “ethics” broadly in the sense that an ethical concern has to do with a concern with how to live, or how one should live, where the scope of “one” is supposed to include most of those whom we nowadays would refer to as “human beings.” This way of describing the scope of “one” is intended to accommodate the fact that the term ren </w:instrText>
      </w:r>
      <w:r w:rsidRPr="00072DE6">
        <w:rPr>
          <w:rFonts w:ascii="Calibri" w:eastAsia="MS Mincho" w:hAnsi="Calibri" w:cs="Calibri"/>
          <w:sz w:val="20"/>
          <w:szCs w:val="20"/>
        </w:rPr>
        <w:instrText>人</w:instrText>
      </w:r>
      <w:r w:rsidRPr="00072DE6">
        <w:rPr>
          <w:rFonts w:ascii="Calibri" w:hAnsi="Calibri" w:cs="Calibri"/>
          <w:sz w:val="20"/>
          <w:szCs w:val="20"/>
        </w:rPr>
        <w:instrText xml:space="preserve"> (human beings), which is the term closest to “human beings” in early Chinese, is not understood in biological terms in early China and, on some scholarly views, might have a more restricted scope than that of the contemporary term “human beings.”","collection-title":"Dao Companions to Chinese Philosophy","container-title":"Dao Companion to Classical Confucian Philosophy","event-place":"Dordrecht","ISBN":"978-90-481-2936-2","language":"en","note":"DOI: 10.1007/978-90-481-2936-2_12","page":"263-289","publisher":"Springer Netherlands","publisher-place":"Dordrecht","source":"Springer Link","title":"Early Confucian Moral Psychology","URL":"https://doi.org/10.1007/978-90-481-2936-2_12","author":[{"family":"Shun","given":"Kwong-loi"}],"editor":[{"family":"Shen","given":"Vincent"}],"accessed":{"date-parts":[["2021",2,16]]},"issued":{"date-parts":[["2014"]]}}}],"schema":"https://github.com/citation-style-language/schema/raw/master/csl-citation.json"} </w:instrText>
      </w:r>
      <w:r w:rsidRPr="00072DE6">
        <w:rPr>
          <w:rFonts w:ascii="Calibri" w:hAnsi="Calibri" w:cs="Calibri"/>
          <w:sz w:val="20"/>
          <w:szCs w:val="20"/>
        </w:rPr>
        <w:fldChar w:fldCharType="separate"/>
      </w:r>
      <w:r w:rsidRPr="00072DE6">
        <w:rPr>
          <w:rFonts w:ascii="Calibri" w:eastAsia="DengXian" w:hAnsi="Calibri" w:cs="Calibri"/>
          <w:sz w:val="20"/>
          <w:szCs w:val="20"/>
        </w:rPr>
        <w:t>Shun, “Early Confucian Moral Psychology.”</w:t>
      </w:r>
      <w:r w:rsidRPr="00072DE6">
        <w:rPr>
          <w:rFonts w:ascii="Calibri" w:hAnsi="Calibri" w:cs="Calibri"/>
          <w:sz w:val="20"/>
          <w:szCs w:val="20"/>
        </w:rPr>
        <w:fldChar w:fldCharType="end"/>
      </w:r>
    </w:p>
  </w:footnote>
  <w:footnote w:id="9">
    <w:p w14:paraId="2BFA1186"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See Cheng</w:t>
      </w:r>
      <w:r w:rsidRPr="00072DE6">
        <w:rPr>
          <w:rFonts w:ascii="Calibri" w:hAnsi="Calibri" w:cs="Calibri"/>
          <w:color w:val="FF0000"/>
          <w:sz w:val="20"/>
          <w:szCs w:val="20"/>
        </w:rPr>
        <w:t>.</w:t>
      </w:r>
      <w:r w:rsidRPr="00072DE6">
        <w:rPr>
          <w:rFonts w:ascii="Calibri" w:hAnsi="Calibri" w:cs="Calibri"/>
          <w:sz w:val="20"/>
          <w:szCs w:val="20"/>
        </w:rPr>
        <w:t xml:space="preserve">  The psychological phenomenon of being able to guard one’s </w:t>
      </w:r>
      <w:r w:rsidRPr="00072DE6">
        <w:rPr>
          <w:rFonts w:ascii="Calibri" w:hAnsi="Calibri" w:cs="Calibri"/>
          <w:i/>
          <w:iCs/>
          <w:sz w:val="20"/>
          <w:szCs w:val="20"/>
        </w:rPr>
        <w:t>zhi</w:t>
      </w:r>
      <w:r w:rsidRPr="00072DE6">
        <w:rPr>
          <w:rFonts w:ascii="Calibri" w:hAnsi="Calibri" w:cs="Calibri"/>
          <w:sz w:val="20"/>
          <w:szCs w:val="20"/>
        </w:rPr>
        <w:t xml:space="preserve"> is complex. It is, in my opinion, a mistake to understand this phenomenon in terms of will power, that those who can guard their </w:t>
      </w:r>
      <w:r w:rsidRPr="00072DE6">
        <w:rPr>
          <w:rFonts w:ascii="Calibri" w:hAnsi="Calibri" w:cs="Calibri"/>
          <w:i/>
          <w:iCs/>
          <w:sz w:val="20"/>
          <w:szCs w:val="20"/>
        </w:rPr>
        <w:t>zhi</w:t>
      </w:r>
      <w:r w:rsidRPr="00072DE6">
        <w:rPr>
          <w:rFonts w:ascii="Calibri" w:hAnsi="Calibri" w:cs="Calibri"/>
          <w:sz w:val="20"/>
          <w:szCs w:val="20"/>
        </w:rPr>
        <w:t xml:space="preserve"> has strong will power, and those who fail do not. It oversimplifies the matter because being deprived of one’s </w:t>
      </w:r>
      <w:r w:rsidRPr="00072DE6">
        <w:rPr>
          <w:rFonts w:ascii="Calibri" w:hAnsi="Calibri" w:cs="Calibri"/>
          <w:i/>
          <w:iCs/>
          <w:sz w:val="20"/>
          <w:szCs w:val="20"/>
        </w:rPr>
        <w:t>zhi</w:t>
      </w:r>
      <w:r w:rsidRPr="00072DE6">
        <w:rPr>
          <w:rFonts w:ascii="Calibri" w:hAnsi="Calibri" w:cs="Calibri"/>
          <w:sz w:val="20"/>
          <w:szCs w:val="20"/>
        </w:rPr>
        <w:t xml:space="preserve"> can happen in many ways, some of which cannot be satisfyingly explained by simply saying that "the agent lacks will power (or does not have strong will power)." The persistent temptation of (political) power takes away one’s </w:t>
      </w:r>
      <w:r w:rsidRPr="00072DE6">
        <w:rPr>
          <w:rFonts w:ascii="Calibri" w:hAnsi="Calibri" w:cs="Calibri"/>
          <w:i/>
          <w:iCs/>
          <w:sz w:val="20"/>
          <w:szCs w:val="20"/>
        </w:rPr>
        <w:t>zhi</w:t>
      </w:r>
      <w:r w:rsidRPr="00072DE6">
        <w:rPr>
          <w:rFonts w:ascii="Calibri" w:hAnsi="Calibri" w:cs="Calibri"/>
          <w:sz w:val="20"/>
          <w:szCs w:val="20"/>
        </w:rPr>
        <w:t xml:space="preserve"> in a way that is significantly different from the corrosive and numbing effect of poverty. It also obscures what cultivation does. Cultivation does more than simply increase will power but brings about strategies and resources to deal with different situations that present challenge to following one's </w:t>
      </w:r>
      <w:r w:rsidRPr="00072DE6">
        <w:rPr>
          <w:rFonts w:ascii="Calibri" w:hAnsi="Calibri" w:cs="Calibri"/>
          <w:i/>
          <w:iCs/>
          <w:sz w:val="20"/>
          <w:szCs w:val="20"/>
        </w:rPr>
        <w:t>zhi</w:t>
      </w:r>
      <w:r w:rsidRPr="00072DE6">
        <w:rPr>
          <w:rFonts w:ascii="Calibri" w:hAnsi="Calibri" w:cs="Calibri"/>
          <w:sz w:val="20"/>
          <w:szCs w:val="20"/>
        </w:rPr>
        <w:t>. Lastly, it also obscures the psychological feature that I discuss, that endorsement and identification cannot be forced. Weak or strong, will power does not change this feature.</w:t>
      </w:r>
    </w:p>
  </w:footnote>
  <w:footnote w:id="10">
    <w:p w14:paraId="337F093D"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Clearly, a lot more can and needs to be said about </w:t>
      </w:r>
      <w:r w:rsidRPr="00072DE6">
        <w:rPr>
          <w:rFonts w:ascii="Calibri" w:hAnsi="Calibri" w:cs="Calibri"/>
          <w:i/>
          <w:iCs/>
          <w:sz w:val="20"/>
          <w:szCs w:val="20"/>
        </w:rPr>
        <w:t>zhi</w:t>
      </w:r>
      <w:r w:rsidRPr="00072DE6">
        <w:rPr>
          <w:rFonts w:ascii="Calibri" w:hAnsi="Calibri" w:cs="Calibri"/>
          <w:sz w:val="20"/>
          <w:szCs w:val="20"/>
        </w:rPr>
        <w:t xml:space="preserve">. For instance, I have left open how </w:t>
      </w:r>
      <w:r w:rsidRPr="00072DE6">
        <w:rPr>
          <w:rFonts w:ascii="Calibri" w:hAnsi="Calibri" w:cs="Calibri"/>
          <w:i/>
          <w:iCs/>
          <w:sz w:val="20"/>
          <w:szCs w:val="20"/>
        </w:rPr>
        <w:t>zhi</w:t>
      </w:r>
      <w:r w:rsidRPr="00072DE6">
        <w:rPr>
          <w:rFonts w:ascii="Calibri" w:hAnsi="Calibri" w:cs="Calibri"/>
          <w:sz w:val="20"/>
          <w:szCs w:val="20"/>
        </w:rPr>
        <w:t xml:space="preserve"> is actually formed (i.e., establishing a </w:t>
      </w:r>
      <w:r w:rsidRPr="00072DE6">
        <w:rPr>
          <w:rFonts w:ascii="Calibri" w:hAnsi="Calibri" w:cs="Calibri"/>
          <w:i/>
          <w:iCs/>
          <w:sz w:val="20"/>
          <w:szCs w:val="20"/>
        </w:rPr>
        <w:t>zhi</w:t>
      </w:r>
      <w:r w:rsidRPr="00072DE6">
        <w:rPr>
          <w:rFonts w:ascii="Calibri" w:hAnsi="Calibri" w:cs="Calibri"/>
          <w:sz w:val="20"/>
          <w:szCs w:val="20"/>
        </w:rPr>
        <w:t xml:space="preserve"> </w:t>
      </w:r>
      <w:r w:rsidRPr="00072DE6">
        <w:rPr>
          <w:rFonts w:ascii="Calibri" w:eastAsia="MS Mincho" w:hAnsi="Calibri" w:cs="Calibri"/>
          <w:sz w:val="20"/>
          <w:szCs w:val="20"/>
        </w:rPr>
        <w:t>立志</w:t>
      </w:r>
      <w:r w:rsidRPr="00072DE6">
        <w:rPr>
          <w:rFonts w:ascii="Calibri" w:hAnsi="Calibri" w:cs="Calibri"/>
          <w:sz w:val="20"/>
          <w:szCs w:val="20"/>
        </w:rPr>
        <w:t xml:space="preserve">), what the psychological process involves, the ways in which a </w:t>
      </w:r>
      <w:r w:rsidRPr="00072DE6">
        <w:rPr>
          <w:rFonts w:ascii="Calibri" w:hAnsi="Calibri" w:cs="Calibri"/>
          <w:i/>
          <w:iCs/>
          <w:sz w:val="20"/>
          <w:szCs w:val="20"/>
        </w:rPr>
        <w:t xml:space="preserve">zhi </w:t>
      </w:r>
      <w:r w:rsidRPr="00072DE6">
        <w:rPr>
          <w:rFonts w:ascii="Calibri" w:hAnsi="Calibri" w:cs="Calibri"/>
          <w:sz w:val="20"/>
          <w:szCs w:val="20"/>
        </w:rPr>
        <w:t xml:space="preserve">can be changed, what cultivation does to a </w:t>
      </w:r>
      <w:r w:rsidRPr="00072DE6">
        <w:rPr>
          <w:rFonts w:ascii="Calibri" w:hAnsi="Calibri" w:cs="Calibri"/>
          <w:i/>
          <w:iCs/>
          <w:sz w:val="20"/>
          <w:szCs w:val="20"/>
        </w:rPr>
        <w:t>zhi</w:t>
      </w:r>
      <w:r w:rsidRPr="00072DE6">
        <w:rPr>
          <w:rFonts w:ascii="Calibri" w:hAnsi="Calibri" w:cs="Calibri"/>
          <w:sz w:val="20"/>
          <w:szCs w:val="20"/>
        </w:rPr>
        <w:t>,</w:t>
      </w:r>
      <w:r w:rsidRPr="00072DE6">
        <w:rPr>
          <w:rFonts w:ascii="Calibri" w:hAnsi="Calibri" w:cs="Calibri"/>
          <w:i/>
          <w:iCs/>
          <w:sz w:val="20"/>
          <w:szCs w:val="20"/>
        </w:rPr>
        <w:t xml:space="preserve"> </w:t>
      </w:r>
      <w:r w:rsidRPr="00072DE6">
        <w:rPr>
          <w:rFonts w:ascii="Calibri" w:hAnsi="Calibri" w:cs="Calibri"/>
          <w:sz w:val="20"/>
          <w:szCs w:val="20"/>
        </w:rPr>
        <w:t xml:space="preserve">and some of the important topics raised by traditional commentators, such as, guarding one’s </w:t>
      </w:r>
      <w:r w:rsidRPr="00072DE6">
        <w:rPr>
          <w:rFonts w:ascii="Calibri" w:hAnsi="Calibri" w:cs="Calibri"/>
          <w:i/>
          <w:iCs/>
          <w:sz w:val="20"/>
          <w:szCs w:val="20"/>
        </w:rPr>
        <w:t>zhi</w:t>
      </w:r>
      <w:r w:rsidRPr="00072DE6">
        <w:rPr>
          <w:rFonts w:ascii="Calibri" w:hAnsi="Calibri" w:cs="Calibri"/>
          <w:sz w:val="20"/>
          <w:szCs w:val="20"/>
        </w:rPr>
        <w:t xml:space="preserve"> </w:t>
      </w:r>
      <w:r w:rsidRPr="00072DE6">
        <w:rPr>
          <w:rFonts w:ascii="Calibri" w:eastAsia="MS Mincho" w:hAnsi="Calibri" w:cs="Calibri"/>
          <w:sz w:val="20"/>
          <w:szCs w:val="20"/>
        </w:rPr>
        <w:t>守志</w:t>
      </w:r>
      <w:r w:rsidRPr="00072DE6">
        <w:rPr>
          <w:rFonts w:ascii="Calibri" w:hAnsi="Calibri" w:cs="Calibri"/>
          <w:sz w:val="20"/>
          <w:szCs w:val="20"/>
        </w:rPr>
        <w:t xml:space="preserve">, being deprived of one’s </w:t>
      </w:r>
      <w:r w:rsidRPr="00072DE6">
        <w:rPr>
          <w:rFonts w:ascii="Calibri" w:hAnsi="Calibri" w:cs="Calibri"/>
          <w:i/>
          <w:iCs/>
          <w:sz w:val="20"/>
          <w:szCs w:val="20"/>
        </w:rPr>
        <w:t>zhi</w:t>
      </w:r>
      <w:r w:rsidRPr="00072DE6">
        <w:rPr>
          <w:rFonts w:ascii="Calibri" w:hAnsi="Calibri" w:cs="Calibri"/>
          <w:sz w:val="20"/>
          <w:szCs w:val="20"/>
        </w:rPr>
        <w:t xml:space="preserve"> </w:t>
      </w:r>
      <w:r w:rsidRPr="00072DE6">
        <w:rPr>
          <w:rFonts w:ascii="Calibri" w:eastAsia="MS Mincho" w:hAnsi="Calibri" w:cs="Calibri"/>
          <w:sz w:val="20"/>
          <w:szCs w:val="20"/>
        </w:rPr>
        <w:t>奪志</w:t>
      </w:r>
      <w:r w:rsidRPr="00072DE6">
        <w:rPr>
          <w:rFonts w:ascii="Calibri" w:hAnsi="Calibri" w:cs="Calibri"/>
          <w:sz w:val="20"/>
          <w:szCs w:val="20"/>
        </w:rPr>
        <w:t>, etc.</w:t>
      </w:r>
    </w:p>
  </w:footnote>
  <w:footnote w:id="11">
    <w:p w14:paraId="524926B7"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While this paper is not focused on </w:t>
      </w:r>
      <w:r w:rsidRPr="00072DE6">
        <w:rPr>
          <w:rFonts w:ascii="Calibri" w:hAnsi="Calibri" w:cs="Calibri"/>
          <w:i/>
          <w:iCs/>
          <w:sz w:val="20"/>
          <w:szCs w:val="20"/>
        </w:rPr>
        <w:t>xing</w:t>
      </w:r>
      <w:r w:rsidRPr="00072DE6">
        <w:rPr>
          <w:rFonts w:ascii="Calibri" w:hAnsi="Calibri" w:cs="Calibri"/>
          <w:sz w:val="20"/>
          <w:szCs w:val="20"/>
        </w:rPr>
        <w:t>, I will briefly address relevant issues in section 3.1.</w:t>
      </w:r>
    </w:p>
  </w:footnote>
  <w:footnote w:id="12">
    <w:p w14:paraId="5B5F08EE"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Throughout the paper, I use “learning</w:t>
      </w:r>
      <w:r w:rsidRPr="00072DE6">
        <w:rPr>
          <w:rFonts w:ascii="Calibri" w:eastAsia="MS Mincho" w:hAnsi="Calibri" w:cs="Calibri"/>
          <w:sz w:val="20"/>
          <w:szCs w:val="20"/>
        </w:rPr>
        <w:t>學</w:t>
      </w:r>
      <w:r w:rsidRPr="00072DE6">
        <w:rPr>
          <w:rFonts w:ascii="Calibri" w:hAnsi="Calibri" w:cs="Calibri"/>
          <w:sz w:val="20"/>
          <w:szCs w:val="20"/>
        </w:rPr>
        <w:t xml:space="preserve">” and “moral cultivation” interchangeably. While it is clear that the </w:t>
      </w:r>
      <w:r w:rsidRPr="00072DE6">
        <w:rPr>
          <w:rFonts w:ascii="Calibri" w:hAnsi="Calibri" w:cs="Calibri"/>
          <w:i/>
          <w:iCs/>
          <w:sz w:val="20"/>
          <w:szCs w:val="20"/>
        </w:rPr>
        <w:t>Analects</w:t>
      </w:r>
      <w:r w:rsidRPr="00072DE6">
        <w:rPr>
          <w:rFonts w:ascii="Calibri" w:hAnsi="Calibri" w:cs="Calibri"/>
          <w:sz w:val="20"/>
          <w:szCs w:val="20"/>
        </w:rPr>
        <w:t xml:space="preserve"> depicts a wide range of learning objects, some of which, such as charioteering, does not have much to do with morality, it is uncontroversial that the most important learning is moral cultivation. Hence, “learning” is used as a shorthand for moral cultivation, except in cases where I make special note. </w:t>
      </w:r>
    </w:p>
  </w:footnote>
  <w:footnote w:id="13">
    <w:p w14:paraId="67E6731E"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This is not meant to be an exhaustive list. Other potentially relevant characters include </w:t>
      </w:r>
      <w:r w:rsidRPr="00072DE6">
        <w:rPr>
          <w:rFonts w:ascii="Calibri" w:hAnsi="Calibri" w:cs="Calibri"/>
          <w:i/>
          <w:iCs/>
          <w:sz w:val="20"/>
          <w:szCs w:val="20"/>
        </w:rPr>
        <w:t>sang</w:t>
      </w:r>
      <w:r w:rsidRPr="00072DE6">
        <w:rPr>
          <w:rFonts w:ascii="Calibri" w:hAnsi="Calibri" w:cs="Calibri"/>
          <w:sz w:val="20"/>
          <w:szCs w:val="20"/>
        </w:rPr>
        <w:t xml:space="preserve"> </w:t>
      </w:r>
      <w:r w:rsidRPr="00072DE6">
        <w:rPr>
          <w:rFonts w:ascii="Calibri" w:eastAsia="MS Mincho" w:hAnsi="Calibri" w:cs="Calibri"/>
          <w:sz w:val="20"/>
          <w:szCs w:val="20"/>
        </w:rPr>
        <w:t>喪</w:t>
      </w:r>
      <w:r w:rsidRPr="00072DE6">
        <w:rPr>
          <w:rFonts w:ascii="Calibri" w:hAnsi="Calibri" w:cs="Calibri"/>
          <w:sz w:val="20"/>
          <w:szCs w:val="20"/>
        </w:rPr>
        <w:t xml:space="preserve">, </w:t>
      </w:r>
      <w:r w:rsidRPr="00072DE6">
        <w:rPr>
          <w:rFonts w:ascii="Calibri" w:hAnsi="Calibri" w:cs="Calibri"/>
          <w:i/>
          <w:iCs/>
          <w:sz w:val="20"/>
          <w:szCs w:val="20"/>
        </w:rPr>
        <w:t>ke</w:t>
      </w:r>
      <w:r w:rsidRPr="00072DE6">
        <w:rPr>
          <w:rFonts w:ascii="Calibri" w:hAnsi="Calibri" w:cs="Calibri"/>
          <w:sz w:val="20"/>
          <w:szCs w:val="20"/>
        </w:rPr>
        <w:t xml:space="preserve"> </w:t>
      </w:r>
      <w:r w:rsidRPr="00072DE6">
        <w:rPr>
          <w:rFonts w:ascii="Calibri" w:eastAsia="MS Mincho" w:hAnsi="Calibri" w:cs="Calibri"/>
          <w:sz w:val="20"/>
          <w:szCs w:val="20"/>
        </w:rPr>
        <w:t>克</w:t>
      </w:r>
      <w:r w:rsidRPr="00072DE6">
        <w:rPr>
          <w:rFonts w:ascii="Calibri" w:hAnsi="Calibri" w:cs="Calibri"/>
          <w:sz w:val="20"/>
          <w:szCs w:val="20"/>
        </w:rPr>
        <w:t xml:space="preserve">, </w:t>
      </w:r>
      <w:r w:rsidRPr="00072DE6">
        <w:rPr>
          <w:rFonts w:ascii="Calibri" w:hAnsi="Calibri" w:cs="Calibri"/>
          <w:i/>
          <w:iCs/>
          <w:sz w:val="20"/>
          <w:szCs w:val="20"/>
        </w:rPr>
        <w:t xml:space="preserve">fa </w:t>
      </w:r>
      <w:r w:rsidRPr="00072DE6">
        <w:rPr>
          <w:rFonts w:ascii="Calibri" w:eastAsia="MS Mincho" w:hAnsi="Calibri" w:cs="Calibri"/>
          <w:sz w:val="20"/>
          <w:szCs w:val="20"/>
        </w:rPr>
        <w:t>伐</w:t>
      </w:r>
      <w:r w:rsidRPr="00072DE6">
        <w:rPr>
          <w:rFonts w:ascii="Calibri" w:hAnsi="Calibri" w:cs="Calibri"/>
          <w:sz w:val="20"/>
          <w:szCs w:val="20"/>
        </w:rPr>
        <w:t>.</w:t>
      </w:r>
    </w:p>
  </w:footnote>
  <w:footnote w:id="14">
    <w:p w14:paraId="0EDB2BE1"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eastAsia="PMingLiU" w:hAnsi="Calibri" w:cs="Calibri"/>
          <w:sz w:val="20"/>
          <w:szCs w:val="20"/>
          <w:lang w:eastAsia="zh-TW"/>
        </w:rPr>
        <w:fldChar w:fldCharType="begin"/>
      </w:r>
      <w:r w:rsidRPr="00072DE6">
        <w:rPr>
          <w:rFonts w:ascii="Calibri" w:eastAsia="PMingLiU" w:hAnsi="Calibri" w:cs="Calibri"/>
          <w:sz w:val="20"/>
          <w:szCs w:val="20"/>
          <w:lang w:eastAsia="zh-TW"/>
        </w:rPr>
        <w:instrText xml:space="preserve"> ADDIN ZOTERO_ITEM CSL_CITATION {"citationID":"0nMoYCzm","properties":{"formattedCitation":"Yuet Keung Lo, \\uc0\\u8220{}Confucius and His Community,\\uc0\\u8221{} in {\\i{}Dao Companion to the Analects}, ed. Amy Olberding (Dordrecht: Springer Netherlands, 2014), 55\\uc0\\u8211{}79, https://doi.org/10.1007/978-94-007-7113-0_4; Ted Slingerland, \\uc0\\u8220{}The Conception of Ming in Early Confucian Thought,\\uc0\\u8221{} {\\i{}Philosophy East and West} 46, no. 4 (1996): 567\\uc0\\u8211{}81, https://doi.org/10.2307/1399496; Xingzhong Yao, \\uc0\\u8220{}Joy, Wisdom and Virtue\\uc0\\u8212{}The Confucian Paradigm of Good Life,\\uc0\\u8221{} {\\i{}Journal of Chinese Philosophy} 45, no. 3\\uc0\\u8211{}4 (2018): 222\\uc0\\u8211{}32, https://doi.org/10.1111/1540-6253.12358; Jiyuan Yu, {\\i{}The Ethics of Confucius and Aristotle: Mirrors of Virtue}, Routledge Studies in Ethics and Moral Theory 7 (New York: Routledge, 2007), 185\\uc0\\u8211{}91.","plainCitation":"Yuet Keung Lo, “Confucius and His Community,” in Dao Companion to the Analects, ed. Amy Olberding (Dordrecht: Springer Netherlands, 2014), 55–79, https://doi.org/10.1007/978-94-007-7113-0_4; Ted Slingerland, “The Conception of Ming in Early Confucian Thought,” Philosophy East and West 46, no. 4 (1996): 567–81, https://doi.org/10.2307/1399496; Xingzhong Yao, “Joy, Wisdom and Virtue—The Confucian Paradigm of Good Life,” Journal of Chinese Philosophy 45, no. 3–4 (2018): 222–32, https://doi.org/10.1111/1540-6253.12358; Jiyuan Yu, The Ethics of Confucius and Aristotle: Mirrors of Virtue, Routledge Studies in Ethics and Moral Theory 7 (New York: Routledge, 2007), 185–91.","noteIndex":3},"citationItems":[{"id":292,"uris":["http://zotero.org/users/4376360/items/3UIYSK8J"],"uri":["http://zotero.org/users/4376360/items/3UIYSK8J"],"itemData":{"id":292,"type":"chapter","container-title":"Dao Companion to the Analects","event-place":"Dordrecht","ISBN":"978-94-007-7112-3","language":"en","note":"DOI: 10.1007/978-94-007-7113-0_4","page":"55-79","publisher":"Springer Netherlands","publisher-place":"Dordrecht","source":"CrossRef","title":"Confucius and His Community","URL":"http://link.springer.com/10.1007/978-94-007-7113-0_4","author":[{"family":"Lo","given":"Yuet Keung"}],"editor":[{"family":"Olberding","given":"Amy"}],"accessed":{"date-parts":[["2017",12,26]]},"issued":{"date-parts":[["2014"]]}},"locator":"55-79"},{"id":300,"uris":["http://zotero.org/users/4376360/items/6GDIX6UV"],"uri":["http://zotero.org/users/4376360/items/6GDIX6UV"],"itemData":{"id":300,"type":"article-journal","abstract":"Various interpretations of the role that ming (\"fate\") plays in early Confucian thought are examined. An interpretation is advanced which argues that early Confucians saw reality as being bifurcated into two distinct realms--\"inner\" and \"outer\"--and that ming refers to unpredictable forces in the outside realm, which are beyond the bounds of proper human endeavor. The vagaries of ming are not the concern of the gentleman, whose efforts and worries are to be focused on the cultivation of the self: the inner realm where \"seeking helps one to get it.\" It is argued that a sense of \"interiority\" is present in early Confucianism, and an attempt is made to distinguish the world-view of Confucius and Mencius from that of later Neo-Confucian interpreters.","archive":"JSTOR","container-title":"Philosophy East and West","DOI":"10.2307/1399496","ISSN":"0031-8221","issue":"4","note":"publisher: University of Hawai'i Press","page":"567-581","source":"JSTOR","title":"The Conception of Ming in Early Confucian Thought","volume":"46","author":[{"family":"Slingerland","given":"Ted"}],"issued":{"date-parts":[["1996"]]}},"locator":"567-581"},{"id":977,"uris":["http://zotero.org/users/4376360/items/JI7EJY79"],"uri":["http://zotero.org/users/4376360/items/JI7EJY79"],"itemData":{"id":977,"type":"article-journal","abstract":"This paper is intended to examine the ethical paradigm of the good life constructed in the early Confucian texts, in contrast with the clear tendency to the rational paradigm as ascribed in the ancient Greek philosophy. To fully appreciate the Confucian paradigm, we will investigate how joy becomes the central concern for early Confucians and what categories it is classified through discourses on wisdom and virtue. We will argue that joy, wisdom and virtue underlie the theme of learning to be human and is both the necessary ingredient and the consequence of the good life in early Confucianism.","container-title":"Journal of Chinese Philosophy","DOI":"10.1111/1540-6253.12358","ISSN":"1540-6253","issue":"3-4","language":"en","note":"_eprint: https://onlinelibrary.wiley.com/doi/pdf/10.1111/1540-6253.12358","page":"222-232","source":"Wiley Online Library","title":"Joy, Wisdom and Virtue—The Confucian Paradigm of Good Life","volume":"45","author":[{"family":"Yao","given":"Xingzhong"}],"issued":{"date-parts":[["2018"]]}},"locator":"222-232"},{"id":251,"uris":["http://zotero.org/users/4376360/items/DE7R4IBU"],"uri":["http://zotero.org/users/4376360/items/DE7R4IBU"],"itemData":{"id":251,"type":"book","collection-number":"7","collection-title":"Routledge studies in ethics and moral theory","event-place":"New York","ISBN":"978-0-415-80305-2","language":"eng","note":"OCLC: 610685669","number-of-pages":"276","publisher":"Routledge","publisher-place":"New York","source":"Gemeinsamer Bibliotheksverbund ISBN","title":"The ethics of Confucius and Aristotle: mirrors of virtue","title-short":"The ethics of Confucius and Aristotle","author":[{"family":"Yu","given":"Jiyuan"}],"issued":{"date-parts":[["2007"]]}},"locator":"185-191"}],"schema":"https://github.com/citation-style-language/schema/raw/master/csl-citation.json"} </w:instrText>
      </w:r>
      <w:r w:rsidRPr="00072DE6">
        <w:rPr>
          <w:rFonts w:ascii="Calibri" w:eastAsia="PMingLiU" w:hAnsi="Calibri" w:cs="Calibri"/>
          <w:sz w:val="20"/>
          <w:szCs w:val="20"/>
          <w:lang w:eastAsia="zh-TW"/>
        </w:rPr>
        <w:fldChar w:fldCharType="separate"/>
      </w:r>
      <w:r w:rsidRPr="00072DE6">
        <w:rPr>
          <w:rFonts w:ascii="Calibri" w:hAnsi="Calibri" w:cs="Calibri"/>
          <w:sz w:val="20"/>
          <w:szCs w:val="20"/>
        </w:rPr>
        <w:t xml:space="preserve">Yuet Keung Lo, “Confucius and His Community,” in </w:t>
      </w:r>
      <w:r w:rsidRPr="00072DE6">
        <w:rPr>
          <w:rFonts w:ascii="Calibri" w:hAnsi="Calibri" w:cs="Calibri"/>
          <w:i/>
          <w:iCs/>
          <w:sz w:val="20"/>
          <w:szCs w:val="20"/>
        </w:rPr>
        <w:t>Dao Companion to the Analects</w:t>
      </w:r>
      <w:r w:rsidRPr="00072DE6">
        <w:rPr>
          <w:rFonts w:ascii="Calibri" w:hAnsi="Calibri" w:cs="Calibri"/>
          <w:sz w:val="20"/>
          <w:szCs w:val="20"/>
        </w:rPr>
        <w:t xml:space="preserve">, ed. Amy Olberding (Dordrecht: Springer Netherlands, 2014), 55–79, https://doi.org/10.1007/978-94-007-7113-0_4; Ted Slingerland, “The Conception of Ming in Early Confucian Thought,” </w:t>
      </w:r>
      <w:r w:rsidRPr="00072DE6">
        <w:rPr>
          <w:rFonts w:ascii="Calibri" w:hAnsi="Calibri" w:cs="Calibri"/>
          <w:i/>
          <w:iCs/>
          <w:sz w:val="20"/>
          <w:szCs w:val="20"/>
        </w:rPr>
        <w:t>Philosophy East and West</w:t>
      </w:r>
      <w:r w:rsidRPr="00072DE6">
        <w:rPr>
          <w:rFonts w:ascii="Calibri" w:hAnsi="Calibri" w:cs="Calibri"/>
          <w:sz w:val="20"/>
          <w:szCs w:val="20"/>
        </w:rPr>
        <w:t xml:space="preserve"> 46, no. 4 (1996): 567–81, https://doi.org/10.2307/1399496; Xingzhong Yao, “Joy, Wisdom and Virtue—The Confucian Paradigm of Good Life,” </w:t>
      </w:r>
      <w:r w:rsidRPr="00072DE6">
        <w:rPr>
          <w:rFonts w:ascii="Calibri" w:hAnsi="Calibri" w:cs="Calibri"/>
          <w:i/>
          <w:iCs/>
          <w:sz w:val="20"/>
          <w:szCs w:val="20"/>
        </w:rPr>
        <w:t>Journal of Chinese Philosophy</w:t>
      </w:r>
      <w:r w:rsidRPr="00072DE6">
        <w:rPr>
          <w:rFonts w:ascii="Calibri" w:hAnsi="Calibri" w:cs="Calibri"/>
          <w:sz w:val="20"/>
          <w:szCs w:val="20"/>
        </w:rPr>
        <w:t xml:space="preserve"> 45, no. 3–4 (2018): 222–32, https://doi.org/10.1111/1540-6253.12358; Jiyuan Yu, </w:t>
      </w:r>
      <w:r w:rsidRPr="00072DE6">
        <w:rPr>
          <w:rFonts w:ascii="Calibri" w:hAnsi="Calibri" w:cs="Calibri"/>
          <w:i/>
          <w:iCs/>
          <w:sz w:val="20"/>
          <w:szCs w:val="20"/>
        </w:rPr>
        <w:t>The Ethics of Confucius and Aristotle: Mirrors of Virtue</w:t>
      </w:r>
      <w:r w:rsidRPr="00072DE6">
        <w:rPr>
          <w:rFonts w:ascii="Calibri" w:hAnsi="Calibri" w:cs="Calibri"/>
          <w:sz w:val="20"/>
          <w:szCs w:val="20"/>
        </w:rPr>
        <w:t>, Routledge Studies in Ethics and Moral Theory 7 (New York: Routledge, 2007), 185–91.</w:t>
      </w:r>
      <w:r w:rsidRPr="00072DE6">
        <w:rPr>
          <w:rFonts w:ascii="Calibri" w:eastAsia="PMingLiU" w:hAnsi="Calibri" w:cs="Calibri"/>
          <w:sz w:val="20"/>
          <w:szCs w:val="20"/>
          <w:lang w:eastAsia="zh-TW"/>
        </w:rPr>
        <w:fldChar w:fldCharType="end"/>
      </w:r>
    </w:p>
  </w:footnote>
  <w:footnote w:id="15">
    <w:p w14:paraId="092F1263"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{"citationID":"o18dnTRG","properties":{"formattedCitation":"Slingerland, \\uc0\\u8220{}The Conception of Ming in Early Confucian Thought,\\uc0\\u8221{} 568.","plainCitation":"Slingerland, “The Conception of Ming in Early Confucian Thought,” 568.","noteIndex":4},"citationItems":[{"id":300,"uris":["http://zotero.org/users/4376360/items/6GDIX6UV"],"uri":["http://zotero.org/users/4376360/items/6GDIX6UV"],"itemData":{"id":300,"type":"article-journal","abstract":"Various interpretations of the role that ming (\"fate\") plays in early Confucian thought are examined. An interpretation is advanced which argues that early Confucians saw reality as being bifurcated into two distinct realms--\"inner\" and \"outer\"--and that ming refers to unpredictable forces in the outside realm, which are beyond the bounds of proper human endeavor. The vagaries of ming are not the concern of the gentleman, whose efforts and worries are to be focused on the cultivation of the self: the inner realm where \"seeking helps one to get it.\" It is argued that a sense of \"interiority\" is present in early Confucianism, and an attempt is made to distinguish the world-view of Confucius and Mencius from that of later Neo-Confucian interpreters.","archive":"JSTOR","container-title":"Philosophy East and West","DOI":"10.2307/1399496","ISSN":"0031-8221","issue":"4","note":"publisher: University of Hawai'i Press","page":"567-581","source":"JSTOR","title":"The Conception of Ming in Early Confucian Thought","volume":"46","author":[{"family":"Slingerland","given":"Ted"}],"issued":{"date-parts":[["1996"]]}},"locator":"568"}],"schema":"https://github.com/citation-style-language/schema/raw/master/csl-citation.json"}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Slingerland, “The Conception of Ming in Early Confucian Thought,” 568.</w:t>
      </w:r>
      <w:r w:rsidRPr="00072DE6">
        <w:rPr>
          <w:rFonts w:ascii="Calibri" w:hAnsi="Calibri" w:cs="Calibri"/>
          <w:sz w:val="20"/>
          <w:szCs w:val="20"/>
        </w:rPr>
        <w:fldChar w:fldCharType="end"/>
      </w:r>
    </w:p>
  </w:footnote>
  <w:footnote w:id="16">
    <w:p w14:paraId="6DE1038E"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{"citationID":"MW0hRS0w","properties":{"formattedCitation":"Slingerland, 572\\uc0\\u8211{}73.","plainCitation":"Slingerland, 572–73.","noteIndex":5},"citationItems":[{"id":300,"uris":["http://zotero.org/users/4376360/items/6GDIX6UV"],"uri":["http://zotero.org/users/4376360/items/6GDIX6UV"],"itemData":{"id":300,"type":"article-journal","abstract":"Various interpretations of the role that ming (\"fate\") plays in early Confucian thought are examined. An interpretation is advanced which argues that early Confucians saw reality as being bifurcated into two distinct realms--\"inner\" and \"outer\"--and that ming refers to unpredictable forces in the outside realm, which are beyond the bounds of proper human endeavor. The vagaries of ming are not the concern of the gentleman, whose efforts and worries are to be focused on the cultivation of the self: the inner realm where \"seeking helps one to get it.\" It is argued that a sense of \"interiority\" is present in early Confucianism, and an attempt is made to distinguish the world-view of Confucius and Mencius from that of later Neo-Confucian interpreters.","archive":"JSTOR","container-title":"Philosophy East and West","DOI":"10.2307/1399496","ISSN":"0031-8221","issue":"4","note":"publisher: University of Hawai'i Press","page":"567-581","source":"JSTOR","title":"The Conception of Ming in Early Confucian Thought","volume":"46","author":[{"family":"Slingerland","given":"Ted"}],"issued":{"date-parts":[["1996"]]}},"locator":"572-3"}],"schema":"https://github.com/citation-style-language/schema/raw/master/csl-citation.json"}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Slingerland, 572–73.</w:t>
      </w:r>
      <w:r w:rsidRPr="00072DE6">
        <w:rPr>
          <w:rFonts w:ascii="Calibri" w:hAnsi="Calibri" w:cs="Calibri"/>
          <w:sz w:val="20"/>
          <w:szCs w:val="20"/>
        </w:rPr>
        <w:fldChar w:fldCharType="end"/>
      </w:r>
    </w:p>
  </w:footnote>
  <w:footnote w:id="17">
    <w:p w14:paraId="6C524323"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{"citationID":"KQ1bvq2J","properties":{"formattedCitation":"Yu, {\\i{}The Ethics of Confucius and Aristotle}, 186\\uc0\\u8211{}87.","plainCitation":"Yu, The Ethics of Confucius and Aristotle, 186–87.","noteIndex":6},"citationItems":[{"id":251,"uris":["http://zotero.org/users/4376360/items/DE7R4IBU"],"uri":["http://zotero.org/users/4376360/items/DE7R4IBU"],"itemData":{"id":251,"type":"book","collection-number":"7","collection-title":"Routledge studies in ethics and moral theory","event-place":"New York","ISBN":"978-0-415-80305-2","language":"eng","note":"OCLC: 610685669","number-of-pages":"276","publisher":"Routledge","publisher-place":"New York","source":"Gemeinsamer Bibliotheksverbund ISBN","title":"The ethics of Confucius and Aristotle: mirrors of virtue","title-short":"The ethics of Confucius and Aristotle","author":[{"family":"Yu","given":"Jiyuan"}],"issued":{"date-parts":[["2007"]]}},"locator":"186-7"}],"schema":"https://github.com/citation-style-language/schema/raw/master/csl-citation.json"}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Yu, </w:t>
      </w:r>
      <w:r w:rsidRPr="00072DE6">
        <w:rPr>
          <w:rFonts w:ascii="Calibri" w:hAnsi="Calibri" w:cs="Calibri"/>
          <w:i/>
          <w:iCs/>
          <w:sz w:val="20"/>
          <w:szCs w:val="20"/>
        </w:rPr>
        <w:t>The Ethics of Confucius and Aristotle</w:t>
      </w:r>
      <w:r w:rsidRPr="00072DE6">
        <w:rPr>
          <w:rFonts w:ascii="Calibri" w:hAnsi="Calibri" w:cs="Calibri"/>
          <w:sz w:val="20"/>
          <w:szCs w:val="20"/>
        </w:rPr>
        <w:t>, 186–87.</w:t>
      </w:r>
      <w:r w:rsidRPr="00072DE6">
        <w:rPr>
          <w:rFonts w:ascii="Calibri" w:hAnsi="Calibri" w:cs="Calibri"/>
          <w:sz w:val="20"/>
          <w:szCs w:val="20"/>
        </w:rPr>
        <w:fldChar w:fldCharType="end"/>
      </w:r>
    </w:p>
  </w:footnote>
  <w:footnote w:id="18">
    <w:p w14:paraId="2AE68CED"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{"citationID":"d0H8s5gF","properties":{"formattedCitation":"Yu, 187.","plainCitation":"Yu, 187.","noteIndex":7},"citationItems":[{"id":251,"uris":["http://zotero.org/users/4376360/items/DE7R4IBU"],"uri":["http://zotero.org/users/4376360/items/DE7R4IBU"],"itemData":{"id":251,"type":"book","collection-number":"7","collection-title":"Routledge studies in ethics and moral theory","event-place":"New York","ISBN":"978-0-415-80305-2","language":"eng","note":"OCLC: 610685669","number-of-pages":"276","publisher":"Routledge","publisher-place":"New York","source":"Gemeinsamer Bibliotheksverbund ISBN","title":"The ethics of Confucius and Aristotle: mirrors of virtue","title-short":"The ethics of Confucius and Aristotle","author":[{"family":"Yu","given":"Jiyuan"}],"issued":{"date-parts":[["2007"]]}},"locator":"187"}],"schema":"https://github.com/citation-style-language/schema/raw/master/csl-citation.json"}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Yu, 187.</w:t>
      </w:r>
      <w:r w:rsidRPr="00072DE6">
        <w:rPr>
          <w:rFonts w:ascii="Calibri" w:hAnsi="Calibri" w:cs="Calibri"/>
          <w:sz w:val="20"/>
          <w:szCs w:val="20"/>
        </w:rPr>
        <w:fldChar w:fldCharType="end"/>
      </w:r>
    </w:p>
  </w:footnote>
  <w:footnote w:id="19">
    <w:p w14:paraId="69B939A2"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{"citationID":"JxKe4kOW","properties":{"formattedCitation":"Yao, \\uc0\\u8220{}Joy, Wisdom and Virtue\\uc0\\u8212{}The Confucian Paradigm of Good Life,\\uc0\\u8221{} 229.","plainCitation":"Yao, “Joy, Wisdom and Virtue—The Confucian Paradigm of Good Life,” 229.","noteIndex":8},"citationItems":[{"id":977,"uris":["http://zotero.org/users/4376360/items/JI7EJY79"],"uri":["http://zotero.org/users/4376360/items/JI7EJY79"],"itemData":{"id":977,"type":"article-journal","abstract":"This paper is intended to examine the ethical paradigm of the good life constructed in the early Confucian texts, in contrast with the clear tendency to the rational paradigm as ascribed in the ancient Greek philosophy. To fully appreciate the Confucian paradigm, we will investigate how joy becomes the central concern for early Confucians and what categories it is classified through discourses on wisdom and virtue. We will argue that joy, wisdom and virtue underlie the theme of learning to be human and is both the necessary ingredient and the consequence of the good life in early Confucianism.","container-title":"Journal of Chinese Philosophy","DOI":"10.1111/1540-6253.12358","ISSN":"1540-6253","issue":"3-4","language":"en","note":"_eprint: https://onlinelibrary.wiley.com/doi/pdf/10.1111/1540-6253.12358","page":"222-232","source":"Wiley Online Library","title":"Joy, Wisdom and Virtue—The Confucian Paradigm of Good Life","volume":"45","author":[{"family":"Yao","given":"Xingzhong"}],"issued":{"date-parts":[["2018"]]}},"locator":"229"}],"schema":"https://github.com/citation-style-language/schema/raw/master/csl-citation.json"}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Yao, “Joy, Wisdom and Virtue—The Confucian Paradigm of Good Life,” 229.</w:t>
      </w:r>
      <w:r w:rsidRPr="00072DE6">
        <w:rPr>
          <w:rFonts w:ascii="Calibri" w:hAnsi="Calibri" w:cs="Calibri"/>
          <w:sz w:val="20"/>
          <w:szCs w:val="20"/>
        </w:rPr>
        <w:fldChar w:fldCharType="end"/>
      </w:r>
    </w:p>
  </w:footnote>
  <w:footnote w:id="20">
    <w:p w14:paraId="01E4FE61"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{"citationID":"gscia0V3","properties":{"formattedCitation":"Lo, \\uc0\\u8220{}Confucius and His Community,\\uc0\\u8221{} 60.","plainCitation":"Lo, “Confucius and His Community,” 60.","noteIndex":9},"citationItems":[{"id":292,"uris":["http://zotero.org/users/4376360/items/3UIYSK8J"],"uri":["http://zotero.org/users/4376360/items/3UIYSK8J"],"itemData":{"id":292,"type":"chapter","container-title":"Dao Companion to the Analects","event-place":"Dordrecht","ISBN":"978-94-007-7112-3","language":"en","note":"DOI: 10.1007/978-94-007-7113-0_4","page":"55-79","publisher":"Springer Netherlands","publisher-place":"Dordrecht","source":"CrossRef","title":"Confucius and His Community","URL":"http://link.springer.com/10.1007/978-94-007-7113-0_4","author":[{"family":"Lo","given":"Yuet Keung"}],"editor":[{"family":"Olberding","given":"Amy"}],"accessed":{"date-parts":[["2017",12,26]]},"issued":{"date-parts":[["2014"]]}},"locator":"60"}],"schema":"https://github.com/citation-style-language/schema/raw/master/csl-citation.json"}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Lo, “Confucius and His Community,” 60.</w:t>
      </w:r>
      <w:r w:rsidRPr="00072DE6">
        <w:rPr>
          <w:rFonts w:ascii="Calibri" w:hAnsi="Calibri" w:cs="Calibri"/>
          <w:sz w:val="20"/>
          <w:szCs w:val="20"/>
        </w:rPr>
        <w:fldChar w:fldCharType="end"/>
      </w:r>
    </w:p>
  </w:footnote>
  <w:footnote w:id="21">
    <w:p w14:paraId="48FF92C0"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w:t>
      </w:r>
    </w:p>
  </w:footnote>
  <w:footnote w:id="22">
    <w:p w14:paraId="0FAD9C7B"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{"citationID":"YXlaO1GB","properties":{"formattedCitation":"Shude \\uc0\\u27193{}\\uc0\\u24503{} Cheng \\uc0\\u31243{}, {\\i{}Lun Yu Ji Shi \\uc0\\u35542{}\\uc0\\u35486{}\\uc0\\u38598{}\\uc0\\u37323{}}, ed. Junying \\uc0\\u20426{}\\uc0\\u33521{} Cheng \\uc0\\u31243{} and Jianyuan \\uc0\\u35211{}\\uc0\\u20803{} Jiang \\uc0\\u34083{}, Xin Bian Zhu Zi Ji Cheng (Beijing \\uc0\\u21271{}\\uc0\\u20140{}: Zhonghua shu ju\\uc0\\u8239{}: Xin hua shu dian Beijing fa xing suo fa xing \\uc0\\u26032{}\\uc0\\u33775{}\\uc0\\u26360{}\\uc0\\u24215{}\\uc0\\u65306{}\\uc0\\u21271{}\\uc0\\u20140{}\\uc0\\u30332{}\\uc0\\u34892{}\\uc0\\u25152{}\\uc0\\u30332{}\\uc0\\u34892{}, 1990), 440; Edward G. Slingerland, trans., {\\i{}Confucius Analects: With Selection from Traditional Commentaries} (Indianapolis, IN: Hackett Pub. Co, 2003), 64\\uc0\\u8211{}65.","plainCitation":"Shude </w:instrText>
      </w:r>
      <w:r w:rsidRPr="00072DE6">
        <w:rPr>
          <w:rFonts w:ascii="Calibri" w:eastAsia="MS Mincho" w:hAnsi="Calibri" w:cs="Calibri"/>
          <w:sz w:val="20"/>
          <w:szCs w:val="20"/>
        </w:rPr>
        <w:instrText>樹德</w:instrText>
      </w:r>
      <w:r w:rsidRPr="00072DE6">
        <w:rPr>
          <w:rFonts w:ascii="Calibri" w:hAnsi="Calibri" w:cs="Calibri"/>
          <w:sz w:val="20"/>
          <w:szCs w:val="20"/>
        </w:rPr>
        <w:instrText xml:space="preserve"> 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 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 ed. Junying </w:instrText>
      </w:r>
      <w:r w:rsidRPr="00072DE6">
        <w:rPr>
          <w:rFonts w:ascii="Calibri" w:eastAsia="MS Mincho" w:hAnsi="Calibri" w:cs="Calibri"/>
          <w:sz w:val="20"/>
          <w:szCs w:val="20"/>
        </w:rPr>
        <w:instrText>俊英</w:instrText>
      </w:r>
      <w:r w:rsidRPr="00072DE6">
        <w:rPr>
          <w:rFonts w:ascii="Calibri" w:hAnsi="Calibri" w:cs="Calibri"/>
          <w:sz w:val="20"/>
          <w:szCs w:val="20"/>
        </w:rPr>
        <w:instrText xml:space="preserve"> 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 and Jianyuan </w:instrText>
      </w:r>
      <w:r w:rsidRPr="00072DE6">
        <w:rPr>
          <w:rFonts w:ascii="Calibri" w:eastAsia="MS Mincho" w:hAnsi="Calibri" w:cs="Calibri"/>
          <w:sz w:val="20"/>
          <w:szCs w:val="20"/>
        </w:rPr>
        <w:instrText>見元</w:instrText>
      </w:r>
      <w:r w:rsidRPr="00072DE6">
        <w:rPr>
          <w:rFonts w:ascii="Calibri" w:hAnsi="Calibri" w:cs="Calibri"/>
          <w:sz w:val="20"/>
          <w:szCs w:val="20"/>
        </w:rPr>
        <w:instrText xml:space="preserve"> Jiang </w:instrText>
      </w:r>
      <w:r w:rsidRPr="00072DE6">
        <w:rPr>
          <w:rFonts w:ascii="Calibri" w:eastAsia="MS Mincho" w:hAnsi="Calibri" w:cs="Calibri"/>
          <w:sz w:val="20"/>
          <w:szCs w:val="20"/>
        </w:rPr>
        <w:instrText>蔣</w:instrText>
      </w:r>
      <w:r w:rsidRPr="00072DE6">
        <w:rPr>
          <w:rFonts w:ascii="Calibri" w:hAnsi="Calibri" w:cs="Calibri"/>
          <w:sz w:val="20"/>
          <w:szCs w:val="20"/>
        </w:rPr>
        <w:instrText xml:space="preserve">, Xin Bian Zhu Zi Ji Cheng (Beijing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 Zhonghua shu ju : Xin hua shu dian Beijing fa xing suo fa xing </w:instrText>
      </w:r>
      <w:r w:rsidRPr="00072DE6">
        <w:rPr>
          <w:rFonts w:ascii="Calibri" w:eastAsia="MS Mincho" w:hAnsi="Calibri" w:cs="Calibri"/>
          <w:sz w:val="20"/>
          <w:szCs w:val="20"/>
        </w:rPr>
        <w:instrText>新華書店：北京發行所發行</w:instrText>
      </w:r>
      <w:r w:rsidRPr="00072DE6">
        <w:rPr>
          <w:rFonts w:ascii="Calibri" w:hAnsi="Calibri" w:cs="Calibri"/>
          <w:sz w:val="20"/>
          <w:szCs w:val="20"/>
        </w:rPr>
        <w:instrText xml:space="preserve">, 1990), 440; Edward G. Slingerland, trans., Confucius Analects: With Selection from Traditional Commentaries (Indianapolis, IN: Hackett Pub. Co, 2003), 64–65.","noteIndex":11},"citationItems":[{"id":142,"uris":["http://zotero.org/users/4376360/items/SKMCGKKX"],"uri":["http://zotero.org/users/4376360/items/SKMCGKKX"],"itemData":{"id":142,"type":"book","call-number":"PL2471.Z6 C47 1990","collection-title":"Xin bian zhu zi ji cheng","event-place":"Beijing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","ISBN":"978-7-101-00369-7","number-of-pages":"4","publisher":"Zhonghua shu ju : Xin hua shu dian Beijing fa xing suo fa xing </w:instrText>
      </w:r>
      <w:r w:rsidRPr="00072DE6">
        <w:rPr>
          <w:rFonts w:ascii="Calibri" w:eastAsia="MS Mincho" w:hAnsi="Calibri" w:cs="Calibri"/>
          <w:sz w:val="20"/>
          <w:szCs w:val="20"/>
        </w:rPr>
        <w:instrText>新華書店：北京發行所發行</w:instrText>
      </w:r>
      <w:r w:rsidRPr="00072DE6">
        <w:rPr>
          <w:rFonts w:ascii="Calibri" w:hAnsi="Calibri" w:cs="Calibri"/>
          <w:sz w:val="20"/>
          <w:szCs w:val="20"/>
        </w:rPr>
        <w:instrText xml:space="preserve">","publisher-place":"Beijing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","source":"Library of Congress ISBN","title":"Lun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","author":[{"family":"Cheng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","given":"Shude </w:instrText>
      </w:r>
      <w:r w:rsidRPr="00072DE6">
        <w:rPr>
          <w:rFonts w:ascii="Calibri" w:eastAsia="MS Mincho" w:hAnsi="Calibri" w:cs="Calibri"/>
          <w:sz w:val="20"/>
          <w:szCs w:val="20"/>
        </w:rPr>
        <w:instrText>樹德</w:instrText>
      </w:r>
      <w:r w:rsidRPr="00072DE6">
        <w:rPr>
          <w:rFonts w:ascii="Calibri" w:hAnsi="Calibri" w:cs="Calibri"/>
          <w:sz w:val="20"/>
          <w:szCs w:val="20"/>
        </w:rPr>
        <w:instrText xml:space="preserve">"}],"editor":[{"family":"Cheng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","given":"Junying </w:instrText>
      </w:r>
      <w:r w:rsidRPr="00072DE6">
        <w:rPr>
          <w:rFonts w:ascii="Calibri" w:eastAsia="MS Mincho" w:hAnsi="Calibri" w:cs="Calibri"/>
          <w:sz w:val="20"/>
          <w:szCs w:val="20"/>
        </w:rPr>
        <w:instrText>俊英</w:instrText>
      </w:r>
      <w:r w:rsidRPr="00072DE6">
        <w:rPr>
          <w:rFonts w:ascii="Calibri" w:hAnsi="Calibri" w:cs="Calibri"/>
          <w:sz w:val="20"/>
          <w:szCs w:val="20"/>
        </w:rPr>
        <w:instrText xml:space="preserve">"},{"family":"Jiang </w:instrText>
      </w:r>
      <w:r w:rsidRPr="00072DE6">
        <w:rPr>
          <w:rFonts w:ascii="Calibri" w:eastAsia="MS Mincho" w:hAnsi="Calibri" w:cs="Calibri"/>
          <w:sz w:val="20"/>
          <w:szCs w:val="20"/>
        </w:rPr>
        <w:instrText>蔣</w:instrText>
      </w:r>
      <w:r w:rsidRPr="00072DE6">
        <w:rPr>
          <w:rFonts w:ascii="Calibri" w:hAnsi="Calibri" w:cs="Calibri"/>
          <w:sz w:val="20"/>
          <w:szCs w:val="20"/>
        </w:rPr>
        <w:instrText xml:space="preserve">","given":"Jianyuan </w:instrText>
      </w:r>
      <w:r w:rsidRPr="00072DE6">
        <w:rPr>
          <w:rFonts w:ascii="Calibri" w:eastAsia="MS Mincho" w:hAnsi="Calibri" w:cs="Calibri"/>
          <w:sz w:val="20"/>
          <w:szCs w:val="20"/>
        </w:rPr>
        <w:instrText>見元</w:instrText>
      </w:r>
      <w:r w:rsidRPr="00072DE6">
        <w:rPr>
          <w:rFonts w:ascii="Calibri" w:hAnsi="Calibri" w:cs="Calibri"/>
          <w:sz w:val="20"/>
          <w:szCs w:val="20"/>
        </w:rPr>
        <w:instrText xml:space="preserve">"}],"issued":{"date-parts":[["1990"]]}},"locator":"440"},{"id":153,"uris":["http://zotero.org/users/4376360/items/LWZBIS8W"],"uri":["http://zotero.org/users/4376360/items/LWZBIS8W"],"itemData":{"id":153,"type":"book","call-number":"PL2478 .L8 2003","event-place":"Indianapolis, IN","ISBN":"978-0-87220-636-6","language":"eng","number-of-pages":"279","publisher":"Hackett Pub. Co","publisher-place":"Indianapolis, IN","source":"Library of Congress ISBN","title":"Confucius Analects: with Selection from Traditional Commentaries","title-short":"Confucius analects","translator":[{"family":"Slingerland","given":"Edward G."}],"issued":{"date-parts":[["2003"]]}},"locator":"64-65"}],"schema":"https://github.com/citation-style-language/schema/raw/master/csl-citation.json"}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Shude </w:t>
      </w:r>
      <w:r w:rsidRPr="00072DE6">
        <w:rPr>
          <w:rFonts w:ascii="Calibri" w:eastAsia="MS Mincho" w:hAnsi="Calibri" w:cs="Calibri"/>
          <w:sz w:val="20"/>
          <w:szCs w:val="20"/>
        </w:rPr>
        <w:t>樹德</w:t>
      </w:r>
      <w:r w:rsidRPr="00072DE6">
        <w:rPr>
          <w:rFonts w:ascii="Calibri" w:hAnsi="Calibri" w:cs="Calibri"/>
          <w:sz w:val="20"/>
          <w:szCs w:val="20"/>
        </w:rPr>
        <w:t xml:space="preserve"> Cheng </w:t>
      </w:r>
      <w:r w:rsidRPr="00072DE6">
        <w:rPr>
          <w:rFonts w:ascii="Calibri" w:eastAsia="MS Mincho" w:hAnsi="Calibri" w:cs="Calibri"/>
          <w:sz w:val="20"/>
          <w:szCs w:val="20"/>
        </w:rPr>
        <w:t>程</w:t>
      </w:r>
      <w:r w:rsidRPr="00072DE6">
        <w:rPr>
          <w:rFonts w:ascii="Calibri" w:hAnsi="Calibri" w:cs="Calibri"/>
          <w:sz w:val="20"/>
          <w:szCs w:val="20"/>
        </w:rPr>
        <w:t xml:space="preserve">, </w:t>
      </w:r>
      <w:r w:rsidRPr="00072DE6">
        <w:rPr>
          <w:rFonts w:ascii="Calibri" w:hAnsi="Calibri" w:cs="Calibri"/>
          <w:i/>
          <w:iCs/>
          <w:sz w:val="20"/>
          <w:szCs w:val="20"/>
        </w:rPr>
        <w:t xml:space="preserve">Lun Yu Ji Shi </w:t>
      </w:r>
      <w:r w:rsidRPr="00072DE6">
        <w:rPr>
          <w:rFonts w:ascii="Calibri" w:eastAsia="MS Mincho" w:hAnsi="Calibri" w:cs="Calibri"/>
          <w:i/>
          <w:iCs/>
          <w:sz w:val="20"/>
          <w:szCs w:val="20"/>
        </w:rPr>
        <w:t>論語集釋</w:t>
      </w:r>
      <w:r w:rsidRPr="00072DE6">
        <w:rPr>
          <w:rFonts w:ascii="Calibri" w:hAnsi="Calibri" w:cs="Calibri"/>
          <w:sz w:val="20"/>
          <w:szCs w:val="20"/>
        </w:rPr>
        <w:t xml:space="preserve">, ed. Junying </w:t>
      </w:r>
      <w:r w:rsidRPr="00072DE6">
        <w:rPr>
          <w:rFonts w:ascii="Calibri" w:eastAsia="MS Mincho" w:hAnsi="Calibri" w:cs="Calibri"/>
          <w:sz w:val="20"/>
          <w:szCs w:val="20"/>
        </w:rPr>
        <w:t>俊英</w:t>
      </w:r>
      <w:r w:rsidRPr="00072DE6">
        <w:rPr>
          <w:rFonts w:ascii="Calibri" w:hAnsi="Calibri" w:cs="Calibri"/>
          <w:sz w:val="20"/>
          <w:szCs w:val="20"/>
        </w:rPr>
        <w:t xml:space="preserve"> Cheng </w:t>
      </w:r>
      <w:r w:rsidRPr="00072DE6">
        <w:rPr>
          <w:rFonts w:ascii="Calibri" w:eastAsia="MS Mincho" w:hAnsi="Calibri" w:cs="Calibri"/>
          <w:sz w:val="20"/>
          <w:szCs w:val="20"/>
        </w:rPr>
        <w:t>程</w:t>
      </w:r>
      <w:r w:rsidRPr="00072DE6">
        <w:rPr>
          <w:rFonts w:ascii="Calibri" w:hAnsi="Calibri" w:cs="Calibri"/>
          <w:sz w:val="20"/>
          <w:szCs w:val="20"/>
        </w:rPr>
        <w:t xml:space="preserve"> and Jianyuan </w:t>
      </w:r>
      <w:r w:rsidRPr="00072DE6">
        <w:rPr>
          <w:rFonts w:ascii="Calibri" w:eastAsia="MS Mincho" w:hAnsi="Calibri" w:cs="Calibri"/>
          <w:sz w:val="20"/>
          <w:szCs w:val="20"/>
        </w:rPr>
        <w:t>見元</w:t>
      </w:r>
      <w:r w:rsidRPr="00072DE6">
        <w:rPr>
          <w:rFonts w:ascii="Calibri" w:hAnsi="Calibri" w:cs="Calibri"/>
          <w:sz w:val="20"/>
          <w:szCs w:val="20"/>
        </w:rPr>
        <w:t xml:space="preserve"> Jiang </w:t>
      </w:r>
      <w:r w:rsidRPr="00072DE6">
        <w:rPr>
          <w:rFonts w:ascii="Calibri" w:eastAsia="MS Mincho" w:hAnsi="Calibri" w:cs="Calibri"/>
          <w:sz w:val="20"/>
          <w:szCs w:val="20"/>
        </w:rPr>
        <w:t>蔣</w:t>
      </w:r>
      <w:r w:rsidRPr="00072DE6">
        <w:rPr>
          <w:rFonts w:ascii="Calibri" w:hAnsi="Calibri" w:cs="Calibri"/>
          <w:sz w:val="20"/>
          <w:szCs w:val="20"/>
        </w:rPr>
        <w:t xml:space="preserve">, Xin Bian Zhu Zi Ji Cheng (Beijing </w:t>
      </w:r>
      <w:r w:rsidRPr="00072DE6">
        <w:rPr>
          <w:rFonts w:ascii="Calibri" w:eastAsia="MS Mincho" w:hAnsi="Calibri" w:cs="Calibri"/>
          <w:sz w:val="20"/>
          <w:szCs w:val="20"/>
        </w:rPr>
        <w:t>北京</w:t>
      </w:r>
      <w:r w:rsidRPr="00072DE6">
        <w:rPr>
          <w:rFonts w:ascii="Calibri" w:hAnsi="Calibri" w:cs="Calibri"/>
          <w:sz w:val="20"/>
          <w:szCs w:val="20"/>
        </w:rPr>
        <w:t xml:space="preserve">: Zhonghua shu ju : Xin hua shu dian Beijing fa xing suo fa xing </w:t>
      </w:r>
      <w:r w:rsidRPr="00072DE6">
        <w:rPr>
          <w:rFonts w:ascii="Calibri" w:eastAsia="MS Mincho" w:hAnsi="Calibri" w:cs="Calibri"/>
          <w:sz w:val="20"/>
          <w:szCs w:val="20"/>
        </w:rPr>
        <w:t>新華書店：北京發行所發行</w:t>
      </w:r>
      <w:r w:rsidRPr="00072DE6">
        <w:rPr>
          <w:rFonts w:ascii="Calibri" w:hAnsi="Calibri" w:cs="Calibri"/>
          <w:sz w:val="20"/>
          <w:szCs w:val="20"/>
        </w:rPr>
        <w:t xml:space="preserve">, 1990), 440; Edward G. Slingerland, trans., </w:t>
      </w:r>
      <w:r w:rsidRPr="00072DE6">
        <w:rPr>
          <w:rFonts w:ascii="Calibri" w:hAnsi="Calibri" w:cs="Calibri"/>
          <w:i/>
          <w:iCs/>
          <w:sz w:val="20"/>
          <w:szCs w:val="20"/>
        </w:rPr>
        <w:t>Confucius Analects: With Selection from Traditional Commentaries</w:t>
      </w:r>
      <w:r w:rsidRPr="00072DE6">
        <w:rPr>
          <w:rFonts w:ascii="Calibri" w:hAnsi="Calibri" w:cs="Calibri"/>
          <w:sz w:val="20"/>
          <w:szCs w:val="20"/>
        </w:rPr>
        <w:t xml:space="preserve"> (Indianapolis, IN: Hackett Pub. Co, 2003), 64–65.</w:t>
      </w:r>
      <w:r w:rsidRPr="00072DE6">
        <w:rPr>
          <w:rFonts w:ascii="Calibri" w:hAnsi="Calibri" w:cs="Calibri"/>
          <w:sz w:val="20"/>
          <w:szCs w:val="20"/>
        </w:rPr>
        <w:fldChar w:fldCharType="end"/>
      </w:r>
    </w:p>
  </w:footnote>
  <w:footnote w:id="23">
    <w:p w14:paraId="1258E52A"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{"citationID":"c6wA19Yo","properties":{"formattedCitation":"Zongsan \\uc0\\u23447{}\\uc0\\u19977{} Mou \\uc0\\u29279{}, {\\i{}Zhong guo zhe xue de te zhi \\uc0\\u20013{}\\uc0\\u22283{}\\uc0\\u21746{}\\uc0\\u23416{}\\uc0\\u30340{}\\uc0\\u29305{}\\uc0\\u36074{}}, Zai ban, Xin ya yan jiu suo cong shu (Tai bei: Tai wan xue sheng shu ju, 1994), 12.","plainCitation":"Zongsan </w:instrText>
      </w:r>
      <w:r w:rsidRPr="00072DE6">
        <w:rPr>
          <w:rFonts w:ascii="Calibri" w:eastAsia="MS Mincho" w:hAnsi="Calibri" w:cs="Calibri"/>
          <w:sz w:val="20"/>
          <w:szCs w:val="20"/>
        </w:rPr>
        <w:instrText>宗三</w:instrText>
      </w:r>
      <w:r w:rsidRPr="00072DE6">
        <w:rPr>
          <w:rFonts w:ascii="Calibri" w:hAnsi="Calibri" w:cs="Calibri"/>
          <w:sz w:val="20"/>
          <w:szCs w:val="20"/>
        </w:rPr>
        <w:instrText xml:space="preserve"> Mou </w:instrText>
      </w:r>
      <w:r w:rsidRPr="00072DE6">
        <w:rPr>
          <w:rFonts w:ascii="Calibri" w:eastAsia="MS Mincho" w:hAnsi="Calibri" w:cs="Calibri"/>
          <w:sz w:val="20"/>
          <w:szCs w:val="20"/>
        </w:rPr>
        <w:instrText>牟</w:instrText>
      </w:r>
      <w:r w:rsidRPr="00072DE6">
        <w:rPr>
          <w:rFonts w:ascii="Calibri" w:hAnsi="Calibri" w:cs="Calibri"/>
          <w:sz w:val="20"/>
          <w:szCs w:val="20"/>
        </w:rPr>
        <w:instrText xml:space="preserve">, Zhong guo zhe xue de te zhi </w:instrText>
      </w:r>
      <w:r w:rsidRPr="00072DE6">
        <w:rPr>
          <w:rFonts w:ascii="Calibri" w:eastAsia="MS Mincho" w:hAnsi="Calibri" w:cs="Calibri"/>
          <w:sz w:val="20"/>
          <w:szCs w:val="20"/>
        </w:rPr>
        <w:instrText>中國哲學的特質</w:instrText>
      </w:r>
      <w:r w:rsidRPr="00072DE6">
        <w:rPr>
          <w:rFonts w:ascii="Calibri" w:hAnsi="Calibri" w:cs="Calibri"/>
          <w:sz w:val="20"/>
          <w:szCs w:val="20"/>
        </w:rPr>
        <w:instrText xml:space="preserve">, Zai ban, Xin ya yan jiu suo cong shu (Tai bei: Tai wan xue sheng shu ju, 1994), 12.","noteIndex":12},"citationItems":[{"id":1083,"uris":["http://zotero.org/users/4376360/items/JM28MWIT"],"uri":["http://zotero.org/users/4376360/items/JM28MWIT"],"itemData":{"id":1083,"type":"book","collection-title":"Xin ya yan jiu suo cong shu","edition":"Zai ban","event-place":"Tai bei","ISBN":"978-957-15-0141-3","language":"chi","note":"OCLC: 863073010","number-of-pages":"1","publisher":"Tai wan xue sheng shu ju","publisher-place":"Tai bei","source":"Gemeinsamer Bibliotheksverbund ISBN","title":"Zhong guo zhe xue de te zhi </w:instrText>
      </w:r>
      <w:r w:rsidRPr="00072DE6">
        <w:rPr>
          <w:rFonts w:ascii="Calibri" w:eastAsia="MS Mincho" w:hAnsi="Calibri" w:cs="Calibri"/>
          <w:sz w:val="20"/>
          <w:szCs w:val="20"/>
        </w:rPr>
        <w:instrText>中國哲學的特質</w:instrText>
      </w:r>
      <w:r w:rsidRPr="00072DE6">
        <w:rPr>
          <w:rFonts w:ascii="Calibri" w:hAnsi="Calibri" w:cs="Calibri"/>
          <w:sz w:val="20"/>
          <w:szCs w:val="20"/>
        </w:rPr>
        <w:instrText xml:space="preserve">","author":[{"family":"Mou </w:instrText>
      </w:r>
      <w:r w:rsidRPr="00072DE6">
        <w:rPr>
          <w:rFonts w:ascii="Calibri" w:eastAsia="MS Mincho" w:hAnsi="Calibri" w:cs="Calibri"/>
          <w:sz w:val="20"/>
          <w:szCs w:val="20"/>
        </w:rPr>
        <w:instrText>牟</w:instrText>
      </w:r>
      <w:r w:rsidRPr="00072DE6">
        <w:rPr>
          <w:rFonts w:ascii="Calibri" w:hAnsi="Calibri" w:cs="Calibri"/>
          <w:sz w:val="20"/>
          <w:szCs w:val="20"/>
        </w:rPr>
        <w:instrText xml:space="preserve">","given":"Zongsan </w:instrText>
      </w:r>
      <w:r w:rsidRPr="00072DE6">
        <w:rPr>
          <w:rFonts w:ascii="Calibri" w:eastAsia="MS Mincho" w:hAnsi="Calibri" w:cs="Calibri"/>
          <w:sz w:val="20"/>
          <w:szCs w:val="20"/>
        </w:rPr>
        <w:instrText>宗三</w:instrText>
      </w:r>
      <w:r w:rsidRPr="00072DE6">
        <w:rPr>
          <w:rFonts w:ascii="Calibri" w:hAnsi="Calibri" w:cs="Calibri"/>
          <w:sz w:val="20"/>
          <w:szCs w:val="20"/>
        </w:rPr>
        <w:instrText xml:space="preserve">"}],"issued":{"date-parts":[["1994"]]}},"locator":"12"}],"schema":"https://github.com/citation-style-language/schema/raw/master/csl-citation.json"}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Zongsan </w:t>
      </w:r>
      <w:r w:rsidRPr="00072DE6">
        <w:rPr>
          <w:rFonts w:ascii="Calibri" w:eastAsia="MS Mincho" w:hAnsi="Calibri" w:cs="Calibri"/>
          <w:sz w:val="20"/>
          <w:szCs w:val="20"/>
        </w:rPr>
        <w:t>宗三</w:t>
      </w:r>
      <w:r w:rsidRPr="00072DE6">
        <w:rPr>
          <w:rFonts w:ascii="Calibri" w:hAnsi="Calibri" w:cs="Calibri"/>
          <w:sz w:val="20"/>
          <w:szCs w:val="20"/>
        </w:rPr>
        <w:t xml:space="preserve"> Mou </w:t>
      </w:r>
      <w:r w:rsidRPr="00072DE6">
        <w:rPr>
          <w:rFonts w:ascii="Calibri" w:eastAsia="MS Mincho" w:hAnsi="Calibri" w:cs="Calibri"/>
          <w:sz w:val="20"/>
          <w:szCs w:val="20"/>
        </w:rPr>
        <w:t>牟</w:t>
      </w:r>
      <w:r w:rsidRPr="00072DE6">
        <w:rPr>
          <w:rFonts w:ascii="Calibri" w:hAnsi="Calibri" w:cs="Calibri"/>
          <w:sz w:val="20"/>
          <w:szCs w:val="20"/>
        </w:rPr>
        <w:t xml:space="preserve">, </w:t>
      </w:r>
      <w:r w:rsidRPr="00072DE6">
        <w:rPr>
          <w:rFonts w:ascii="Calibri" w:hAnsi="Calibri" w:cs="Calibri"/>
          <w:i/>
          <w:iCs/>
          <w:sz w:val="20"/>
          <w:szCs w:val="20"/>
        </w:rPr>
        <w:t xml:space="preserve">Zhong guo zhe xue de te zhi </w:t>
      </w:r>
      <w:r w:rsidRPr="00072DE6">
        <w:rPr>
          <w:rFonts w:ascii="Calibri" w:eastAsia="MS Mincho" w:hAnsi="Calibri" w:cs="Calibri"/>
          <w:i/>
          <w:iCs/>
          <w:sz w:val="20"/>
          <w:szCs w:val="20"/>
        </w:rPr>
        <w:t>中國哲學的特質</w:t>
      </w:r>
      <w:r w:rsidRPr="00072DE6">
        <w:rPr>
          <w:rFonts w:ascii="Calibri" w:hAnsi="Calibri" w:cs="Calibri"/>
          <w:sz w:val="20"/>
          <w:szCs w:val="20"/>
        </w:rPr>
        <w:t>, Zai ban, Xin ya yan jiu suo cong shu (Tai bei: Tai wan xue sheng shu ju, 1994), 12.</w:t>
      </w:r>
      <w:r w:rsidRPr="00072DE6">
        <w:rPr>
          <w:rFonts w:ascii="Calibri" w:hAnsi="Calibri" w:cs="Calibri"/>
          <w:sz w:val="20"/>
          <w:szCs w:val="20"/>
        </w:rPr>
        <w:fldChar w:fldCharType="end"/>
      </w:r>
    </w:p>
  </w:footnote>
  <w:footnote w:id="24">
    <w:p w14:paraId="775C44DC"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{"citationID":"vid1jbPv","properties":{"formattedCitation":"Kwong-Loi Shun, \\uc0\\u8220{}Le in the Analects,\\uc0\\u8221{} in {\\i{}A Concise Companion to Confucius}, ed. Paul Rakita Goldin, 2017, 133-147. It is worth emphasizing that Shun\\uc0\\u8217{}s paper does not intend to defend the minor view or argue against the standard view. In fact, his paper focuses on joy, rather than worry. However, his keen observation is useful and in my opinion, makes a decisive case for the minor view regarding worry. See discussion below.","plainCitation":"Kwong-Loi Shun, “Le in the Analects,” in A Concise Companion to Confucius, ed. Paul Rakita Goldin, 2017, 133-147. It is worth emphasizing that Shun’s paper does not intend to defend the minor view or argue against the standard view. In fact, his paper focuses on joy, rather than worry. However, his keen observation is useful and in my opinion, makes a decisive case for the minor view regarding worry. See discussion below.","noteIndex":13},"citationItems":[{"id":535,"uris":["http://zotero.org/users/4376360/items/TF8KV2MZ"],"uri":["http://zotero.org/users/4376360/items/TF8KV2MZ"],"itemData":{"id":535,"type":"chapter","container-title":"A Concise Companion to Confucius","ISBN":"978-1-118-78387-0","title":"Le in the Analects","author":[{"family":"Shun","given":"Kwong-Loi"}],"editor":[{"family":"Goldin","given":"Paul Rakita"}],"issued":{"date-parts":[["2017"]]}},"locator":"133-147.","suffix":"It is worth emphasizing that Shun’s paper does not intend to defend the minor view or argue against the standard view. In fact, his paper focuses on joy, rather than worry. However, his keen observation is useful and in my opinion, makes a decisive case for the minor view regarding worry. See discussion below."}],"schema":"https://github.com/citation-style-language/schema/raw/master/csl-citation.json"}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Kwong-Loi Shun, “Le in the Analects,” in </w:t>
      </w:r>
      <w:r w:rsidRPr="00072DE6">
        <w:rPr>
          <w:rFonts w:ascii="Calibri" w:hAnsi="Calibri" w:cs="Calibri"/>
          <w:i/>
          <w:iCs/>
          <w:sz w:val="20"/>
          <w:szCs w:val="20"/>
        </w:rPr>
        <w:t>A Concise Companion to Confucius</w:t>
      </w:r>
      <w:r w:rsidRPr="00072DE6">
        <w:rPr>
          <w:rFonts w:ascii="Calibri" w:hAnsi="Calibri" w:cs="Calibri"/>
          <w:sz w:val="20"/>
          <w:szCs w:val="20"/>
        </w:rPr>
        <w:t>, ed. Paul Rakita Goldin, 2017, 133-147. It is worth emphasizing that Shun’s paper does not intend to defend the minor view or argue against the standard view. In fact, his paper focuses on joy, rather than worry. However, his keen observation is useful and in my opinion, makes a decisive case for the minor view regarding worry. See discussion below.</w:t>
      </w:r>
      <w:r w:rsidRPr="00072DE6">
        <w:rPr>
          <w:rFonts w:ascii="Calibri" w:hAnsi="Calibri" w:cs="Calibri"/>
          <w:sz w:val="20"/>
          <w:szCs w:val="20"/>
        </w:rPr>
        <w:fldChar w:fldCharType="end"/>
      </w:r>
    </w:p>
  </w:footnote>
  <w:footnote w:id="25">
    <w:p w14:paraId="29CAAC80"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{"citationID":"6Lr619LS","properties":{"formattedCitation":"Shun, 141. Shun\\uc0\\u8217{}s position on these matters is similar but less strong than, say, Slingerland. While agreeing that these matters should not worry leaners in the sense of having little value, Shun nonetheless thinks that not all these are utterly irrelevant, especially concerns for basic survival needs. .","plainCitation":"Shun, 141. Shun’s position on these matters is similar but less strong than, say, Slingerland. While agreeing that these matters should not worry leaners in the sense of having little value, Shun nonetheless thinks that not all these are utterly irrelevant, especially concerns for basic survival needs. .","noteIndex":14},"citationItems":[{"id":535,"uris":["http://zotero.org/users/4376360/items/TF8KV2MZ"],"uri":["http://zotero.org/users/4376360/items/TF8KV2MZ"],"itemData":{"id":535,"type":"chapter","container-title":"A Concise Companion to Confucius","ISBN":"978-1-118-78387-0","title":"Le in the Analects","author":[{"family":"Shun","given":"Kwong-Loi"}],"editor":[{"family":"Goldin","given":"Paul Rakita"}],"issued":{"date-parts":[["2017"]]}},"locator":"141.","suffix":"Shun’s position on these matters is similar but less strong than, say, Slingerland. While agreeing that these matters should not worry leaners in the sense of having little value, Shun nonetheless thinks that not all these are utterly irrelevant, especially concerns for basic survival needs. "}],"schema":"https://github.com/citation-style-language/schema/raw/master/csl-citation.json"}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Shun, 145. Shun’s position on these matters is similar but less strong than, say, Slingerland. While agreeing that these matters should not worry leaners in the sense of having little value, Shun nonetheless thinks that not all these are utterly irrelevant, especially concerns for basic survival needs. .</w:t>
      </w:r>
      <w:r w:rsidRPr="00072DE6">
        <w:rPr>
          <w:rFonts w:ascii="Calibri" w:hAnsi="Calibri" w:cs="Calibri"/>
          <w:sz w:val="20"/>
          <w:szCs w:val="20"/>
        </w:rPr>
        <w:fldChar w:fldCharType="end"/>
      </w:r>
    </w:p>
  </w:footnote>
  <w:footnote w:id="26">
    <w:p w14:paraId="5F4878A6"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w:t>
      </w:r>
    </w:p>
  </w:footnote>
  <w:footnote w:id="27">
    <w:p w14:paraId="7A496373" w14:textId="77777777" w:rsidR="00830739" w:rsidRPr="00072DE6" w:rsidRDefault="00830739" w:rsidP="00830739">
      <w:pPr>
        <w:pStyle w:val="FootnoteText"/>
        <w:rPr>
          <w:rFonts w:ascii="Calibri" w:hAnsi="Calibri" w:cs="Calibri"/>
          <w:color w:val="FF0000"/>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w:t>
      </w:r>
    </w:p>
  </w:footnote>
  <w:footnote w:id="28">
    <w:p w14:paraId="6C79293D"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It is worth pointing out that scholars such as Slingerland and Yu do recognize what Shun identifies as the idealized kinds of worries. See discussion below. </w:t>
      </w:r>
    </w:p>
  </w:footnote>
  <w:footnote w:id="29">
    <w:p w14:paraId="7F2FE9BD"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{"citationID":"Pb5TJqu5","properties":{"formattedCitation":"Slingerland, \\uc0\\u8220{}The Conception of Ming in Early Confucian Thought,\\uc0\\u8221{} 572; Yu, {\\i{}The Ethics of Confucius and Aristotle}, 187\\uc0\\u8211{}88.","plainCitation":"Slingerland, “The Conception of Ming in Early Confucian Thought,” 572; Yu, The Ethics of Confucius and Aristotle, 187–88.","noteIndex":18},"citationItems":[{"id":300,"uris":["http://zotero.org/users/4376360/items/6GDIX6UV"],"uri":["http://zotero.org/users/4376360/items/6GDIX6UV"],"itemData":{"id":300,"type":"article-journal","abstract":"Various interpretations of the role that ming (\"fate\") plays in early Confucian thought are examined. An interpretation is advanced which argues that early Confucians saw reality as being bifurcated into two distinct realms--\"inner\" and \"outer\"--and that ming refers to unpredictable forces in the outside realm, which are beyond the bounds of proper human endeavor. The vagaries of ming are not the concern of the gentleman, whose efforts and worries are to be focused on the cultivation of the self: the inner realm where \"seeking helps one to get it.\" It is argued that a sense of \"interiority\" is present in early Confucianism, and an attempt is made to distinguish the world-view of Confucius and Mencius from that of later Neo-Confucian interpreters.","archive":"JSTOR","container-title":"Philosophy East and West","DOI":"10.2307/1399496","ISSN":"0031-8221","issue":"4","note":"publisher: University of Hawai'i Press","page":"567-581","source":"JSTOR","title":"The Conception of Ming in Early Confucian Thought","volume":"46","author":[{"family":"Slingerland","given":"Ted"}],"issued":{"date-parts":[["1996"]]}},"locator":"572"},{"id":251,"uris":["http://zotero.org/users/4376360/items/DE7R4IBU"],"uri":["http://zotero.org/users/4376360/items/DE7R4IBU"],"itemData":{"id":251,"type":"book","collection-number":"7","collection-title":"Routledge studies in ethics and moral theory","event-place":"New York","ISBN":"978-0-415-80305-2","language":"eng","note":"OCLC: 610685669","number-of-pages":"276","publisher":"Routledge","publisher-place":"New York","source":"Gemeinsamer Bibliotheksverbund ISBN","title":"The ethics of Confucius and Aristotle: mirrors of virtue","title-short":"The ethics of Confucius and Aristotle","author":[{"family":"Yu","given":"Jiyuan"}],"issued":{"date-parts":[["2007"]]}},"locator":"187-8"}],"schema":"https://github.com/citation-style-language/schema/raw/master/csl-citation.json"}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Slingerland, “The Conception of Ming in Early Confucian Thought,” 572; Yu, </w:t>
      </w:r>
      <w:r w:rsidRPr="00072DE6">
        <w:rPr>
          <w:rFonts w:ascii="Calibri" w:hAnsi="Calibri" w:cs="Calibri"/>
          <w:i/>
          <w:iCs/>
          <w:sz w:val="20"/>
          <w:szCs w:val="20"/>
        </w:rPr>
        <w:t>The Ethics of Confucius and Aristotle</w:t>
      </w:r>
      <w:r w:rsidRPr="00072DE6">
        <w:rPr>
          <w:rFonts w:ascii="Calibri" w:hAnsi="Calibri" w:cs="Calibri"/>
          <w:sz w:val="20"/>
          <w:szCs w:val="20"/>
        </w:rPr>
        <w:t>, 187–88.</w:t>
      </w:r>
      <w:r w:rsidRPr="00072DE6">
        <w:rPr>
          <w:rFonts w:ascii="Calibri" w:hAnsi="Calibri" w:cs="Calibri"/>
          <w:sz w:val="20"/>
          <w:szCs w:val="20"/>
        </w:rPr>
        <w:fldChar w:fldCharType="end"/>
      </w:r>
    </w:p>
  </w:footnote>
  <w:footnote w:id="30">
    <w:p w14:paraId="6C26FD1B"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Given that Slingerland and Yu offer few comments, it is hard to see what they would say regarding the significance of ethical worries. One possibility consistent with their view might be that </w:t>
      </w:r>
      <w:r w:rsidRPr="00072DE6">
        <w:rPr>
          <w:rFonts w:ascii="Calibri" w:eastAsia="DengXian" w:hAnsi="Calibri" w:cs="Calibri"/>
          <w:sz w:val="20"/>
          <w:szCs w:val="20"/>
        </w:rPr>
        <w:t xml:space="preserve">such worry as having only temporary significance. Fully developed agent would be certain of one’s own moral state and no longer worry about how one is doing. Confucius’ claim on 7.3, therefore, functions as a pedagogical exhortation (rather than a genuine claim of his own state) that learners not yet reaching the final stage should always be concerned. But matured agents would no longer worry about overstepping the moral boundary. Neither scholars, nor anyone else in my limited knowledge of the scholarship has developed such an account. </w:t>
      </w:r>
    </w:p>
  </w:footnote>
  <w:footnote w:id="31">
    <w:p w14:paraId="2EC8E1FB" w14:textId="77777777" w:rsidR="00830739" w:rsidRPr="00072DE6" w:rsidRDefault="00830739" w:rsidP="00830739">
      <w:pPr>
        <w:rPr>
          <w:rFonts w:ascii="Calibri" w:hAnsi="Calibri" w:cs="Calibri"/>
          <w:i/>
          <w:iCs/>
          <w:sz w:val="20"/>
          <w:szCs w:val="20"/>
          <w:lang w:eastAsia="zh-TW"/>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i/>
          <w:iCs/>
          <w:sz w:val="20"/>
          <w:szCs w:val="20"/>
          <w:lang w:eastAsia="zh-TW"/>
        </w:rPr>
        <w:t xml:space="preserve">Erya </w:t>
      </w:r>
      <w:r w:rsidRPr="00072DE6">
        <w:rPr>
          <w:rFonts w:ascii="Calibri" w:eastAsia="MS Gothic" w:hAnsi="Calibri" w:cs="Calibri"/>
          <w:sz w:val="20"/>
          <w:szCs w:val="20"/>
          <w:lang w:eastAsia="zh-TW"/>
        </w:rPr>
        <w:t>爾雅</w:t>
      </w:r>
      <w:r w:rsidRPr="00072DE6">
        <w:rPr>
          <w:rFonts w:ascii="Calibri" w:hAnsi="Calibri" w:cs="Calibri"/>
          <w:sz w:val="20"/>
          <w:szCs w:val="20"/>
          <w:lang w:eastAsia="zh-TW"/>
        </w:rPr>
        <w:t xml:space="preserve"> catalogues </w:t>
      </w:r>
      <w:r w:rsidRPr="00072DE6">
        <w:rPr>
          <w:rFonts w:ascii="Calibri" w:eastAsia="DengXian" w:hAnsi="Calibri" w:cs="Calibri"/>
          <w:i/>
          <w:iCs/>
          <w:sz w:val="20"/>
          <w:szCs w:val="20"/>
        </w:rPr>
        <w:t>you</w:t>
      </w:r>
      <w:r w:rsidRPr="00072DE6">
        <w:rPr>
          <w:rFonts w:ascii="Calibri" w:eastAsia="DengXian" w:hAnsi="Calibri" w:cs="Calibri"/>
          <w:sz w:val="20"/>
          <w:szCs w:val="20"/>
        </w:rPr>
        <w:t xml:space="preserve"> </w:t>
      </w:r>
      <w:r w:rsidRPr="00072DE6">
        <w:rPr>
          <w:rFonts w:ascii="Calibri" w:eastAsia="DengXian" w:hAnsi="Calibri" w:cs="Calibri"/>
          <w:sz w:val="20"/>
          <w:szCs w:val="20"/>
        </w:rPr>
        <w:t>憂</w:t>
      </w:r>
      <w:r w:rsidRPr="00072DE6">
        <w:rPr>
          <w:rFonts w:ascii="Calibri" w:hAnsi="Calibri" w:cs="Calibri"/>
          <w:sz w:val="20"/>
          <w:szCs w:val="20"/>
          <w:lang w:eastAsia="zh-TW"/>
        </w:rPr>
        <w:t xml:space="preserve">under either </w:t>
      </w:r>
      <w:r w:rsidRPr="00072DE6">
        <w:rPr>
          <w:rFonts w:ascii="Calibri" w:eastAsia="DengXian" w:hAnsi="Calibri" w:cs="Calibri"/>
          <w:i/>
          <w:iCs/>
          <w:sz w:val="20"/>
          <w:szCs w:val="20"/>
        </w:rPr>
        <w:t>you</w:t>
      </w:r>
      <w:r w:rsidRPr="00072DE6">
        <w:rPr>
          <w:rFonts w:ascii="Calibri" w:eastAsia="DengXian" w:hAnsi="Calibri" w:cs="Calibri"/>
          <w:sz w:val="20"/>
          <w:szCs w:val="20"/>
        </w:rPr>
        <w:t xml:space="preserve"> </w:t>
      </w:r>
      <w:r w:rsidRPr="00072DE6">
        <w:rPr>
          <w:rFonts w:ascii="Calibri" w:eastAsia="DengXian" w:hAnsi="Calibri" w:cs="Calibri"/>
          <w:sz w:val="20"/>
          <w:szCs w:val="20"/>
        </w:rPr>
        <w:t>憂</w:t>
      </w:r>
      <w:r w:rsidRPr="00072DE6">
        <w:rPr>
          <w:rFonts w:ascii="Calibri" w:hAnsi="Calibri" w:cs="Calibri"/>
          <w:sz w:val="20"/>
          <w:szCs w:val="20"/>
          <w:lang w:eastAsia="zh-TW"/>
        </w:rPr>
        <w:t xml:space="preserve">or worry, and </w:t>
      </w:r>
      <w:r w:rsidRPr="00072DE6">
        <w:rPr>
          <w:rFonts w:ascii="Calibri" w:hAnsi="Calibri" w:cs="Calibri"/>
          <w:i/>
          <w:iCs/>
          <w:sz w:val="20"/>
          <w:szCs w:val="20"/>
          <w:lang w:eastAsia="zh-TW"/>
        </w:rPr>
        <w:t xml:space="preserve">si </w:t>
      </w:r>
      <w:r w:rsidRPr="00072DE6">
        <w:rPr>
          <w:rFonts w:ascii="Calibri" w:eastAsia="MS Gothic" w:hAnsi="Calibri" w:cs="Calibri"/>
          <w:sz w:val="20"/>
          <w:szCs w:val="20"/>
        </w:rPr>
        <w:t>思</w:t>
      </w:r>
      <w:r w:rsidRPr="00072DE6">
        <w:rPr>
          <w:rFonts w:ascii="Calibri" w:hAnsi="Calibri" w:cs="Calibri"/>
          <w:sz w:val="20"/>
          <w:szCs w:val="20"/>
          <w:lang w:eastAsia="zh-TW"/>
        </w:rPr>
        <w:t xml:space="preserve">or to think and contemplate. The two usages are not unrelated usage of the same character. Rather, later texts (such as </w:t>
      </w:r>
      <w:r w:rsidRPr="00072DE6">
        <w:rPr>
          <w:rFonts w:ascii="Calibri" w:hAnsi="Calibri" w:cs="Calibri"/>
          <w:i/>
          <w:iCs/>
          <w:sz w:val="20"/>
          <w:szCs w:val="20"/>
          <w:lang w:eastAsia="zh-TW"/>
        </w:rPr>
        <w:t xml:space="preserve">Liji </w:t>
      </w:r>
      <w:r w:rsidRPr="00072DE6">
        <w:rPr>
          <w:rFonts w:ascii="Calibri" w:eastAsia="MS Gothic" w:hAnsi="Calibri" w:cs="Calibri"/>
          <w:sz w:val="20"/>
          <w:szCs w:val="20"/>
          <w:lang w:eastAsia="zh-TW"/>
        </w:rPr>
        <w:t>禮記</w:t>
      </w:r>
      <w:r w:rsidRPr="00072DE6">
        <w:rPr>
          <w:rFonts w:ascii="Calibri" w:hAnsi="Calibri" w:cs="Calibri"/>
          <w:sz w:val="20"/>
          <w:szCs w:val="20"/>
          <w:lang w:eastAsia="zh-TW"/>
        </w:rPr>
        <w:t>,</w:t>
      </w:r>
      <w:r w:rsidRPr="00072DE6">
        <w:rPr>
          <w:rFonts w:ascii="Calibri" w:hAnsi="Calibri" w:cs="Calibri"/>
          <w:i/>
          <w:iCs/>
          <w:sz w:val="20"/>
          <w:szCs w:val="20"/>
          <w:lang w:eastAsia="zh-TW"/>
        </w:rPr>
        <w:t xml:space="preserve"> Hanshi Waizhuan </w:t>
      </w:r>
      <w:r w:rsidRPr="00072DE6">
        <w:rPr>
          <w:rFonts w:ascii="Calibri" w:eastAsia="MS Gothic" w:hAnsi="Calibri" w:cs="Calibri"/>
          <w:sz w:val="20"/>
          <w:szCs w:val="20"/>
          <w:lang w:eastAsia="zh-TW"/>
        </w:rPr>
        <w:t>韓詩外傳</w:t>
      </w:r>
      <w:r w:rsidRPr="00072DE6">
        <w:rPr>
          <w:rFonts w:ascii="Calibri" w:hAnsi="Calibri" w:cs="Calibri"/>
          <w:sz w:val="20"/>
          <w:szCs w:val="20"/>
          <w:lang w:eastAsia="zh-TW"/>
        </w:rPr>
        <w:t>,</w:t>
      </w:r>
      <w:r w:rsidRPr="00072DE6">
        <w:rPr>
          <w:rFonts w:ascii="Calibri" w:hAnsi="Calibri" w:cs="Calibri"/>
          <w:i/>
          <w:iCs/>
          <w:sz w:val="20"/>
          <w:szCs w:val="20"/>
          <w:lang w:eastAsia="zh-TW"/>
        </w:rPr>
        <w:t xml:space="preserve"> Lushi Chunqiu </w:t>
      </w:r>
      <w:r w:rsidRPr="00072DE6">
        <w:rPr>
          <w:rFonts w:ascii="Calibri" w:eastAsia="MS Gothic" w:hAnsi="Calibri" w:cs="Calibri"/>
          <w:sz w:val="20"/>
          <w:szCs w:val="20"/>
          <w:lang w:eastAsia="zh-TW"/>
        </w:rPr>
        <w:t>呂氏春秋</w:t>
      </w:r>
      <w:r w:rsidRPr="00072DE6">
        <w:rPr>
          <w:rFonts w:ascii="Calibri" w:hAnsi="Calibri" w:cs="Calibri"/>
          <w:sz w:val="20"/>
          <w:szCs w:val="20"/>
          <w:lang w:eastAsia="zh-TW"/>
        </w:rPr>
        <w:t xml:space="preserve">) start to put these two uses together as a unit of </w:t>
      </w:r>
      <w:r w:rsidRPr="00072DE6">
        <w:rPr>
          <w:rFonts w:ascii="Calibri" w:hAnsi="Calibri" w:cs="Calibri"/>
          <w:i/>
          <w:iCs/>
          <w:sz w:val="20"/>
          <w:szCs w:val="20"/>
          <w:lang w:eastAsia="zh-TW"/>
        </w:rPr>
        <w:t>yousi</w:t>
      </w:r>
      <w:r w:rsidRPr="00072DE6">
        <w:rPr>
          <w:rFonts w:ascii="Calibri" w:eastAsia="MS Gothic" w:hAnsi="Calibri" w:cs="Calibri"/>
          <w:sz w:val="20"/>
          <w:szCs w:val="20"/>
          <w:lang w:eastAsia="zh-TW"/>
        </w:rPr>
        <w:t>憂思</w:t>
      </w:r>
      <w:r w:rsidRPr="00072DE6">
        <w:rPr>
          <w:rFonts w:ascii="Calibri" w:hAnsi="Calibri" w:cs="Calibri"/>
          <w:sz w:val="20"/>
          <w:szCs w:val="20"/>
          <w:lang w:eastAsia="zh-TW"/>
        </w:rPr>
        <w:t xml:space="preserve">, indicating a tight connection between these two meanings of </w:t>
      </w:r>
      <w:r w:rsidRPr="00072DE6">
        <w:rPr>
          <w:rFonts w:ascii="Calibri" w:eastAsia="DengXian" w:hAnsi="Calibri" w:cs="Calibri"/>
          <w:i/>
          <w:iCs/>
          <w:sz w:val="20"/>
          <w:szCs w:val="20"/>
        </w:rPr>
        <w:t>you</w:t>
      </w:r>
      <w:r w:rsidRPr="00072DE6">
        <w:rPr>
          <w:rFonts w:ascii="Calibri" w:eastAsia="DengXian" w:hAnsi="Calibri" w:cs="Calibri"/>
          <w:sz w:val="20"/>
          <w:szCs w:val="20"/>
        </w:rPr>
        <w:t xml:space="preserve"> </w:t>
      </w:r>
      <w:r w:rsidRPr="00072DE6">
        <w:rPr>
          <w:rFonts w:ascii="Calibri" w:eastAsia="DengXian" w:hAnsi="Calibri" w:cs="Calibri"/>
          <w:sz w:val="20"/>
          <w:szCs w:val="20"/>
        </w:rPr>
        <w:t>憂</w:t>
      </w:r>
      <w:r w:rsidRPr="00072DE6">
        <w:rPr>
          <w:rFonts w:ascii="Calibri" w:eastAsia="DengXian" w:hAnsi="Calibri" w:cs="Calibri"/>
          <w:sz w:val="20"/>
          <w:szCs w:val="20"/>
        </w:rPr>
        <w:t xml:space="preserve">. My discussion below offers one explanation to the connection between the two usages of </w:t>
      </w:r>
      <w:r w:rsidRPr="00072DE6">
        <w:rPr>
          <w:rFonts w:ascii="Calibri" w:eastAsia="DengXian" w:hAnsi="Calibri" w:cs="Calibri"/>
          <w:i/>
          <w:iCs/>
          <w:sz w:val="20"/>
          <w:szCs w:val="20"/>
        </w:rPr>
        <w:t>you</w:t>
      </w:r>
      <w:r w:rsidRPr="00072DE6">
        <w:rPr>
          <w:rFonts w:ascii="Calibri" w:eastAsia="DengXian" w:hAnsi="Calibri" w:cs="Calibri"/>
          <w:sz w:val="20"/>
          <w:szCs w:val="20"/>
        </w:rPr>
        <w:t xml:space="preserve"> </w:t>
      </w:r>
      <w:r w:rsidRPr="00072DE6">
        <w:rPr>
          <w:rFonts w:ascii="Calibri" w:eastAsia="DengXian" w:hAnsi="Calibri" w:cs="Calibri"/>
          <w:sz w:val="20"/>
          <w:szCs w:val="20"/>
        </w:rPr>
        <w:t>憂</w:t>
      </w:r>
      <w:r w:rsidRPr="00072DE6">
        <w:rPr>
          <w:rFonts w:ascii="Calibri" w:eastAsia="DengXian" w:hAnsi="Calibri" w:cs="Calibri"/>
          <w:sz w:val="20"/>
          <w:szCs w:val="20"/>
        </w:rPr>
        <w:t xml:space="preserve">, namely, worrying and thinking. I thank an anonymous reviewer for pointing out to me the two usages of </w:t>
      </w:r>
      <w:r w:rsidRPr="00072DE6">
        <w:rPr>
          <w:rFonts w:ascii="Calibri" w:eastAsia="DengXian" w:hAnsi="Calibri" w:cs="Calibri"/>
          <w:i/>
          <w:iCs/>
          <w:sz w:val="20"/>
          <w:szCs w:val="20"/>
        </w:rPr>
        <w:t>you</w:t>
      </w:r>
      <w:r w:rsidRPr="00072DE6">
        <w:rPr>
          <w:rFonts w:ascii="Calibri" w:eastAsia="DengXian" w:hAnsi="Calibri" w:cs="Calibri"/>
          <w:sz w:val="20"/>
          <w:szCs w:val="20"/>
        </w:rPr>
        <w:t xml:space="preserve"> </w:t>
      </w:r>
      <w:r w:rsidRPr="00072DE6">
        <w:rPr>
          <w:rFonts w:ascii="Calibri" w:eastAsia="DengXian" w:hAnsi="Calibri" w:cs="Calibri"/>
          <w:sz w:val="20"/>
          <w:szCs w:val="20"/>
        </w:rPr>
        <w:t>憂</w:t>
      </w:r>
      <w:r w:rsidRPr="00072DE6">
        <w:rPr>
          <w:rFonts w:ascii="Calibri" w:eastAsia="DengXian" w:hAnsi="Calibri" w:cs="Calibri"/>
          <w:sz w:val="20"/>
          <w:szCs w:val="20"/>
        </w:rPr>
        <w:t xml:space="preserve"> in </w:t>
      </w:r>
      <w:r w:rsidRPr="00072DE6">
        <w:rPr>
          <w:rFonts w:ascii="Calibri" w:hAnsi="Calibri" w:cs="Calibri"/>
          <w:i/>
          <w:iCs/>
          <w:sz w:val="20"/>
          <w:szCs w:val="20"/>
          <w:lang w:eastAsia="zh-TW"/>
        </w:rPr>
        <w:t xml:space="preserve">Erya </w:t>
      </w:r>
      <w:r w:rsidRPr="00072DE6">
        <w:rPr>
          <w:rFonts w:ascii="Calibri" w:eastAsia="MS Gothic" w:hAnsi="Calibri" w:cs="Calibri"/>
          <w:sz w:val="20"/>
          <w:szCs w:val="20"/>
          <w:lang w:eastAsia="zh-TW"/>
        </w:rPr>
        <w:t>爾雅</w:t>
      </w:r>
      <w:r w:rsidRPr="00072DE6">
        <w:rPr>
          <w:rFonts w:ascii="Calibri" w:hAnsi="Calibri" w:cs="Calibri"/>
          <w:sz w:val="20"/>
          <w:szCs w:val="20"/>
          <w:lang w:eastAsia="zh-TW"/>
        </w:rPr>
        <w:t>.</w:t>
      </w:r>
    </w:p>
  </w:footnote>
  <w:footnote w:id="32">
    <w:p w14:paraId="6B9226AF"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{"citationID":"l7RegUnS","properties":{"formattedCitation":"Thus, it should be clear that I am not using any theoretically thick notion of care such as the one used by care ethics. For an overview that compares care ethics and Confucian ethics, see Ann A. Pang-White, \\uc0\\u8220{}Caring in Confucian Philosophy: Caring in Confucian Philosophy,\\uc0\\u8221{} {\\i{}Philosophy Compass} 6, no. 6 (June 2011): 374\\uc0\\u8211{}84, https://doi.org/10.1111/j.1747-9991.2011.00405.x.","plainCitation":"Thus, it should be clear that I am not using any theoretically thick notion of care such as the one used by care ethics. For an overview that compares care ethics and Confucian ethics, see Ann A. Pang-White, “Caring in Confucian Philosophy: Caring in Confucian Philosophy,” Philosophy Compass 6, no. 6 (June 2011): 374–84, https://doi.org/10.1111/j.1747-9991.2011.00405.x.","noteIndex":20},"citationItems":[{"id":238,"uris":["http://zotero.org/users/4376360/items/QMH3PQ54"],"uri":["http://zotero.org/users/4376360/items/QMH3PQ54"],"itemData":{"id":238,"type":"article-journal","container-title":"Philosophy Compass","DOI":"10.1111/j.1747-9991.2011.00405.x","ISSN":"17479991","issue":"6","language":"en","page":"374-384","source":"CrossRef","title":"Caring in Confucian Philosophy: Caring in Confucian Philosophy","title-short":"Caring in Confucian Philosophy","volume":"6","author":[{"family":"Pang-White","given":"Ann A."}],"issued":{"date-parts":[["2011",6]]}},"prefix":"Thus, it should be clear that I am not using any theoretically thick notion of care such as the one used by care ethics. For an overview that compares care ethics and Confucian ethics, see "}],"schema":"https://github.com/citation-style-language/schema/raw/master/csl-citation.json"}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Thus, it should be clear that I am not using any theoretically thick notion of care such as the one used by care ethics. For an overview that compares care ethics and Confucian ethics, see Ann A. Pang-White, “Caring in Confucian Philosophy: Caring in Confucian Philosophy,” </w:t>
      </w:r>
      <w:r w:rsidRPr="00072DE6">
        <w:rPr>
          <w:rFonts w:ascii="Calibri" w:hAnsi="Calibri" w:cs="Calibri"/>
          <w:i/>
          <w:iCs/>
          <w:sz w:val="20"/>
          <w:szCs w:val="20"/>
        </w:rPr>
        <w:t>Philosophy Compass</w:t>
      </w:r>
      <w:r w:rsidRPr="00072DE6">
        <w:rPr>
          <w:rFonts w:ascii="Calibri" w:hAnsi="Calibri" w:cs="Calibri"/>
          <w:sz w:val="20"/>
          <w:szCs w:val="20"/>
        </w:rPr>
        <w:t xml:space="preserve"> 6, no. 6 (June 2011): 374–84, https://doi.org/10.1111/j.1747-9991.2011.00405.x.</w:t>
      </w:r>
      <w:r w:rsidRPr="00072DE6">
        <w:rPr>
          <w:rFonts w:ascii="Calibri" w:hAnsi="Calibri" w:cs="Calibri"/>
          <w:sz w:val="20"/>
          <w:szCs w:val="20"/>
        </w:rPr>
        <w:fldChar w:fldCharType="end"/>
      </w:r>
    </w:p>
  </w:footnote>
  <w:footnote w:id="33">
    <w:p w14:paraId="60E2F2DF"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Worry also does not directly and accurately reveal the object of care. For instance, I may constantly and anxiously ask about my brother’s work schedule. This is not because his work schedule makes a difference to me, but because it makes a difference to his safety, which is my true object of concern. </w:t>
      </w:r>
    </w:p>
  </w:footnote>
  <w:footnote w:id="34">
    <w:p w14:paraId="7D8C330B"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{"citationID":"ivusggkR","properties":{"formattedCitation":"17.2 provides the only explicit comment on xing, and it says that \\uc0\\u8220{}the xing of humans is similar. customs and habits make them apart.\\uc0\\u8221{} However, the text contains many implicit comments that can fit either a Mengzian or Xunzian interpretation. For debates that discuss both interpretations, see Edward G. Slingerland, {\\i{}Effortless Action: Wu-Wei as Conceptual Metaphor and Spiritual Ideal in Early China} (Oxford\\uc0\\u8239{}; New York: Oxford University Press, 2003); David B. Wong, \\uc0\\u8220{}Cultivating the Self in Concert with Others,\\uc0\\u8221{} in {\\i{}Dao Companion to the Analects}, ed. Amy Olberding (Dordrecht: Springer Netherlands, 2014), 171\\uc0\\u8211{}97, https://doi.org/10.1007/978-94-007-7113-0_10.","plainCitation":"17.2 provides the only explicit comment on xing, and it says that “the xing of humans is similar. customs and habits make them apart.” However, the text contains many implicit comments that can fit either a Mengzian or Xunzian interpretation. For debates that discuss both interpretations, see Edward G. Slingerland, Effortless Action: Wu-Wei as Conceptual Metaphor and Spiritual Ideal in Early China (Oxford ; New York: Oxford University Press, 2003); David B. Wong, “Cultivating the Self in Concert with Others,” in Dao Companion to the Analects, ed. Amy Olberding (Dordrecht: Springer Netherlands, 2014), 171–97, https://doi.org/10.1007/978-94-007-7113-0_10.","noteIndex":22},"citationItems":[{"id":206,"uris":["http://zotero.org/users/4376360/items/MDXDCLP4"],"uri":["http://zotero.org/users/4376360/items/MDXDCLP4"],"itemData":{"id":206,"type":"book","call-number":"B126 .S645 2003","event-place":"Oxford ; New York","ISBN":"978-0-19-513899-3","number-of-pages":"352","publisher":"Oxford University Press","publisher-place":"Oxford ; New York","source":"Library of Congress ISBN","title":"Effortless action: Wu-wei as conceptual metaphor and spiritual ideal in early China","title-short":"Effortless action","author":[{"family":"Slingerland","given":"Edward G."}],"issued":{"date-parts":[["2003"]]}},"prefix":"17.2 provides the only explicit comment on xing, and it says that \"the xing of humans is similar. customs and habits make them apart.\" However, the text contains many implicit comments that can fit either a Mengzian or Xunzian interpretation. For debates that discuss both interpretations, see "},{"id":105,"uris":["http://zotero.org/users/4376360/items/XZW7NW9U"],"uri":["http://zotero.org/users/4376360/items/XZW7NW9U"],"itemData":{"id":105,"type":"chapter","container-title":"Dao Companion to the Analects","event-place":"Dordrecht","ISBN":"978-94-007-7112-3","language":"en","note":"DOI: 10.1007/978-94-007-7113-0_10","page":"171-197","publisher":"Springer Netherlands","publisher-place":"Dordrecht","source":"CrossRef","title":"Cultivating the Self in Concert with Others","URL":"http://link.springer.com/10.1007/978-94-007-7113-0_10","author":[{"family":"Wong","given":"David B."}],"editor":[{"family":"Olberding","given":"Amy"}],"accessed":{"date-parts":[["2017",12,16]]},"issued":{"date-parts":[["2014"]]}}}],"schema":"https://github.com/citation-style-language/schema/raw/master/csl-citation.json"}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17.2 provides the only explicit comment on </w:t>
      </w:r>
      <w:r w:rsidRPr="00072DE6">
        <w:rPr>
          <w:rFonts w:ascii="Calibri" w:hAnsi="Calibri" w:cs="Calibri"/>
          <w:i/>
          <w:iCs/>
          <w:sz w:val="20"/>
          <w:szCs w:val="20"/>
        </w:rPr>
        <w:t>xing</w:t>
      </w:r>
      <w:r w:rsidRPr="00072DE6">
        <w:rPr>
          <w:rFonts w:ascii="Calibri" w:hAnsi="Calibri" w:cs="Calibri"/>
          <w:sz w:val="20"/>
          <w:szCs w:val="20"/>
        </w:rPr>
        <w:t xml:space="preserve">, and it says that “the </w:t>
      </w:r>
      <w:r w:rsidRPr="00072DE6">
        <w:rPr>
          <w:rFonts w:ascii="Calibri" w:hAnsi="Calibri" w:cs="Calibri"/>
          <w:i/>
          <w:iCs/>
          <w:sz w:val="20"/>
          <w:szCs w:val="20"/>
        </w:rPr>
        <w:t>xing</w:t>
      </w:r>
      <w:r w:rsidRPr="00072DE6">
        <w:rPr>
          <w:rFonts w:ascii="Calibri" w:hAnsi="Calibri" w:cs="Calibri"/>
          <w:sz w:val="20"/>
          <w:szCs w:val="20"/>
        </w:rPr>
        <w:t xml:space="preserve"> of humans is similar. Customs and habits make them apart. </w:t>
      </w:r>
      <w:r w:rsidRPr="00072DE6">
        <w:rPr>
          <w:rFonts w:ascii="Calibri" w:eastAsia="MS Mincho" w:hAnsi="Calibri" w:cs="Calibri"/>
          <w:sz w:val="20"/>
          <w:szCs w:val="20"/>
        </w:rPr>
        <w:t>性相近也</w:t>
      </w:r>
      <w:r w:rsidRPr="00072DE6">
        <w:rPr>
          <w:rFonts w:ascii="Calibri" w:hAnsi="Calibri" w:cs="Calibri"/>
          <w:sz w:val="20"/>
          <w:szCs w:val="20"/>
        </w:rPr>
        <w:t xml:space="preserve">, </w:t>
      </w:r>
      <w:r w:rsidRPr="00072DE6">
        <w:rPr>
          <w:rFonts w:ascii="Calibri" w:eastAsia="MS Mincho" w:hAnsi="Calibri" w:cs="Calibri"/>
          <w:sz w:val="20"/>
          <w:szCs w:val="20"/>
        </w:rPr>
        <w:t>習相遠也</w:t>
      </w:r>
      <w:r w:rsidRPr="00072DE6">
        <w:rPr>
          <w:rFonts w:ascii="Calibri" w:hAnsi="Calibri" w:cs="Calibri"/>
          <w:sz w:val="20"/>
          <w:szCs w:val="20"/>
        </w:rPr>
        <w:t xml:space="preserve">.” However, the text contains many implicit comments that can fit either a Mengzian or Xunzian interpretation. For debates that discuss both interpretations, see Edward G. Slingerland, </w:t>
      </w:r>
      <w:r w:rsidRPr="00072DE6">
        <w:rPr>
          <w:rFonts w:ascii="Calibri" w:hAnsi="Calibri" w:cs="Calibri"/>
          <w:i/>
          <w:iCs/>
          <w:sz w:val="20"/>
          <w:szCs w:val="20"/>
        </w:rPr>
        <w:t>Effortless Action: Wu-Wei as Conceptual Metaphor and Spiritual Ideal in Early China</w:t>
      </w:r>
      <w:r w:rsidRPr="00072DE6">
        <w:rPr>
          <w:rFonts w:ascii="Calibri" w:hAnsi="Calibri" w:cs="Calibri"/>
          <w:sz w:val="20"/>
          <w:szCs w:val="20"/>
        </w:rPr>
        <w:t xml:space="preserve"> (Oxford ; New York: Oxford University Press, 2003); David B. Wong, “Cultivating the Self in Concert with Others,” in </w:t>
      </w:r>
      <w:r w:rsidRPr="00072DE6">
        <w:rPr>
          <w:rFonts w:ascii="Calibri" w:hAnsi="Calibri" w:cs="Calibri"/>
          <w:i/>
          <w:iCs/>
          <w:sz w:val="20"/>
          <w:szCs w:val="20"/>
        </w:rPr>
        <w:t>Dao Companion to the Analects</w:t>
      </w:r>
      <w:r w:rsidRPr="00072DE6">
        <w:rPr>
          <w:rFonts w:ascii="Calibri" w:hAnsi="Calibri" w:cs="Calibri"/>
          <w:sz w:val="20"/>
          <w:szCs w:val="20"/>
        </w:rPr>
        <w:t>, ed. Amy Olberding (Dordrecht: Springer Netherlands, 2014), 171–97, https://doi.org/10.1007/978-94-007-7113-0_10.</w:t>
      </w:r>
      <w:r w:rsidRPr="00072DE6">
        <w:rPr>
          <w:rFonts w:ascii="Calibri" w:hAnsi="Calibri" w:cs="Calibri"/>
          <w:sz w:val="20"/>
          <w:szCs w:val="20"/>
        </w:rPr>
        <w:fldChar w:fldCharType="end"/>
      </w:r>
    </w:p>
  </w:footnote>
  <w:footnote w:id="35">
    <w:p w14:paraId="068F2BA1"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By “sufficient,” I do not mean that “what humans typically care about” is sufficient to solve all the questions that </w:t>
      </w:r>
      <w:r w:rsidRPr="00072DE6">
        <w:rPr>
          <w:rFonts w:ascii="Calibri" w:hAnsi="Calibri" w:cs="Calibri"/>
          <w:i/>
          <w:iCs/>
          <w:sz w:val="20"/>
          <w:szCs w:val="20"/>
        </w:rPr>
        <w:t>xing</w:t>
      </w:r>
      <w:r w:rsidRPr="00072DE6">
        <w:rPr>
          <w:rFonts w:ascii="Calibri" w:hAnsi="Calibri" w:cs="Calibri"/>
          <w:sz w:val="20"/>
          <w:szCs w:val="20"/>
        </w:rPr>
        <w:t xml:space="preserve"> addresses. Rather, I mean that it is sufficient to provide an answer to what the starting point is for moral cultivation. </w:t>
      </w:r>
    </w:p>
  </w:footnote>
  <w:footnote w:id="36">
    <w:p w14:paraId="3D897211"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There are too many passages about human relationships to list. Here is an inexhaustive catalogue: for filial relationships, see 1.2, 1.6, 1.11, 2.5-8, 4.18; for friends, see 1.4, 1.7-8, 2.21, 4.26, 9.25; for superiors, see 3.18-9, 4.26, 11.24, 14.22. </w:t>
      </w:r>
    </w:p>
  </w:footnote>
  <w:footnote w:id="37">
    <w:p w14:paraId="5CE9C0F4"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{"citationID":"P8qfe4P5","properties":{"formattedCitation":"David L. Hall and Roger T. Ames, {\\i{}Thinking through Confucius}, SUNY Series in Systematic Philosophy (Albany: State University of New York Press, 1987); David B. Wong, \\uc0\\u8220{}Relational and Autonomous Selves,\\uc0\\u8221{} {\\i{}Journal of Chinese Philosophy} 31, no. 4 (December 2004): 419\\uc0\\u8211{}32, https://doi.org/10.1111/j.1540-6253.2004.00163.x; Henry Rosemont, Jr., \\uc0\\u8220{}Rights-Bearing Individuals and Role-Bearing Persons,\\uc0\\u8221{} in {\\i{}Rules, Rituals, and Responsibility: Essays Dedicated to Herbert Fingarette}, ed. Mary I. Bockover (Open Court, 1991), 71\\uc0\\u8211{}102.","plainCitation":"David L. Hall and Roger T. Ames, Thinking through Confucius, SUNY Series in Systematic Philosophy (Albany: State University of New York Press, 1987); David B. Wong, “Relational and Autonomous Selves,” Journal of Chinese Philosophy 31, no. 4 (December 2004): 419–32, https://doi.org/10.1111/j.1540-6253.2004.00163.x; Henry Rosemont, Jr., “Rights-Bearing Individuals and Role-Bearing Persons,” in Rules, Rituals, and Responsibility: Essays Dedicated to Herbert Fingarette, ed. Mary I. Bockover (Open Court, 1991), 71–102.","noteIndex":25},"citationItems":[{"id":237,"uris":["http://zotero.org/users/4376360/items/9UZBASKE"],"uri":["http://zotero.org/users/4376360/items/9UZBASKE"],"itemData":{"id":237,"type":"book","call-number":"B128.C8 H35 1987","collection-title":"SUNY series in systematic philosophy","event-place":"Albany","ISBN":"978-0-88706-376-3","number-of-pages":"393","publisher":"State University of New York Press","publisher-place":"Albany","source":"Library of Congress ISBN","title":"Thinking through Confucius","author":[{"family":"Hall","given":"David L."},{"family":"Ames","given":"Roger T."}],"issued":{"date-parts":[["1987"]]}}},{"id":1084,"uris":["http://zotero.org/users/4376360/items/H3W6Q4US"],"uri":["http://zotero.org/users/4376360/items/H3W6Q4US"],"itemData":{"id":1084,"type":"article-journal","container-title":"Journal of Chinese Philosophy","DOI":"10.1111/j.1540-6253.2004.00163.x","ISSN":"0301-8121, 1540-6253","issue":"4","journalAbbreviation":"J Chinese Philos","language":"en","page":"419-432","source":"DOI.org (Crossref)","title":"Relational and Autonomous Selves","volume":"31","author":[{"family":"Wong","given":"David B."}],"issued":{"date-parts":[["2004",12]]}}},{"id":1263,"uris":["http://zotero.org/users/4376360/items/TV5INPJN"],"uri":["http://zotero.org/users/4376360/items/TV5INPJN"],"itemData":{"id":1263,"type":"chapter","container-title":"Rules, Rituals, and Responsibility: Essays Dedicated to Herbert Fingarette","page":"71-102","publisher":"Open Court","title":"Rights-Bearing Individuals and Role-Bearing Persons","author":[{"family":"Rosemont, Jr.","given":"Henry"}],"editor":[{"family":"Bockover","given":"Mary I."}],"issued":{"date-parts":[["1991"]]}}}],"schema":"https://github.com/citation-style-language/schema/raw/master/csl-citation.json"}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David L. Hall and Roger T. Ames, </w:t>
      </w:r>
      <w:r w:rsidRPr="00072DE6">
        <w:rPr>
          <w:rFonts w:ascii="Calibri" w:hAnsi="Calibri" w:cs="Calibri"/>
          <w:i/>
          <w:iCs/>
          <w:sz w:val="20"/>
          <w:szCs w:val="20"/>
        </w:rPr>
        <w:t>Thinking through Confucius</w:t>
      </w:r>
      <w:r w:rsidRPr="00072DE6">
        <w:rPr>
          <w:rFonts w:ascii="Calibri" w:hAnsi="Calibri" w:cs="Calibri"/>
          <w:sz w:val="20"/>
          <w:szCs w:val="20"/>
        </w:rPr>
        <w:t xml:space="preserve">, SUNY Series in Systematic Philosophy (Albany: State University of New York Press, 1987); David B. Wong, “Relational and Autonomous Selves,” </w:t>
      </w:r>
      <w:r w:rsidRPr="00072DE6">
        <w:rPr>
          <w:rFonts w:ascii="Calibri" w:hAnsi="Calibri" w:cs="Calibri"/>
          <w:i/>
          <w:iCs/>
          <w:sz w:val="20"/>
          <w:szCs w:val="20"/>
        </w:rPr>
        <w:t>Journal of Chinese Philosophy</w:t>
      </w:r>
      <w:r w:rsidRPr="00072DE6">
        <w:rPr>
          <w:rFonts w:ascii="Calibri" w:hAnsi="Calibri" w:cs="Calibri"/>
          <w:sz w:val="20"/>
          <w:szCs w:val="20"/>
        </w:rPr>
        <w:t xml:space="preserve"> 31, no. 4 (December 2004): 419–32, https://doi.org/10.1111/j.1540-6253.2004.00163.x; Henry Rosemont, Jr., “Rights-Bearing Individuals and Role-Bearing Persons,” in </w:t>
      </w:r>
      <w:r w:rsidRPr="00072DE6">
        <w:rPr>
          <w:rFonts w:ascii="Calibri" w:hAnsi="Calibri" w:cs="Calibri"/>
          <w:i/>
          <w:iCs/>
          <w:sz w:val="20"/>
          <w:szCs w:val="20"/>
        </w:rPr>
        <w:t>Rules, Rituals, and Responsibility: Essays Dedicated to Herbert Fingarette</w:t>
      </w:r>
      <w:r w:rsidRPr="00072DE6">
        <w:rPr>
          <w:rFonts w:ascii="Calibri" w:hAnsi="Calibri" w:cs="Calibri"/>
          <w:sz w:val="20"/>
          <w:szCs w:val="20"/>
        </w:rPr>
        <w:t>, ed. Mary I. Bockover (Open Court, 1991), 71–102.</w:t>
      </w:r>
      <w:r w:rsidRPr="00072DE6">
        <w:rPr>
          <w:rFonts w:ascii="Calibri" w:hAnsi="Calibri" w:cs="Calibri"/>
          <w:sz w:val="20"/>
          <w:szCs w:val="20"/>
        </w:rPr>
        <w:fldChar w:fldCharType="end"/>
      </w:r>
    </w:p>
  </w:footnote>
  <w:footnote w:id="38">
    <w:p w14:paraId="0E9C351F"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{"citationID":"NNcEQOsD","properties":{"formattedCitation":"For an overview on related issues, see John Ramsey, \\uc0\\u8220{}Confucian Role Ethics: A Critical Survey: Confucian Role Ethics: A Critical Survey,\\uc0\\u8221{} {\\i{}Philosophy Compass} 11, no. 5 (May 2016): 235\\uc0\\u8211{}45, https://doi.org/10.1111/phc3.12324.","plainCitation":"For an overview on related issues, see John Ramsey, “Confucian Role Ethics: A Critical Survey: Confucian Role Ethics: A Critical Survey,” Philosophy Compass 11, no. 5 (May 2016): 235–45, https://doi.org/10.1111/phc3.12324.","noteIndex":26},"citationItems":[{"id":244,"uris":["http://zotero.org/users/4376360/items/T3TXWVTW"],"uri":["http://zotero.org/users/4376360/items/T3TXWVTW"],"itemData":{"id":244,"type":"article-journal","container-title":"Philosophy Compass","DOI":"10.1111/phc3.12324","ISSN":"17479991","issue":"5","language":"en","page":"235-245","source":"CrossRef","title":"Confucian Role Ethics: A Critical Survey: Confucian Role Ethics: A Critical Survey","title-short":"Confucian Role Ethics","volume":"11","author":[{"family":"Ramsey","given":"John"}],"issued":{"date-parts":[["2016",5]]}},"prefix":"For an overview on related issues, see "}],"schema":"https://github.com/citation-style-language/schema/raw/master/csl-citation.json"}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For an overview on related issues, see John Ramsey, “Confucian Role Ethics: A Critical Survey: Confucian Role Ethics: A Critical Survey,” </w:t>
      </w:r>
      <w:r w:rsidRPr="00072DE6">
        <w:rPr>
          <w:rFonts w:ascii="Calibri" w:hAnsi="Calibri" w:cs="Calibri"/>
          <w:i/>
          <w:iCs/>
          <w:sz w:val="20"/>
          <w:szCs w:val="20"/>
        </w:rPr>
        <w:t>Philosophy Compass</w:t>
      </w:r>
      <w:r w:rsidRPr="00072DE6">
        <w:rPr>
          <w:rFonts w:ascii="Calibri" w:hAnsi="Calibri" w:cs="Calibri"/>
          <w:sz w:val="20"/>
          <w:szCs w:val="20"/>
        </w:rPr>
        <w:t xml:space="preserve"> 11, no. 5 (May 2016): 235–45, https://doi.org/10.1111/phc3.12324.</w:t>
      </w:r>
      <w:r w:rsidRPr="00072DE6">
        <w:rPr>
          <w:rFonts w:ascii="Calibri" w:hAnsi="Calibri" w:cs="Calibri"/>
          <w:sz w:val="20"/>
          <w:szCs w:val="20"/>
        </w:rPr>
        <w:fldChar w:fldCharType="end"/>
      </w:r>
    </w:p>
  </w:footnote>
  <w:footnote w:id="39">
    <w:p w14:paraId="19AEAFFE"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In certain relationships, the opposite can happen, that because of the relationship, I care less about that person and treat that person “colder” than a complete stranger. Social life has made known to us numerous possibilities where people who have relationships with each other do not give each other preferential regard. While presenting importantly different examples to what is discussed here, these cases do not refute but reinforce the claim that having a relationship with another person changes how one would interact with that person compared to strangers. </w:t>
      </w:r>
    </w:p>
  </w:footnote>
  <w:footnote w:id="40">
    <w:p w14:paraId="5DA272EC"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“Should” here carries a similar force to the claim that “summer should be hotter than winter.” In other words, there seems to be a psychological principle that governs how we most often interact with those who are close to us, such that exceptions would properly be considered anomalies. </w:t>
      </w:r>
    </w:p>
  </w:footnote>
  <w:footnote w:id="41">
    <w:p w14:paraId="3C1FA4CC"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{"citationID":"vQQl9Cfy","properties":{"formattedCitation":"For instance, see Kwong-Loi Shun, \\uc0\\u8220{}Moral Reasons in Confucian Ethics,\\uc0\\u8221{} {\\i{}Journal of Chinese Philosophy} 16, no. 3\\uc0\\u8211{}4 (1989): 317\\uc0\\u8211{}43, https://doi.org/10.1111/j.1540-6253.1989.tb00441.x; Bryan W. Van Norden, \\uc0\\u8220{}Kwong-Loi Shun on Moral Reasons in Mencius,\\uc0\\u8221{} {\\i{}Journal of Chinese Philosophy} 18, no. 4 (1991): 353\\uc0\\u8211{}70, https://doi.org/10.1111/j.1540-6253.1991.tb00733.x; David B. Wong, \\uc0\\u8220{}Reasons and Analogical Reasoning in Mengzi,\\uc0\\u8221{} in {\\i{}Essays on the Moral Philosophy of Mengzi}, ed. Liu Xiusheng and P. J. Ivanhoe (Hackett Publishing Company, 2002), 187\\uc0\\u8211{}220, https://scholars.duke.edu/display/pub1023516; Emily McRae, \\uc0\\u8220{}The Cultivation of Moral Feelings and Mengzi\\uc0\\u8217{}s Method of Extension,\\uc0\\u8221{} {\\i{}Philosophy East and West} 61, no. 4 (2011): 587\\uc0\\u8211{}608, https://doi.org/10.1353/pew.2011.0050, etc.","plainCitation":"For instance, see Kwong-Loi Shun, “Moral Reasons in Confucian Ethics,” Journal of Chinese Philosophy 16, no. 3–4 (1989): 317–43, https://doi.org/10.1111/j.1540-6253.1989.tb00441.x; Bryan W. Van Norden, “Kwong-Loi Shun on Moral Reasons in Mencius,” Journal of Chinese Philosophy 18, no. 4 (1991): 353–70, https://doi.org/10.1111/j.1540-6253.1991.tb00733.x; David B. Wong, “Reasons and Analogical Reasoning in Mengzi,” in Essays on the Moral Philosophy of Mengzi, ed. Liu Xiusheng and P. J. Ivanhoe (Hackett Publishing Company, 2002), 187–220, https://scholars.duke.edu/display/pub1023516; Emily McRae, “The Cultivation of Moral Feelings and Mengzi’s Method of Extension,” Philosophy East and West 61, no. 4 (2011): 587–608, https://doi.org/10.1353/pew.2011.0050, etc.","noteIndex":29},"citationItems":[{"id":486,"uris":["http://zotero.org/users/4376360/items/HEGSZCYJ"],"uri":["http://zotero.org/users/4376360/items/HEGSZCYJ"],"itemData":{"id":486,"type":"article-journal","container-title":"Journal of Chinese Philosophy","DOI":"10.1111/j.1540-6253.1989.tb00441.x","ISSN":"1540-6253","issue":"3-4","language":"en","page":"317-343","source":"Wiley Online Library","title":"Moral Reasons in Confucian Ethics","volume":"16","author":[{"family":"Shun","given":"Kwong-Loi"}],"issued":{"date-parts":[["1989"]]}},"prefix":"For instance, see"},{"id":485,"uris":["http://zotero.org/users/4376360/items/ZDRE47KD"],"uri":["http://zotero.org/users/4376360/items/ZDRE47KD"],"itemData":{"id":485,"type":"article-journal","container-title":"Journal of Chinese Philosophy","DOI":"10.1111/j.1540-6253.1991.tb00733.x","ISSN":"1540-6253","issue":"4","language":"en","page":"353-370","source":"Wiley Online Library","title":"Kwong-Loi Shun on Moral Reasons in Mencius","volume":"18","author":[{"family":"Van Norden","given":"Bryan W."}],"issued":{"date-parts":[["1991"]]}}},{"id":491,"uris":["http://zotero.org/users/4376360/items/D6ZT53BS"],"uri":["http://zotero.org/users/4376360/items/D6ZT53BS"],"itemData":{"id":491,"type":"chapter","container-title":"Essays on the Moral Philosophy of Mengzi","page":"187-220","publisher":"Hackett Publishing Company","title":"Reasons and Analogical Reasoning in Mengzi","URL":"https://scholars.duke.edu/display/pub1023516","author":[{"family":"Wong","given":"David B."}],"editor":[{"family":"Xiusheng","given":"Liu"},{"family":"Ivanhoe","given":"P. J."}],"accessed":{"date-parts":[["2018",12,19]]},"issued":{"date-parts":[["2002"]]}}},{"id":1089,"uris":["http://zotero.org/users/4376360/items/LKTYYFE9"],"uri":["http://zotero.org/users/4376360/items/LKTYYFE9"],"itemData":{"id":1089,"type":"article-journal","container-title":"Philosophy East and West","DOI":"10.1353/pew.2011.0050","ISSN":"1529-1898","issue":"4","journalAbbreviation":"Philosophy East and West","language":"en","page":"587-608","source":"DOI.org (Crossref)","title":"The Cultivation of Moral Feelings and Mengzi's Method of Extension","volume":"61","author":[{"family":"McRae","given":"Emily"}],"issued":{"date-parts":[["2011"]]}},"suffix":", etc."}],"schema":"https://github.com/citation-style-language/schema/raw/master/csl-citation.json"}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For instance, see Kwong-Loi Shun, “Moral Reasons in Confucian Ethics,” </w:t>
      </w:r>
      <w:r w:rsidRPr="00072DE6">
        <w:rPr>
          <w:rFonts w:ascii="Calibri" w:hAnsi="Calibri" w:cs="Calibri"/>
          <w:i/>
          <w:iCs/>
          <w:sz w:val="20"/>
          <w:szCs w:val="20"/>
        </w:rPr>
        <w:t>Journal of Chinese Philosophy</w:t>
      </w:r>
      <w:r w:rsidRPr="00072DE6">
        <w:rPr>
          <w:rFonts w:ascii="Calibri" w:hAnsi="Calibri" w:cs="Calibri"/>
          <w:sz w:val="20"/>
          <w:szCs w:val="20"/>
        </w:rPr>
        <w:t xml:space="preserve"> 16, no. 3–4 (1989): 317–43, https://doi.org/10.1111/j.1540-6253.1989.tb00441.x; Bryan W. Van Norden, “Kwong-Loi Shun on Moral Reasons in Mencius,” </w:t>
      </w:r>
      <w:r w:rsidRPr="00072DE6">
        <w:rPr>
          <w:rFonts w:ascii="Calibri" w:hAnsi="Calibri" w:cs="Calibri"/>
          <w:i/>
          <w:iCs/>
          <w:sz w:val="20"/>
          <w:szCs w:val="20"/>
        </w:rPr>
        <w:t>Journal of Chinese Philosophy</w:t>
      </w:r>
      <w:r w:rsidRPr="00072DE6">
        <w:rPr>
          <w:rFonts w:ascii="Calibri" w:hAnsi="Calibri" w:cs="Calibri"/>
          <w:sz w:val="20"/>
          <w:szCs w:val="20"/>
        </w:rPr>
        <w:t xml:space="preserve"> 18, no. 4 (1991): 353–70, https://doi.org/10.1111/j.1540-6253.1991.tb00733.x; David B. Wong, “Reasons and Analogical Reasoning in Mengzi,” in </w:t>
      </w:r>
      <w:r w:rsidRPr="00072DE6">
        <w:rPr>
          <w:rFonts w:ascii="Calibri" w:hAnsi="Calibri" w:cs="Calibri"/>
          <w:i/>
          <w:iCs/>
          <w:sz w:val="20"/>
          <w:szCs w:val="20"/>
        </w:rPr>
        <w:t>Essays on the Moral Philosophy of Mengzi</w:t>
      </w:r>
      <w:r w:rsidRPr="00072DE6">
        <w:rPr>
          <w:rFonts w:ascii="Calibri" w:hAnsi="Calibri" w:cs="Calibri"/>
          <w:sz w:val="20"/>
          <w:szCs w:val="20"/>
        </w:rPr>
        <w:t xml:space="preserve">, ed. Liu Xiusheng and P. J. Ivanhoe (Hackett Publishing Company, 2002), 187–220, https://scholars.duke.edu/display/pub1023516; Emily McRae, “The Cultivation of Moral Feelings and Mengzi’s Method of Extension,” </w:t>
      </w:r>
      <w:r w:rsidRPr="00072DE6">
        <w:rPr>
          <w:rFonts w:ascii="Calibri" w:hAnsi="Calibri" w:cs="Calibri"/>
          <w:i/>
          <w:iCs/>
          <w:sz w:val="20"/>
          <w:szCs w:val="20"/>
        </w:rPr>
        <w:t>Philosophy East and West</w:t>
      </w:r>
      <w:r w:rsidRPr="00072DE6">
        <w:rPr>
          <w:rFonts w:ascii="Calibri" w:hAnsi="Calibri" w:cs="Calibri"/>
          <w:sz w:val="20"/>
          <w:szCs w:val="20"/>
        </w:rPr>
        <w:t xml:space="preserve"> 61, no. 4 (2011): 587–608, https://doi.org/10.1353/pew.2011.0050, etc.</w:t>
      </w:r>
      <w:r w:rsidRPr="00072DE6">
        <w:rPr>
          <w:rFonts w:ascii="Calibri" w:hAnsi="Calibri" w:cs="Calibri"/>
          <w:sz w:val="20"/>
          <w:szCs w:val="20"/>
        </w:rPr>
        <w:fldChar w:fldCharType="end"/>
      </w:r>
    </w:p>
  </w:footnote>
  <w:footnote w:id="42">
    <w:p w14:paraId="2501F084"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{"citationID":"83haWYyP","properties":{"formattedCitation":"One exception that has plagued later Confucians is rulers. Rulers\\uc0\\u8217{} commands, and the duty to fulfill their commands can rival one\\uc0\\u8217{}s duty to parents. Numerous stories have depicted this conflict of rival moral duty and virtue between zhong \\uc0\\u24544{} (roughly, loyalty) and xiao \\uc0\\u23389{} (filial reverence). See Mark Csikszentmihalyi, {\\i{}Material Virtue: Ethics and the Body in Early China}, Sinica Leidensia, v. 66 (Leiden\\uc0\\u8239{}; Boston: Brill, 2004), 3\\uc0\\u8211{}5; Michael David Kaulana Ing, {\\i{}The Vulnerability of Integrity in Early Confucian Thought} (New York, NY: Oxford University Press, 2017), 146-149. Nonetheless, it is arguably true that despite their competing claims of moral duty, zhong \\uc0\\u24544{}and xiao \\uc0\\u23389{}are significantly different in emotional quality. Xiao \\uc0\\u23389{} is deeply personal and intimate in a way that zhong \\uc0\\u24544{} is not and perhaps should not be. .","plainCitation":"One exception that has plagued later Confucians is rulers. Rulers’ commands, and the duty to fulfill their commands can rival one’s duty to parents. Numerous stories have depicted this conflict of rival moral duty and virtue between zhong </w:instrText>
      </w:r>
      <w:r w:rsidRPr="00072DE6">
        <w:rPr>
          <w:rFonts w:ascii="Calibri" w:eastAsia="MS Mincho" w:hAnsi="Calibri" w:cs="Calibri"/>
          <w:sz w:val="20"/>
          <w:szCs w:val="20"/>
        </w:rPr>
        <w:instrText>忠</w:instrText>
      </w:r>
      <w:r w:rsidRPr="00072DE6">
        <w:rPr>
          <w:rFonts w:ascii="Calibri" w:hAnsi="Calibri" w:cs="Calibri"/>
          <w:sz w:val="20"/>
          <w:szCs w:val="20"/>
        </w:rPr>
        <w:instrText xml:space="preserve"> (roughly, loyalty) and xiao </w:instrText>
      </w:r>
      <w:r w:rsidRPr="00072DE6">
        <w:rPr>
          <w:rFonts w:ascii="Calibri" w:eastAsia="MS Mincho" w:hAnsi="Calibri" w:cs="Calibri"/>
          <w:sz w:val="20"/>
          <w:szCs w:val="20"/>
        </w:rPr>
        <w:instrText>孝</w:instrText>
      </w:r>
      <w:r w:rsidRPr="00072DE6">
        <w:rPr>
          <w:rFonts w:ascii="Calibri" w:hAnsi="Calibri" w:cs="Calibri"/>
          <w:sz w:val="20"/>
          <w:szCs w:val="20"/>
        </w:rPr>
        <w:instrText xml:space="preserve"> (filial reverence). See Mark Csikszentmihalyi, Material Virtue: Ethics and the Body in Early China, Sinica Leidensia, v. 66 (Leiden ; Boston: Brill, 2004), 3–5; Michael David Kaulana Ing, The Vulnerability of Integrity in Early Confucian Thought (New York, NY: Oxford University Press, 2017), 146-149. Nonetheless, it is arguably true that despite their competing claims of moral duty, zhong </w:instrText>
      </w:r>
      <w:r w:rsidRPr="00072DE6">
        <w:rPr>
          <w:rFonts w:ascii="Calibri" w:eastAsia="MS Mincho" w:hAnsi="Calibri" w:cs="Calibri"/>
          <w:sz w:val="20"/>
          <w:szCs w:val="20"/>
        </w:rPr>
        <w:instrText>忠</w:instrText>
      </w:r>
      <w:r w:rsidRPr="00072DE6">
        <w:rPr>
          <w:rFonts w:ascii="Calibri" w:hAnsi="Calibri" w:cs="Calibri"/>
          <w:sz w:val="20"/>
          <w:szCs w:val="20"/>
        </w:rPr>
        <w:instrText xml:space="preserve">and xiao </w:instrText>
      </w:r>
      <w:r w:rsidRPr="00072DE6">
        <w:rPr>
          <w:rFonts w:ascii="Calibri" w:eastAsia="MS Mincho" w:hAnsi="Calibri" w:cs="Calibri"/>
          <w:sz w:val="20"/>
          <w:szCs w:val="20"/>
        </w:rPr>
        <w:instrText>孝</w:instrText>
      </w:r>
      <w:r w:rsidRPr="00072DE6">
        <w:rPr>
          <w:rFonts w:ascii="Calibri" w:hAnsi="Calibri" w:cs="Calibri"/>
          <w:sz w:val="20"/>
          <w:szCs w:val="20"/>
        </w:rPr>
        <w:instrText xml:space="preserve">are significantly different in emotional quality. Xiao </w:instrText>
      </w:r>
      <w:r w:rsidRPr="00072DE6">
        <w:rPr>
          <w:rFonts w:ascii="Calibri" w:eastAsia="MS Mincho" w:hAnsi="Calibri" w:cs="Calibri"/>
          <w:sz w:val="20"/>
          <w:szCs w:val="20"/>
        </w:rPr>
        <w:instrText>孝</w:instrText>
      </w:r>
      <w:r w:rsidRPr="00072DE6">
        <w:rPr>
          <w:rFonts w:ascii="Calibri" w:hAnsi="Calibri" w:cs="Calibri"/>
          <w:sz w:val="20"/>
          <w:szCs w:val="20"/>
        </w:rPr>
        <w:instrText xml:space="preserve"> is deeply personal and intimate in a way that zhong </w:instrText>
      </w:r>
      <w:r w:rsidRPr="00072DE6">
        <w:rPr>
          <w:rFonts w:ascii="Calibri" w:eastAsia="MS Mincho" w:hAnsi="Calibri" w:cs="Calibri"/>
          <w:sz w:val="20"/>
          <w:szCs w:val="20"/>
        </w:rPr>
        <w:instrText>忠</w:instrText>
      </w:r>
      <w:r w:rsidRPr="00072DE6">
        <w:rPr>
          <w:rFonts w:ascii="Calibri" w:hAnsi="Calibri" w:cs="Calibri"/>
          <w:sz w:val="20"/>
          <w:szCs w:val="20"/>
        </w:rPr>
        <w:instrText xml:space="preserve"> is not and perhaps should not be. .","noteIndex":30},"citationItems":[{"id":241,"uris":["http://zotero.org/users/4376360/items/LSL7VJLP"],"uri":["http://zotero.org/users/4376360/items/LSL7VJLP"],"itemData":{"id":241,"type":"book","call-number":"BJ117 .C75 2004","collection-number":"v. 66","collection-title":"Sinica Leidensia","event-place":"Leiden ; Boston","ISBN":"978-90-04-14196-4","language":"eng chi","note":"OCLC: ocm57285752","number-of-pages":"402","publisher":"Brill","publisher-place":"Leiden ; Boston","source":"Library of Congress ISBN","title":"Material virtue: ethics and the body in early China","title-short":"Material virtue","author":[{"family":"Csikszentmihalyi","given":"Mark"}],"issued":{"date-parts":[["2004"]]}},"locator":"3-5","prefix":"One exception that has plagued later Confucians is rulers. Rulers’ commands, and the duty to fulfill their commands can rival one’s duty to parents. Numerous stories have depicted this conflict of rival moral duty and virtue between zhong </w:instrText>
      </w:r>
      <w:r w:rsidRPr="00072DE6">
        <w:rPr>
          <w:rFonts w:ascii="Calibri" w:eastAsia="MS Mincho" w:hAnsi="Calibri" w:cs="Calibri"/>
          <w:sz w:val="20"/>
          <w:szCs w:val="20"/>
        </w:rPr>
        <w:instrText>忠</w:instrText>
      </w:r>
      <w:r w:rsidRPr="00072DE6">
        <w:rPr>
          <w:rFonts w:ascii="Calibri" w:hAnsi="Calibri" w:cs="Calibri"/>
          <w:sz w:val="20"/>
          <w:szCs w:val="20"/>
        </w:rPr>
        <w:instrText xml:space="preserve"> (roughly, loyalty) and xiao </w:instrText>
      </w:r>
      <w:r w:rsidRPr="00072DE6">
        <w:rPr>
          <w:rFonts w:ascii="Calibri" w:eastAsia="MS Mincho" w:hAnsi="Calibri" w:cs="Calibri"/>
          <w:sz w:val="20"/>
          <w:szCs w:val="20"/>
        </w:rPr>
        <w:instrText>孝</w:instrText>
      </w:r>
      <w:r w:rsidRPr="00072DE6">
        <w:rPr>
          <w:rFonts w:ascii="Calibri" w:hAnsi="Calibri" w:cs="Calibri"/>
          <w:sz w:val="20"/>
          <w:szCs w:val="20"/>
        </w:rPr>
        <w:instrText xml:space="preserve"> (filial reverence). See "},{"id":528,"uris":["http://zotero.org/users/4376360/items/QZEAEH65"],"uri":["http://zotero.org/users/4376360/items/QZEAEH65"],"itemData":{"id":528,"type":"book","call-number":"B127.C65 I49 2017","event-place":"New York, NY","ISBN":"978-0-19-067911-8","number-of-pages":"293","publisher":"Oxford University Press","publisher-place":"New York, NY","source":"Library of Congress ISBN","title":"The vulnerability of integrity in early Confucian thought","author":[{"family":"Ing","given":"Michael David Kaulana"}],"issued":{"date-parts":[["2017"]]}},"locator":"146-149.","suffix":"Nonetheless, it is arguably true that despite their competing claims of moral duty, zhong </w:instrText>
      </w:r>
      <w:r w:rsidRPr="00072DE6">
        <w:rPr>
          <w:rFonts w:ascii="Calibri" w:eastAsia="MS Mincho" w:hAnsi="Calibri" w:cs="Calibri"/>
          <w:sz w:val="20"/>
          <w:szCs w:val="20"/>
        </w:rPr>
        <w:instrText>忠</w:instrText>
      </w:r>
      <w:r w:rsidRPr="00072DE6">
        <w:rPr>
          <w:rFonts w:ascii="Calibri" w:hAnsi="Calibri" w:cs="Calibri"/>
          <w:sz w:val="20"/>
          <w:szCs w:val="20"/>
        </w:rPr>
        <w:instrText xml:space="preserve">and xiao </w:instrText>
      </w:r>
      <w:r w:rsidRPr="00072DE6">
        <w:rPr>
          <w:rFonts w:ascii="Calibri" w:eastAsia="MS Mincho" w:hAnsi="Calibri" w:cs="Calibri"/>
          <w:sz w:val="20"/>
          <w:szCs w:val="20"/>
        </w:rPr>
        <w:instrText>孝</w:instrText>
      </w:r>
      <w:r w:rsidRPr="00072DE6">
        <w:rPr>
          <w:rFonts w:ascii="Calibri" w:hAnsi="Calibri" w:cs="Calibri"/>
          <w:sz w:val="20"/>
          <w:szCs w:val="20"/>
        </w:rPr>
        <w:instrText xml:space="preserve">are significantly different in emotional quality. Xiao </w:instrText>
      </w:r>
      <w:r w:rsidRPr="00072DE6">
        <w:rPr>
          <w:rFonts w:ascii="Calibri" w:eastAsia="MS Mincho" w:hAnsi="Calibri" w:cs="Calibri"/>
          <w:sz w:val="20"/>
          <w:szCs w:val="20"/>
        </w:rPr>
        <w:instrText>孝</w:instrText>
      </w:r>
      <w:r w:rsidRPr="00072DE6">
        <w:rPr>
          <w:rFonts w:ascii="Calibri" w:hAnsi="Calibri" w:cs="Calibri"/>
          <w:sz w:val="20"/>
          <w:szCs w:val="20"/>
        </w:rPr>
        <w:instrText xml:space="preserve"> is deeply personal and intimate in a way that zhong </w:instrText>
      </w:r>
      <w:r w:rsidRPr="00072DE6">
        <w:rPr>
          <w:rFonts w:ascii="Calibri" w:eastAsia="MS Mincho" w:hAnsi="Calibri" w:cs="Calibri"/>
          <w:sz w:val="20"/>
          <w:szCs w:val="20"/>
        </w:rPr>
        <w:instrText>忠</w:instrText>
      </w:r>
      <w:r w:rsidRPr="00072DE6">
        <w:rPr>
          <w:rFonts w:ascii="Calibri" w:hAnsi="Calibri" w:cs="Calibri"/>
          <w:sz w:val="20"/>
          <w:szCs w:val="20"/>
        </w:rPr>
        <w:instrText xml:space="preserve"> is not and perhaps should not be. "}],"schema":"https://github.com/citation-style-language/schema/raw/master/csl-citation.json"}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One exception that has plagued later Confucians is rulers. Rulers’ commands, and the duty to fulfill their commands can rival one’s duty to parents. Numerous stories have depicted this conflict of rival moral duties and virtues between </w:t>
      </w:r>
      <w:r w:rsidRPr="00072DE6">
        <w:rPr>
          <w:rFonts w:ascii="Calibri" w:hAnsi="Calibri" w:cs="Calibri"/>
          <w:i/>
          <w:iCs/>
          <w:sz w:val="20"/>
          <w:szCs w:val="20"/>
        </w:rPr>
        <w:t>zhong</w:t>
      </w:r>
      <w:r w:rsidRPr="00072DE6">
        <w:rPr>
          <w:rFonts w:ascii="Calibri" w:hAnsi="Calibri" w:cs="Calibri"/>
          <w:sz w:val="20"/>
          <w:szCs w:val="20"/>
        </w:rPr>
        <w:t xml:space="preserve"> </w:t>
      </w:r>
      <w:r w:rsidRPr="00072DE6">
        <w:rPr>
          <w:rFonts w:ascii="Calibri" w:eastAsia="MS Mincho" w:hAnsi="Calibri" w:cs="Calibri"/>
          <w:sz w:val="20"/>
          <w:szCs w:val="20"/>
        </w:rPr>
        <w:t>忠</w:t>
      </w:r>
      <w:r w:rsidRPr="00072DE6">
        <w:rPr>
          <w:rFonts w:ascii="Calibri" w:hAnsi="Calibri" w:cs="Calibri"/>
          <w:sz w:val="20"/>
          <w:szCs w:val="20"/>
        </w:rPr>
        <w:t xml:space="preserve"> (roughly, loyalty) and </w:t>
      </w:r>
      <w:r w:rsidRPr="00072DE6">
        <w:rPr>
          <w:rFonts w:ascii="Calibri" w:hAnsi="Calibri" w:cs="Calibri"/>
          <w:i/>
          <w:iCs/>
          <w:sz w:val="20"/>
          <w:szCs w:val="20"/>
        </w:rPr>
        <w:t>xiao</w:t>
      </w:r>
      <w:r w:rsidRPr="00072DE6">
        <w:rPr>
          <w:rFonts w:ascii="Calibri" w:hAnsi="Calibri" w:cs="Calibri"/>
          <w:sz w:val="20"/>
          <w:szCs w:val="20"/>
        </w:rPr>
        <w:t xml:space="preserve"> </w:t>
      </w:r>
      <w:r w:rsidRPr="00072DE6">
        <w:rPr>
          <w:rFonts w:ascii="Calibri" w:eastAsia="MS Mincho" w:hAnsi="Calibri" w:cs="Calibri"/>
          <w:sz w:val="20"/>
          <w:szCs w:val="20"/>
        </w:rPr>
        <w:t>孝</w:t>
      </w:r>
      <w:r w:rsidRPr="00072DE6">
        <w:rPr>
          <w:rFonts w:ascii="Calibri" w:hAnsi="Calibri" w:cs="Calibri"/>
          <w:sz w:val="20"/>
          <w:szCs w:val="20"/>
        </w:rPr>
        <w:t xml:space="preserve"> (filial reverence). See Mark Csikszentmihalyi, </w:t>
      </w:r>
      <w:r w:rsidRPr="00072DE6">
        <w:rPr>
          <w:rFonts w:ascii="Calibri" w:hAnsi="Calibri" w:cs="Calibri"/>
          <w:i/>
          <w:iCs/>
          <w:sz w:val="20"/>
          <w:szCs w:val="20"/>
        </w:rPr>
        <w:t>Material Virtue: Ethics and the Body in Early China</w:t>
      </w:r>
      <w:r w:rsidRPr="00072DE6">
        <w:rPr>
          <w:rFonts w:ascii="Calibri" w:hAnsi="Calibri" w:cs="Calibri"/>
          <w:sz w:val="20"/>
          <w:szCs w:val="20"/>
        </w:rPr>
        <w:t xml:space="preserve">, Sinica Leidensia, v. 66 (Leiden ; Boston: Brill, 2004), 3–5; Michael David Kaulana Ing, </w:t>
      </w:r>
      <w:r w:rsidRPr="00072DE6">
        <w:rPr>
          <w:rFonts w:ascii="Calibri" w:hAnsi="Calibri" w:cs="Calibri"/>
          <w:i/>
          <w:iCs/>
          <w:sz w:val="20"/>
          <w:szCs w:val="20"/>
        </w:rPr>
        <w:t>The Vulnerability of Integrity in Early Confucian Thought</w:t>
      </w:r>
      <w:r w:rsidRPr="00072DE6">
        <w:rPr>
          <w:rFonts w:ascii="Calibri" w:hAnsi="Calibri" w:cs="Calibri"/>
          <w:sz w:val="20"/>
          <w:szCs w:val="20"/>
        </w:rPr>
        <w:t xml:space="preserve"> (New York, NY: Oxford University Press, 2017), 146-149. Nonetheless, it is arguably true that despite their competing claims of moral duties, </w:t>
      </w:r>
      <w:r w:rsidRPr="00072DE6">
        <w:rPr>
          <w:rFonts w:ascii="Calibri" w:hAnsi="Calibri" w:cs="Calibri"/>
          <w:i/>
          <w:iCs/>
          <w:sz w:val="20"/>
          <w:szCs w:val="20"/>
        </w:rPr>
        <w:t>zhong</w:t>
      </w:r>
      <w:r w:rsidRPr="00072DE6">
        <w:rPr>
          <w:rFonts w:ascii="Calibri" w:hAnsi="Calibri" w:cs="Calibri"/>
          <w:sz w:val="20"/>
          <w:szCs w:val="20"/>
        </w:rPr>
        <w:t xml:space="preserve"> </w:t>
      </w:r>
      <w:r w:rsidRPr="00072DE6">
        <w:rPr>
          <w:rFonts w:ascii="Calibri" w:eastAsia="MS Mincho" w:hAnsi="Calibri" w:cs="Calibri"/>
          <w:sz w:val="20"/>
          <w:szCs w:val="20"/>
        </w:rPr>
        <w:t>忠</w:t>
      </w:r>
      <w:r w:rsidRPr="00072DE6">
        <w:rPr>
          <w:rFonts w:ascii="Calibri" w:hAnsi="Calibri" w:cs="Calibri"/>
          <w:sz w:val="20"/>
          <w:szCs w:val="20"/>
        </w:rPr>
        <w:t xml:space="preserve">and </w:t>
      </w:r>
      <w:r w:rsidRPr="00072DE6">
        <w:rPr>
          <w:rFonts w:ascii="Calibri" w:hAnsi="Calibri" w:cs="Calibri"/>
          <w:i/>
          <w:iCs/>
          <w:sz w:val="20"/>
          <w:szCs w:val="20"/>
        </w:rPr>
        <w:t>xiao</w:t>
      </w:r>
      <w:r w:rsidRPr="00072DE6">
        <w:rPr>
          <w:rFonts w:ascii="Calibri" w:hAnsi="Calibri" w:cs="Calibri"/>
          <w:sz w:val="20"/>
          <w:szCs w:val="20"/>
        </w:rPr>
        <w:t xml:space="preserve"> </w:t>
      </w:r>
      <w:r w:rsidRPr="00072DE6">
        <w:rPr>
          <w:rFonts w:ascii="Calibri" w:eastAsia="MS Mincho" w:hAnsi="Calibri" w:cs="Calibri"/>
          <w:sz w:val="20"/>
          <w:szCs w:val="20"/>
        </w:rPr>
        <w:t>孝</w:t>
      </w:r>
      <w:r w:rsidRPr="00072DE6">
        <w:rPr>
          <w:rFonts w:ascii="Calibri" w:hAnsi="Calibri" w:cs="Calibri"/>
          <w:sz w:val="20"/>
          <w:szCs w:val="20"/>
        </w:rPr>
        <w:t xml:space="preserve">are significantly different in emotional quality. </w:t>
      </w:r>
      <w:r w:rsidRPr="00072DE6">
        <w:rPr>
          <w:rFonts w:ascii="Calibri" w:hAnsi="Calibri" w:cs="Calibri"/>
          <w:i/>
          <w:iCs/>
          <w:sz w:val="20"/>
          <w:szCs w:val="20"/>
        </w:rPr>
        <w:t>Xiao</w:t>
      </w:r>
      <w:r w:rsidRPr="00072DE6">
        <w:rPr>
          <w:rFonts w:ascii="Calibri" w:hAnsi="Calibri" w:cs="Calibri"/>
          <w:sz w:val="20"/>
          <w:szCs w:val="20"/>
        </w:rPr>
        <w:t xml:space="preserve"> </w:t>
      </w:r>
      <w:r w:rsidRPr="00072DE6">
        <w:rPr>
          <w:rFonts w:ascii="Calibri" w:eastAsia="MS Mincho" w:hAnsi="Calibri" w:cs="Calibri"/>
          <w:sz w:val="20"/>
          <w:szCs w:val="20"/>
        </w:rPr>
        <w:t>孝</w:t>
      </w:r>
      <w:r w:rsidRPr="00072DE6">
        <w:rPr>
          <w:rFonts w:ascii="Calibri" w:hAnsi="Calibri" w:cs="Calibri"/>
          <w:sz w:val="20"/>
          <w:szCs w:val="20"/>
        </w:rPr>
        <w:t xml:space="preserve"> is deeply personal and intimate in a way that </w:t>
      </w:r>
      <w:r w:rsidRPr="00072DE6">
        <w:rPr>
          <w:rFonts w:ascii="Calibri" w:hAnsi="Calibri" w:cs="Calibri"/>
          <w:i/>
          <w:iCs/>
          <w:sz w:val="20"/>
          <w:szCs w:val="20"/>
        </w:rPr>
        <w:t>zhong</w:t>
      </w:r>
      <w:r w:rsidRPr="00072DE6">
        <w:rPr>
          <w:rFonts w:ascii="Calibri" w:hAnsi="Calibri" w:cs="Calibri"/>
          <w:sz w:val="20"/>
          <w:szCs w:val="20"/>
        </w:rPr>
        <w:t xml:space="preserve"> </w:t>
      </w:r>
      <w:r w:rsidRPr="00072DE6">
        <w:rPr>
          <w:rFonts w:ascii="Calibri" w:eastAsia="MS Mincho" w:hAnsi="Calibri" w:cs="Calibri"/>
          <w:sz w:val="20"/>
          <w:szCs w:val="20"/>
        </w:rPr>
        <w:t>忠</w:t>
      </w:r>
      <w:r w:rsidRPr="00072DE6">
        <w:rPr>
          <w:rFonts w:ascii="Calibri" w:hAnsi="Calibri" w:cs="Calibri"/>
          <w:sz w:val="20"/>
          <w:szCs w:val="20"/>
        </w:rPr>
        <w:t xml:space="preserve"> is not and perhaps should not be. </w:t>
      </w:r>
      <w:r w:rsidRPr="00072DE6">
        <w:rPr>
          <w:rFonts w:ascii="Calibri" w:hAnsi="Calibri" w:cs="Calibri"/>
          <w:sz w:val="20"/>
          <w:szCs w:val="20"/>
        </w:rPr>
        <w:fldChar w:fldCharType="end"/>
      </w:r>
    </w:p>
  </w:footnote>
  <w:footnote w:id="43">
    <w:p w14:paraId="5674B997"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color w:val="00B0F0"/>
          <w:sz w:val="20"/>
          <w:szCs w:val="20"/>
        </w:rPr>
        <w:fldChar w:fldCharType="begin"/>
      </w:r>
      <w:r w:rsidRPr="00072DE6">
        <w:rPr>
          <w:rFonts w:ascii="Calibri" w:hAnsi="Calibri" w:cs="Calibri"/>
          <w:color w:val="00B0F0"/>
          <w:sz w:val="20"/>
          <w:szCs w:val="20"/>
        </w:rPr>
        <w:instrText xml:space="preserve"> ADDIN ZOTERO_ITEM CSL_CITATION {"citationID":"OllCrX9y","properties":{"formattedCitation":"This idea that a matured learner should care and worry broadly is taken up by later Confucians and expressed in different forms. Sometimes, it is uttered as an advice to rulers (e.g., Mengzi, 1B4). Sometimes, it is expressed as an ideal to which all should aspire, and Fan Zhongyan \\uc0\\u33539{}\\uc0\\u20210{}\\uc0\\u28153{}\\uc0\\u8217{}s memorable line that one should \\uc0\\u8220{}have worries and concerns before the world has them \\uc0\\u20808{}\\uc0\\u22825{}\\uc0\\u19979{}\\uc0\\u20043{}\\uc0\\u24962{}\\uc0\\u32780{}\\uc0\\u24962{}\\uc0\\u8221{} is a case in point. I thank Shun for pointing out this historical development. For more discussions on how such kind of worry is understood by later Confucians, see Kwong-loi Shun, \\uc0\\u8220{}Zhu Xi and the Idea of One Body,\\uc0\\u8221{} in {\\i{}Dao Companion to ZHU Xi\\uc0\\u8217{}s Philosophy}, ed. Kai-chiu Ng and Yong Huang, vol. 13, Dao Companions to Chinese Philosophy (Cham: Springer International Publishing, 2020), 400\\uc0\\u8211{}402, https://doi.org/10.1007/978-3-030-29175-4_19.","plainCitation":"This idea that a matured learner should care and worry broadly is taken up by later Confucians and expressed in different forms. Sometimes, it is uttered as an advice to rulers (e.g., Mengzi, 1B4). Sometimes, it is expressed as an ideal to which all should aspire, and Fan Zhongyan </w:instrText>
      </w:r>
      <w:r w:rsidRPr="00072DE6">
        <w:rPr>
          <w:rFonts w:ascii="Calibri" w:eastAsia="MS Mincho" w:hAnsi="Calibri" w:cs="Calibri"/>
          <w:color w:val="00B0F0"/>
          <w:sz w:val="20"/>
          <w:szCs w:val="20"/>
        </w:rPr>
        <w:instrText>范仲淹</w:instrText>
      </w:r>
      <w:r w:rsidRPr="00072DE6">
        <w:rPr>
          <w:rFonts w:ascii="Calibri" w:hAnsi="Calibri" w:cs="Calibri"/>
          <w:color w:val="00B0F0"/>
          <w:sz w:val="20"/>
          <w:szCs w:val="20"/>
        </w:rPr>
        <w:instrText xml:space="preserve">’s memorable line that one should “have worries and concerns before the world has them </w:instrText>
      </w:r>
      <w:r w:rsidRPr="00072DE6">
        <w:rPr>
          <w:rFonts w:ascii="Calibri" w:eastAsia="MS Mincho" w:hAnsi="Calibri" w:cs="Calibri"/>
          <w:color w:val="00B0F0"/>
          <w:sz w:val="20"/>
          <w:szCs w:val="20"/>
        </w:rPr>
        <w:instrText>先天下之憂而憂</w:instrText>
      </w:r>
      <w:r w:rsidRPr="00072DE6">
        <w:rPr>
          <w:rFonts w:ascii="Calibri" w:hAnsi="Calibri" w:cs="Calibri"/>
          <w:color w:val="00B0F0"/>
          <w:sz w:val="20"/>
          <w:szCs w:val="20"/>
        </w:rPr>
        <w:instrText xml:space="preserve">” is a case in point. I thank Shun for pointing out this historical development. For more discussions on how such kind of worry is understood by later Confucians, see Kwong-loi Shun, “Zhu Xi and the Idea of One Body,” in Dao Companion to ZHU Xi’s Philosophy, ed. Kai-chiu Ng and Yong Huang, vol. 13, Dao Companions to Chinese Philosophy (Cham: Springer International Publishing, 2020), 400–402, https://doi.org/10.1007/978-3-030-29175-4_19.","noteIndex":32},"citationItems":[{"id":1239,"uris":["http://zotero.org/users/4376360/items/CINVJQS7"],"uri":["http://zotero.org/users/4376360/items/CINVJQS7"],"itemData":{"id":1239,"type":"chapter","container-title":"Dao Companion to ZHU Xi’s Philosophy","event-place":"Cham","ISBN":"978-3-030-29174-7","language":"en","note":"collection-title: Dao Companions to Chinese Philosophy\nDOI: 10.1007/978-3-030-29175-4_19","page":"389-444","publisher":"Springer International Publishing","publisher-place":"Cham","source":"DOI.org (Crossref)","title":"Zhu Xi and the Idea of One Body","URL":"http://link.springer.com/10.1007/978-3-030-29175-4_19","volume":"13","editor":[{"family":"Ng","given":"Kai-chiu"},{"family":"Huang","given":"Yong"}],"author":[{"family":"Shun","given":"Kwong-loi"}],"accessed":{"date-parts":[["2021",3,6]]},"issued":{"date-parts":[["2020"]]}},"locator":"400-402","prefix":"This idea that a matured learner should care and worry broadly is taken up by later Confucians and expressed in different forms. Sometimes, it is uttered as an advice to rulers (e.g., Mengzi, 1B4). Sometimes, it is expressed as an ideal to which all should aspire, and Fan Zhongyan </w:instrText>
      </w:r>
      <w:r w:rsidRPr="00072DE6">
        <w:rPr>
          <w:rFonts w:ascii="Calibri" w:eastAsia="MS Mincho" w:hAnsi="Calibri" w:cs="Calibri"/>
          <w:color w:val="00B0F0"/>
          <w:sz w:val="20"/>
          <w:szCs w:val="20"/>
        </w:rPr>
        <w:instrText>范仲淹</w:instrText>
      </w:r>
      <w:r w:rsidRPr="00072DE6">
        <w:rPr>
          <w:rFonts w:ascii="Calibri" w:hAnsi="Calibri" w:cs="Calibri"/>
          <w:color w:val="00B0F0"/>
          <w:sz w:val="20"/>
          <w:szCs w:val="20"/>
        </w:rPr>
        <w:instrText xml:space="preserve">’s memorable line that one should “have worries and concerns before the world has them </w:instrText>
      </w:r>
      <w:r w:rsidRPr="00072DE6">
        <w:rPr>
          <w:rFonts w:ascii="Calibri" w:eastAsia="MS Mincho" w:hAnsi="Calibri" w:cs="Calibri"/>
          <w:color w:val="00B0F0"/>
          <w:sz w:val="20"/>
          <w:szCs w:val="20"/>
        </w:rPr>
        <w:instrText>先天下之憂而憂</w:instrText>
      </w:r>
      <w:r w:rsidRPr="00072DE6">
        <w:rPr>
          <w:rFonts w:ascii="Calibri" w:hAnsi="Calibri" w:cs="Calibri"/>
          <w:color w:val="00B0F0"/>
          <w:sz w:val="20"/>
          <w:szCs w:val="20"/>
        </w:rPr>
        <w:instrText xml:space="preserve">” is a case in point. I thank Shun for pointing out this historical development. For more discussions on how such kind of worry is understood by later Confucians, see "}],"schema":"https://github.com/citation-style-language/schema/raw/master/csl-citation.json"} </w:instrText>
      </w:r>
      <w:r w:rsidRPr="00072DE6">
        <w:rPr>
          <w:rFonts w:ascii="Calibri" w:hAnsi="Calibri" w:cs="Calibri"/>
          <w:color w:val="00B0F0"/>
          <w:sz w:val="20"/>
          <w:szCs w:val="20"/>
        </w:rPr>
        <w:fldChar w:fldCharType="separate"/>
      </w:r>
      <w:r w:rsidRPr="00072DE6">
        <w:rPr>
          <w:rFonts w:ascii="Calibri" w:hAnsi="Calibri" w:cs="Calibri"/>
          <w:sz w:val="20"/>
          <w:szCs w:val="20"/>
        </w:rPr>
        <w:t xml:space="preserve">This idea that a matured learner should care and worry broadly is taken up by later Confucians and expressed in different forms. Sometimes, it is uttered as advice to rulers (e.g., Mengzi, 1B4). Sometimes, it is expressed as an ideal to which all should aspire, and Fan Zhongyan </w:t>
      </w:r>
      <w:r w:rsidRPr="00072DE6">
        <w:rPr>
          <w:rFonts w:ascii="Calibri" w:eastAsia="MS Mincho" w:hAnsi="Calibri" w:cs="Calibri"/>
          <w:sz w:val="20"/>
          <w:szCs w:val="20"/>
        </w:rPr>
        <w:t>范仲淹</w:t>
      </w:r>
      <w:r w:rsidRPr="00072DE6">
        <w:rPr>
          <w:rFonts w:ascii="Calibri" w:hAnsi="Calibri" w:cs="Calibri"/>
          <w:sz w:val="20"/>
          <w:szCs w:val="20"/>
        </w:rPr>
        <w:t xml:space="preserve"> utters one such memorable line. He says that one should “have worries and concerns before the world has them </w:t>
      </w:r>
      <w:r w:rsidRPr="00072DE6">
        <w:rPr>
          <w:rFonts w:ascii="Calibri" w:eastAsia="MS Mincho" w:hAnsi="Calibri" w:cs="Calibri"/>
          <w:sz w:val="20"/>
          <w:szCs w:val="20"/>
        </w:rPr>
        <w:t>先天下之憂而憂</w:t>
      </w:r>
      <w:r w:rsidRPr="00072DE6">
        <w:rPr>
          <w:rFonts w:ascii="Calibri" w:hAnsi="Calibri" w:cs="Calibri"/>
          <w:sz w:val="20"/>
          <w:szCs w:val="20"/>
        </w:rPr>
        <w:t xml:space="preserve">.” I thank Shun for pointing out this historical development to me. For more discussions on how such kind of worry is understood by later Confucians, see Kwong-loi Shun, “Zhu Xi and the Idea of One Body,” in </w:t>
      </w:r>
      <w:r w:rsidRPr="00072DE6">
        <w:rPr>
          <w:rFonts w:ascii="Calibri" w:hAnsi="Calibri" w:cs="Calibri"/>
          <w:i/>
          <w:iCs/>
          <w:sz w:val="20"/>
          <w:szCs w:val="20"/>
        </w:rPr>
        <w:t>Dao Companion to ZHU Xi’s Philosophy</w:t>
      </w:r>
      <w:r w:rsidRPr="00072DE6">
        <w:rPr>
          <w:rFonts w:ascii="Calibri" w:hAnsi="Calibri" w:cs="Calibri"/>
          <w:sz w:val="20"/>
          <w:szCs w:val="20"/>
        </w:rPr>
        <w:t>, ed. Kai-chiu Ng and Yong Huang, vol. 13, Dao Companions to Chinese Philosophy (Cham: Springer International Publishing, 2020), 400–402, https://doi.org/10.1007/978-3-030-29175-4_19.</w:t>
      </w:r>
      <w:r w:rsidRPr="00072DE6">
        <w:rPr>
          <w:rFonts w:ascii="Calibri" w:hAnsi="Calibri" w:cs="Calibri"/>
          <w:color w:val="00B0F0"/>
          <w:sz w:val="20"/>
          <w:szCs w:val="20"/>
        </w:rPr>
        <w:fldChar w:fldCharType="end"/>
      </w:r>
    </w:p>
  </w:footnote>
  <w:footnote w:id="44">
    <w:p w14:paraId="5700B430"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While this fits well for relationships that are already intimate, it also fits for developing new intimate relationships with important qualifications. For instance, while involvement is necessary for developing intimate relationships, how to get involved is an important and difficult issue to be considered. That requires another paper for another time. </w:t>
      </w:r>
    </w:p>
  </w:footnote>
  <w:footnote w:id="45">
    <w:p w14:paraId="510D8993"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Careful reader might notice that this description also fits extension. Even though it is not the typical way of talking about extension, by my analysis, extension also encourages such involvement where the agent learns to become emotionally sensitive to strangers’ well-being. It would seem, therefore, that the extension and intensification are highly similar. It is true that both methods encourage the learner to become emotionally involved in the life of another. However, discussion below will show that intensification differs in the depth of involvement, and results in the development of highly intimate relationships. </w:t>
      </w:r>
    </w:p>
  </w:footnote>
  <w:footnote w:id="46">
    <w:p w14:paraId="0F63BB13"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{"citationID":"NsNHLXz4","properties":{"formattedCitation":"The grammar of this passage opens it to another interpretation that the only worry children have about parents is their illness. See Cheng \\uc0\\u31243{}, {\\i{}Lun Yu Ji Shi \\uc0\\u35542{}\\uc0\\u35486{}\\uc0\\u38598{}\\uc0\\u37323{}}, 84\\uc0\\u8211{}85; Yong Huang, {\\i{}Confucius: A Guide for the Perplexed}, Guides for the Perplexed (New York: Continuum, 2012), 126; Slingerland, {\\i{}Effortless Action}, 10.","plainCitation":"The grammar of this passage opens it to another interpretation that the only worry children have about parents is their illness. See 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 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 84–85; Yong Huang, Confucius: A Guide for the Perplexed, Guides for the Perplexed (New York: Continuum, 2012), 126; Slingerland, Effortless Action, 10.","noteIndex":34},"citationItems":[{"id":142,"uris":["http://zotero.org/users/4376360/items/SKMCGKKX"],"uri":["http://zotero.org/users/4376360/items/SKMCGKKX"],"itemData":{"id":142,"type":"book","call-number":"PL2471.Z6 C47 1990","collection-title":"Xin bian zhu zi ji cheng","event-place":"Beijing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","ISBN":"978-7-101-00369-7","number-of-pages":"4","publisher":"Zhonghua shu ju : Xin hua shu dian Beijing fa xing suo fa xing </w:instrText>
      </w:r>
      <w:r w:rsidRPr="00072DE6">
        <w:rPr>
          <w:rFonts w:ascii="Calibri" w:eastAsia="MS Mincho" w:hAnsi="Calibri" w:cs="Calibri"/>
          <w:sz w:val="20"/>
          <w:szCs w:val="20"/>
        </w:rPr>
        <w:instrText>新華書店：北京發行所發行</w:instrText>
      </w:r>
      <w:r w:rsidRPr="00072DE6">
        <w:rPr>
          <w:rFonts w:ascii="Calibri" w:hAnsi="Calibri" w:cs="Calibri"/>
          <w:sz w:val="20"/>
          <w:szCs w:val="20"/>
        </w:rPr>
        <w:instrText xml:space="preserve">","publisher-place":"Beijing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","source":"Library of Congress ISBN","title":"Lun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","author":[{"family":"Cheng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","given":"Shude </w:instrText>
      </w:r>
      <w:r w:rsidRPr="00072DE6">
        <w:rPr>
          <w:rFonts w:ascii="Calibri" w:eastAsia="MS Mincho" w:hAnsi="Calibri" w:cs="Calibri"/>
          <w:sz w:val="20"/>
          <w:szCs w:val="20"/>
        </w:rPr>
        <w:instrText>樹德</w:instrText>
      </w:r>
      <w:r w:rsidRPr="00072DE6">
        <w:rPr>
          <w:rFonts w:ascii="Calibri" w:hAnsi="Calibri" w:cs="Calibri"/>
          <w:sz w:val="20"/>
          <w:szCs w:val="20"/>
        </w:rPr>
        <w:instrText xml:space="preserve">"}],"editor":[{"family":"Cheng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","given":"Junying </w:instrText>
      </w:r>
      <w:r w:rsidRPr="00072DE6">
        <w:rPr>
          <w:rFonts w:ascii="Calibri" w:eastAsia="MS Mincho" w:hAnsi="Calibri" w:cs="Calibri"/>
          <w:sz w:val="20"/>
          <w:szCs w:val="20"/>
        </w:rPr>
        <w:instrText>俊英</w:instrText>
      </w:r>
      <w:r w:rsidRPr="00072DE6">
        <w:rPr>
          <w:rFonts w:ascii="Calibri" w:hAnsi="Calibri" w:cs="Calibri"/>
          <w:sz w:val="20"/>
          <w:szCs w:val="20"/>
        </w:rPr>
        <w:instrText xml:space="preserve">"},{"family":"Jiang </w:instrText>
      </w:r>
      <w:r w:rsidRPr="00072DE6">
        <w:rPr>
          <w:rFonts w:ascii="Calibri" w:eastAsia="MS Mincho" w:hAnsi="Calibri" w:cs="Calibri"/>
          <w:sz w:val="20"/>
          <w:szCs w:val="20"/>
        </w:rPr>
        <w:instrText>蔣</w:instrText>
      </w:r>
      <w:r w:rsidRPr="00072DE6">
        <w:rPr>
          <w:rFonts w:ascii="Calibri" w:hAnsi="Calibri" w:cs="Calibri"/>
          <w:sz w:val="20"/>
          <w:szCs w:val="20"/>
        </w:rPr>
        <w:instrText xml:space="preserve">","given":"Jianyuan </w:instrText>
      </w:r>
      <w:r w:rsidRPr="00072DE6">
        <w:rPr>
          <w:rFonts w:ascii="Calibri" w:eastAsia="MS Mincho" w:hAnsi="Calibri" w:cs="Calibri"/>
          <w:sz w:val="20"/>
          <w:szCs w:val="20"/>
        </w:rPr>
        <w:instrText>見元</w:instrText>
      </w:r>
      <w:r w:rsidRPr="00072DE6">
        <w:rPr>
          <w:rFonts w:ascii="Calibri" w:hAnsi="Calibri" w:cs="Calibri"/>
          <w:sz w:val="20"/>
          <w:szCs w:val="20"/>
        </w:rPr>
        <w:instrText xml:space="preserve">"}],"issued":{"date-parts":[["1990"]]}},"locator":"84-85","prefix":"The grammar of this passage opens it to another interpretation that the only worry children have about parents is their illness. See "},{"id":239,"uris":["http://zotero.org/users/4376360/items/2C6WCAVV"],"uri":["http://zotero.org/users/4376360/items/2C6WCAVV"],"itemData":{"id":239,"type":"book","call-number":"B128.C8 H88 2012","collection-title":"Guides for the perplexed","event-place":"New York","ISBN":"978-1-4411-1568-3","publisher":"Continuum","publisher-place":"New York","source":"Library of Congress ISBN","title":"Confucius: a guide for the perplexed","title-short":"Confucius","author":[{"family":"Huang","given":"Yong"}],"issued":{"date-parts":[["2012"]]}},"locator":"126"},{"id":206,"uris":["http://zotero.org/users/4376360/items/MDXDCLP4"],"uri":["http://zotero.org/users/4376360/items/MDXDCLP4"],"itemData":{"id":206,"type":"book","call-number":"B126 .S645 2003","event-place":"Oxford ; New York","ISBN":"978-0-19-513899-3","number-of-pages":"352","publisher":"Oxford University Press","publisher-place":"Oxford ; New York","source":"Library of Congress ISBN","title":"Effortless action: Wu-wei as conceptual metaphor and spiritual ideal in early China","title-short":"Effortless action","author":[{"family":"Slingerland","given":"Edward G."}],"issued":{"date-parts":[["2003"]]}},"locator":"10"}],"schema":"https://github.com/citation-style-language/schema/raw/master/csl-citation.json"}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The grammar of this passage opens it to another interpretation that the only worry children have about parents is their illness. See Cheng </w:t>
      </w:r>
      <w:r w:rsidRPr="00072DE6">
        <w:rPr>
          <w:rFonts w:ascii="Calibri" w:eastAsia="MS Mincho" w:hAnsi="Calibri" w:cs="Calibri"/>
          <w:sz w:val="20"/>
          <w:szCs w:val="20"/>
        </w:rPr>
        <w:t>程</w:t>
      </w:r>
      <w:r w:rsidRPr="00072DE6">
        <w:rPr>
          <w:rFonts w:ascii="Calibri" w:hAnsi="Calibri" w:cs="Calibri"/>
          <w:sz w:val="20"/>
          <w:szCs w:val="20"/>
        </w:rPr>
        <w:t xml:space="preserve">, </w:t>
      </w:r>
      <w:r w:rsidRPr="00072DE6">
        <w:rPr>
          <w:rFonts w:ascii="Calibri" w:hAnsi="Calibri" w:cs="Calibri"/>
          <w:i/>
          <w:iCs/>
          <w:sz w:val="20"/>
          <w:szCs w:val="20"/>
        </w:rPr>
        <w:t xml:space="preserve">Lun Yu Ji Shi </w:t>
      </w:r>
      <w:r w:rsidRPr="00072DE6">
        <w:rPr>
          <w:rFonts w:ascii="Calibri" w:eastAsia="MS Mincho" w:hAnsi="Calibri" w:cs="Calibri"/>
          <w:i/>
          <w:iCs/>
          <w:sz w:val="20"/>
          <w:szCs w:val="20"/>
        </w:rPr>
        <w:t>論語集釋</w:t>
      </w:r>
      <w:r w:rsidRPr="00072DE6">
        <w:rPr>
          <w:rFonts w:ascii="Calibri" w:hAnsi="Calibri" w:cs="Calibri"/>
          <w:sz w:val="20"/>
          <w:szCs w:val="20"/>
        </w:rPr>
        <w:t xml:space="preserve">, 84–85; Yong Huang, </w:t>
      </w:r>
      <w:r w:rsidRPr="00072DE6">
        <w:rPr>
          <w:rFonts w:ascii="Calibri" w:hAnsi="Calibri" w:cs="Calibri"/>
          <w:i/>
          <w:iCs/>
          <w:sz w:val="20"/>
          <w:szCs w:val="20"/>
        </w:rPr>
        <w:t>Confucius: A Guide for the Perplexed</w:t>
      </w:r>
      <w:r w:rsidRPr="00072DE6">
        <w:rPr>
          <w:rFonts w:ascii="Calibri" w:hAnsi="Calibri" w:cs="Calibri"/>
          <w:sz w:val="20"/>
          <w:szCs w:val="20"/>
        </w:rPr>
        <w:t xml:space="preserve">, Guides for the Perplexed (New York: Continuum, 2012), 126; Slingerland, </w:t>
      </w:r>
      <w:r w:rsidRPr="00072DE6">
        <w:rPr>
          <w:rFonts w:ascii="Calibri" w:hAnsi="Calibri" w:cs="Calibri"/>
          <w:i/>
          <w:iCs/>
          <w:sz w:val="20"/>
          <w:szCs w:val="20"/>
        </w:rPr>
        <w:t>Effortless Action</w:t>
      </w:r>
      <w:r w:rsidRPr="00072DE6">
        <w:rPr>
          <w:rFonts w:ascii="Calibri" w:hAnsi="Calibri" w:cs="Calibri"/>
          <w:sz w:val="20"/>
          <w:szCs w:val="20"/>
        </w:rPr>
        <w:t>, 10.</w:t>
      </w:r>
      <w:r w:rsidRPr="00072DE6">
        <w:rPr>
          <w:rFonts w:ascii="Calibri" w:hAnsi="Calibri" w:cs="Calibri"/>
          <w:sz w:val="20"/>
          <w:szCs w:val="20"/>
        </w:rPr>
        <w:fldChar w:fldCharType="end"/>
      </w:r>
    </w:p>
  </w:footnote>
  <w:footnote w:id="47">
    <w:p w14:paraId="000C863F"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{"citationID":"nYKt8nC1","properties":{"formattedCitation":"See Cheng \\uc0\\u31243{}, {\\i{}Lun Yu Ji Shi \\uc0\\u35542{}\\uc0\\u35486{}\\uc0\\u38598{}\\uc0\\u37323{}}, 84.","plainCitation":"See 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 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 84.","noteIndex":35},"citationItems":[{"id":142,"uris":["http://zotero.org/users/4376360/items/SKMCGKKX"],"uri":["http://zotero.org/users/4376360/items/SKMCGKKX"],"itemData":{"id":142,"type":"book","call-number":"PL2471.Z6 C47 1990","collection-title":"Xin bian zhu zi ji cheng","event-place":"Beijing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","ISBN":"978-7-101-00369-7","number-of-pages":"4","publisher":"Zhonghua shu ju : Xin hua shu dian Beijing fa xing suo fa xing </w:instrText>
      </w:r>
      <w:r w:rsidRPr="00072DE6">
        <w:rPr>
          <w:rFonts w:ascii="Calibri" w:eastAsia="MS Mincho" w:hAnsi="Calibri" w:cs="Calibri"/>
          <w:sz w:val="20"/>
          <w:szCs w:val="20"/>
        </w:rPr>
        <w:instrText>新華書店：北京發行所發行</w:instrText>
      </w:r>
      <w:r w:rsidRPr="00072DE6">
        <w:rPr>
          <w:rFonts w:ascii="Calibri" w:hAnsi="Calibri" w:cs="Calibri"/>
          <w:sz w:val="20"/>
          <w:szCs w:val="20"/>
        </w:rPr>
        <w:instrText xml:space="preserve">","publisher-place":"Beijing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","source":"Library of Congress ISBN","title":"Lun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","author":[{"family":"Cheng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","given":"Shude </w:instrText>
      </w:r>
      <w:r w:rsidRPr="00072DE6">
        <w:rPr>
          <w:rFonts w:ascii="Calibri" w:eastAsia="MS Mincho" w:hAnsi="Calibri" w:cs="Calibri"/>
          <w:sz w:val="20"/>
          <w:szCs w:val="20"/>
        </w:rPr>
        <w:instrText>樹德</w:instrText>
      </w:r>
      <w:r w:rsidRPr="00072DE6">
        <w:rPr>
          <w:rFonts w:ascii="Calibri" w:hAnsi="Calibri" w:cs="Calibri"/>
          <w:sz w:val="20"/>
          <w:szCs w:val="20"/>
        </w:rPr>
        <w:instrText xml:space="preserve">"}],"editor":[{"family":"Cheng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","given":"Junying </w:instrText>
      </w:r>
      <w:r w:rsidRPr="00072DE6">
        <w:rPr>
          <w:rFonts w:ascii="Calibri" w:eastAsia="MS Mincho" w:hAnsi="Calibri" w:cs="Calibri"/>
          <w:sz w:val="20"/>
          <w:szCs w:val="20"/>
        </w:rPr>
        <w:instrText>俊英</w:instrText>
      </w:r>
      <w:r w:rsidRPr="00072DE6">
        <w:rPr>
          <w:rFonts w:ascii="Calibri" w:hAnsi="Calibri" w:cs="Calibri"/>
          <w:sz w:val="20"/>
          <w:szCs w:val="20"/>
        </w:rPr>
        <w:instrText xml:space="preserve">"},{"family":"Jiang </w:instrText>
      </w:r>
      <w:r w:rsidRPr="00072DE6">
        <w:rPr>
          <w:rFonts w:ascii="Calibri" w:eastAsia="MS Mincho" w:hAnsi="Calibri" w:cs="Calibri"/>
          <w:sz w:val="20"/>
          <w:szCs w:val="20"/>
        </w:rPr>
        <w:instrText>蔣</w:instrText>
      </w:r>
      <w:r w:rsidRPr="00072DE6">
        <w:rPr>
          <w:rFonts w:ascii="Calibri" w:hAnsi="Calibri" w:cs="Calibri"/>
          <w:sz w:val="20"/>
          <w:szCs w:val="20"/>
        </w:rPr>
        <w:instrText xml:space="preserve">","given":"Jianyuan </w:instrText>
      </w:r>
      <w:r w:rsidRPr="00072DE6">
        <w:rPr>
          <w:rFonts w:ascii="Calibri" w:eastAsia="MS Mincho" w:hAnsi="Calibri" w:cs="Calibri"/>
          <w:sz w:val="20"/>
          <w:szCs w:val="20"/>
        </w:rPr>
        <w:instrText>見元</w:instrText>
      </w:r>
      <w:r w:rsidRPr="00072DE6">
        <w:rPr>
          <w:rFonts w:ascii="Calibri" w:hAnsi="Calibri" w:cs="Calibri"/>
          <w:sz w:val="20"/>
          <w:szCs w:val="20"/>
        </w:rPr>
        <w:instrText xml:space="preserve">"}],"issued":{"date-parts":[["1990"]]}},"locator":"84","prefix":"See"}],"schema":"https://github.com/citation-style-language/schema/raw/master/csl-citation.json"}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See Cheng </w:t>
      </w:r>
      <w:r w:rsidRPr="00072DE6">
        <w:rPr>
          <w:rFonts w:ascii="Calibri" w:eastAsia="MS Mincho" w:hAnsi="Calibri" w:cs="Calibri"/>
          <w:sz w:val="20"/>
          <w:szCs w:val="20"/>
        </w:rPr>
        <w:t>程</w:t>
      </w:r>
      <w:r w:rsidRPr="00072DE6">
        <w:rPr>
          <w:rFonts w:ascii="Calibri" w:hAnsi="Calibri" w:cs="Calibri"/>
          <w:sz w:val="20"/>
          <w:szCs w:val="20"/>
        </w:rPr>
        <w:t xml:space="preserve">, </w:t>
      </w:r>
      <w:r w:rsidRPr="00072DE6">
        <w:rPr>
          <w:rFonts w:ascii="Calibri" w:hAnsi="Calibri" w:cs="Calibri"/>
          <w:i/>
          <w:iCs/>
          <w:sz w:val="20"/>
          <w:szCs w:val="20"/>
        </w:rPr>
        <w:t xml:space="preserve">Lun Yu Ji Shi </w:t>
      </w:r>
      <w:r w:rsidRPr="00072DE6">
        <w:rPr>
          <w:rFonts w:ascii="Calibri" w:eastAsia="MS Mincho" w:hAnsi="Calibri" w:cs="Calibri"/>
          <w:i/>
          <w:iCs/>
          <w:sz w:val="20"/>
          <w:szCs w:val="20"/>
        </w:rPr>
        <w:t>論語集釋</w:t>
      </w:r>
      <w:r w:rsidRPr="00072DE6">
        <w:rPr>
          <w:rFonts w:ascii="Calibri" w:hAnsi="Calibri" w:cs="Calibri"/>
          <w:sz w:val="20"/>
          <w:szCs w:val="20"/>
        </w:rPr>
        <w:t>, 84.</w:t>
      </w:r>
      <w:r w:rsidRPr="00072DE6">
        <w:rPr>
          <w:rFonts w:ascii="Calibri" w:hAnsi="Calibri" w:cs="Calibri"/>
          <w:sz w:val="20"/>
          <w:szCs w:val="20"/>
        </w:rPr>
        <w:fldChar w:fldCharType="end"/>
      </w:r>
    </w:p>
  </w:footnote>
  <w:footnote w:id="48">
    <w:p w14:paraId="7B86D728"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{"citationID":"A10ojbu8","properties":{"formattedCitation":"Ibid. Huang offers a helpful discussion on traditional commentaries and ancient texts. See Huang, {\\i{}Confucius}, 126\\uc0\\u8211{}31.","plainCitation":"Ibid. Huang offers a helpful discussion on traditional commentaries and ancient texts. See Huang, Confucius, 126–31.","noteIndex":36},"citationItems":[{"id":239,"uris":["http://zotero.org/users/4376360/items/2C6WCAVV"],"uri":["http://zotero.org/users/4376360/items/2C6WCAVV"],"itemData":{"id":239,"type":"book","call-number":"B128.C8 H88 2012","collection-title":"Guides for the perplexed","event-place":"New York","ISBN":"978-1-4411-1568-3","publisher":"Continuum","publisher-place":"New York","source":"Library of Congress ISBN","title":"Confucius: a guide for the perplexed","title-short":"Confucius","author":[{"family":"Huang","given":"Yong"}],"issued":{"date-parts":[["2012"]]}},"locator":"126-131","prefix":"Ibid. Huang offers a helpful discussion on traditional commentaries and ancient texts. See "}],"schema":"https://github.com/citation-style-language/schema/raw/master/csl-citation.json"}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Ibid. Huang offers a helpful discussion on traditional commentaries and ancient texts. See Huang, </w:t>
      </w:r>
      <w:r w:rsidRPr="00072DE6">
        <w:rPr>
          <w:rFonts w:ascii="Calibri" w:hAnsi="Calibri" w:cs="Calibri"/>
          <w:i/>
          <w:iCs/>
          <w:sz w:val="20"/>
          <w:szCs w:val="20"/>
        </w:rPr>
        <w:t>Confucius</w:t>
      </w:r>
      <w:r w:rsidRPr="00072DE6">
        <w:rPr>
          <w:rFonts w:ascii="Calibri" w:hAnsi="Calibri" w:cs="Calibri"/>
          <w:sz w:val="20"/>
          <w:szCs w:val="20"/>
        </w:rPr>
        <w:t>, 126–31.</w:t>
      </w:r>
      <w:r w:rsidRPr="00072DE6">
        <w:rPr>
          <w:rFonts w:ascii="Calibri" w:hAnsi="Calibri" w:cs="Calibri"/>
          <w:sz w:val="20"/>
          <w:szCs w:val="20"/>
        </w:rPr>
        <w:fldChar w:fldCharType="end"/>
      </w:r>
    </w:p>
  </w:footnote>
  <w:footnote w:id="49">
    <w:p w14:paraId="7EF9032E"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{"citationID":"C7g6XFNp","properties":{"formattedCitation":"I follow Huang\\uc0\\u8217{}s translation. See Huang, 133\\uc0\\u8211{}36.","plainCitation":"I follow Huang’s translation. See Huang, 133–36.","noteIndex":37},"citationItems":[{"id":239,"uris":["http://zotero.org/users/4376360/items/2C6WCAVV"],"uri":["http://zotero.org/users/4376360/items/2C6WCAVV"],"itemData":{"id":239,"type":"book","call-number":"B128.C8 H88 2012","collection-title":"Guides for the perplexed","event-place":"New York","ISBN":"978-1-4411-1568-3","publisher":"Continuum","publisher-place":"New York","source":"Library of Congress ISBN","title":"Confucius: a guide for the perplexed","title-short":"Confucius","author":[{"family":"Huang","given":"Yong"}],"issued":{"date-parts":[["2012"]]}},"locator":"133-136","prefix":"I follow Huang’s translation. See "}],"schema":"https://github.com/citation-style-language/schema/raw/master/csl-citation.json"}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I follow Huang’s translation. See Huang, 133–36.</w:t>
      </w:r>
      <w:r w:rsidRPr="00072DE6">
        <w:rPr>
          <w:rFonts w:ascii="Calibri" w:hAnsi="Calibri" w:cs="Calibri"/>
          <w:sz w:val="20"/>
          <w:szCs w:val="20"/>
        </w:rPr>
        <w:fldChar w:fldCharType="end"/>
      </w:r>
    </w:p>
  </w:footnote>
  <w:footnote w:id="50">
    <w:p w14:paraId="31FBE7AF"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See the </w:t>
      </w:r>
      <w:r w:rsidRPr="00072DE6">
        <w:rPr>
          <w:rFonts w:ascii="Calibri" w:hAnsi="Calibri" w:cs="Calibri"/>
          <w:i/>
          <w:iCs/>
          <w:sz w:val="20"/>
          <w:szCs w:val="20"/>
        </w:rPr>
        <w:t>Mengzi</w:t>
      </w:r>
      <w:r w:rsidRPr="00072DE6">
        <w:rPr>
          <w:rFonts w:ascii="Calibri" w:hAnsi="Calibri" w:cs="Calibri"/>
          <w:sz w:val="20"/>
          <w:szCs w:val="20"/>
        </w:rPr>
        <w:t xml:space="preserve">, 5a1, for a discussion on the emotion of </w:t>
      </w:r>
      <w:r w:rsidRPr="00072DE6">
        <w:rPr>
          <w:rFonts w:ascii="Calibri" w:hAnsi="Calibri" w:cs="Calibri"/>
          <w:i/>
          <w:iCs/>
          <w:sz w:val="20"/>
          <w:szCs w:val="20"/>
        </w:rPr>
        <w:t xml:space="preserve">yuan </w:t>
      </w:r>
      <w:r w:rsidRPr="00072DE6">
        <w:rPr>
          <w:rFonts w:ascii="Calibri" w:eastAsia="MS Mincho" w:hAnsi="Calibri" w:cs="Calibri"/>
          <w:sz w:val="20"/>
          <w:szCs w:val="20"/>
        </w:rPr>
        <w:t>怨</w:t>
      </w:r>
      <w:r w:rsidRPr="00072DE6">
        <w:rPr>
          <w:rFonts w:ascii="Calibri" w:hAnsi="Calibri" w:cs="Calibri"/>
          <w:sz w:val="20"/>
          <w:szCs w:val="20"/>
        </w:rPr>
        <w:t xml:space="preserve"> in </w:t>
      </w:r>
      <w:r w:rsidRPr="00072DE6">
        <w:rPr>
          <w:rFonts w:ascii="Calibri" w:hAnsi="Calibri" w:cs="Calibri"/>
          <w:i/>
          <w:iCs/>
          <w:sz w:val="20"/>
          <w:szCs w:val="20"/>
        </w:rPr>
        <w:t>xiao</w:t>
      </w:r>
      <w:r w:rsidRPr="00072DE6">
        <w:rPr>
          <w:rFonts w:ascii="Calibri" w:hAnsi="Calibri" w:cs="Calibri"/>
          <w:sz w:val="20"/>
          <w:szCs w:val="20"/>
        </w:rPr>
        <w:t xml:space="preserve">. See also Ing, </w:t>
      </w:r>
      <w:r w:rsidRPr="00072DE6">
        <w:rPr>
          <w:rFonts w:ascii="Calibri" w:hAnsi="Calibri" w:cs="Calibri"/>
          <w:i/>
          <w:iCs/>
          <w:sz w:val="20"/>
          <w:szCs w:val="20"/>
        </w:rPr>
        <w:t>Vulnerability</w:t>
      </w:r>
      <w:r w:rsidRPr="00072DE6">
        <w:rPr>
          <w:rFonts w:ascii="Calibri" w:hAnsi="Calibri" w:cs="Calibri"/>
          <w:sz w:val="20"/>
          <w:szCs w:val="20"/>
        </w:rPr>
        <w:t>, pp113-121.</w:t>
      </w:r>
    </w:p>
  </w:footnote>
  <w:footnote w:id="51">
    <w:p w14:paraId="27F3F4AD"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Bongrae Seok has suggested that another component of learning to worry carefully, in addition to worry broadly and deeply. This means that the cultivation of worrying has a guided direction that focuses on the ethically relevant things (rather than randomly). I thank him for this suggestion. </w:t>
      </w:r>
    </w:p>
  </w:footnote>
  <w:footnote w:id="52">
    <w:p w14:paraId="54FE4AFE"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 thank an anonymous reviewer for raising the concern about the negative psychological influence of worry, upon which I develop this short counterargument. </w:t>
      </w:r>
    </w:p>
  </w:footnote>
  <w:footnote w:id="53">
    <w:p w14:paraId="3A8FCA51"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{"citationID":"dg9k3cDu","properties":{"formattedCitation":"Slingerland, \\uc0\\u8220{}The Conception of Ming in Early Confucian Thought,\\uc0\\u8221{} 568.","plainCitation":"Slingerland, “The Conception of Ming in Early Confucian Thought,” 568.","noteIndex":39},"citationItems":[{"id":300,"uris":["http://zotero.org/users/4376360/items/6GDIX6UV"],"uri":["http://zotero.org/users/4376360/items/6GDIX6UV"],"itemData":{"id":300,"type":"article-journal","abstract":"Various interpretations of the role that ming (\"fate\") plays in early Confucian thought are examined. An interpretation is advanced which argues that early Confucians saw reality as being bifurcated into two distinct realms--\"inner\" and \"outer\"--and that ming refers to unpredictable forces in the outside realm, which are beyond the bounds of proper human endeavor. The vagaries of ming are not the concern of the gentleman, whose efforts and worries are to be focused on the cultivation of the self: the inner realm where \"seeking helps one to get it.\" It is argued that a sense of \"interiority\" is present in early Confucianism, and an attempt is made to distinguish the world-view of Confucius and Mencius from that of later Neo-Confucian interpreters.","archive":"JSTOR","container-title":"Philosophy East and West","DOI":"10.2307/1399496","ISSN":"0031-8221","issue":"4","note":"publisher: University of Hawai'i Press","page":"567-581","source":"JSTOR","title":"The Conception of Ming in Early Confucian Thought","volume":"46","author":[{"family":"Slingerland","given":"Ted"}],"issued":{"date-parts":[["1996"]]}},"locator":"568"}],"schema":"https://github.com/citation-style-language/schema/raw/master/csl-citation.json"}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Slingerland, “The Conception of Ming in Early Confucian Thought,” 568.</w:t>
      </w:r>
      <w:r w:rsidRPr="00072DE6">
        <w:rPr>
          <w:rFonts w:ascii="Calibri" w:hAnsi="Calibri" w:cs="Calibri"/>
          <w:sz w:val="20"/>
          <w:szCs w:val="20"/>
        </w:rPr>
        <w:fldChar w:fldCharType="end"/>
      </w:r>
    </w:p>
  </w:footnote>
  <w:footnote w:id="54">
    <w:p w14:paraId="39514950" w14:textId="77777777" w:rsidR="00830739" w:rsidRPr="00072DE6" w:rsidRDefault="00830739" w:rsidP="00830739">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For interested readers, Shun’s paper has provided one plausible account on how deep worries can be compatible with deep joy. </w:t>
      </w:r>
    </w:p>
  </w:footnote>
  <w:footnote w:id="55">
    <w:p w14:paraId="5E3BEE23"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{"citationID":"Csv0XRl7","properties":{"formattedCitation":"Numerous collections have been produced in the past few years on the topic of humility. See for instance Mark Alfano, Michael P. Lynch, and Alessandra Tanesini, eds., {\\i{}The Routledge Handbook of Philosophy of Humility}, Routledge Handbooks in Philosophy (Abingdon, Oxon\\uc0\\u8239{}; New York, NY: Routledge, 2020); Jennifer Cole Wright, ed., {\\i{}Humility}, The Virtues: Multidisciplinary Perspectives (New York: Oxford University Press, 2019); For a quick overview of discussions on humility in the Western tradition, see Nancy E. Snow, \\uc0\\u8220{}Theories of Humility\\uc0\\u8239{}: An Overview,\\uc0\\u8221{} The Routledge Handbook of Philosophy of Humility (Routledge, June 15, 2020), https://doi.org/10.4324/9781351107532-3.","plainCitation":"Numerous collections have been produced in the past few years on the topic of humility. See for instance Mark Alfano, Michael P. Lynch, and Alessandra Tanesini, eds., The Routledge Handbook of Philosophy of Humility, Routledge Handbooks in Philosophy (Abingdon, Oxon ; New York, NY: Routledge, 2020); Jennifer Cole Wright, ed., Humility, The Virtues: Multidisciplinary Perspectives (New York: Oxford University Press, 2019); For a quick overview of discussions on humility in the Western tradition, see Nancy E. Snow, “Theories of Humility : An Overview,” The Routledge Handbook of Philosophy of Humility (Routledge, June 15, 2020), https://doi.org/10.4324/9781351107532-3.","noteIndex":1},"citationItems":[{"id":1023,"uris":["http://zotero.org/users/4376360/items/DIVRCQLG"],"uri":["http://zotero.org/users/4376360/items/DIVRCQLG"],"itemData":{"id":1023,"type":"book","abstract":"\"Humility is a vital aspect of political discussion, social media and self-help, whilst recent empirical research has linked humility to improved well-being, open-mindedness and increased accuracy in assessing persuasive messages. It is also a topic central to research and discussion in philosophy, psychology, applied ethics and religious studies. The Routledge Handbook of Philosophy of Humility is the first collection to present a comprehensive overview the philosophy of humility, whilst also covering important interdisciplinary topics. Comprising forty-one chapters by an international team of contributors, the Handbook is divided into seven parts: Theories of Humility, The Ethics of Humility , The Politics of Humility, Humility in Religious Thought , The Epistemology of Humility, The Psychology of Humility, Humility: Applications to the Social World. Essential reading for students and researchers in ethics, epistemology, political philosophy, and philosophy of mind and psychology, this Handbook will also be extremely useful for those in related disciplines such as religious studies and law\"--","call-number":"BJ1533.H93","collection-title":"Routledge handbooks in philosophy","event-place":"Abingdon, Oxon ; New York, NY","ISBN":"978-1-351-10753-2","number-of-pages":"1","publisher":"Routledge","publisher-place":"Abingdon, Oxon ; New York, NY","source":"Library of Congress ISBN","title":"The Routledge handbook of philosophy of humility","editor":[{"family":"Alfano","given":"Mark"},{"family":"Lynch","given":"Michael P."},{"family":"Tanesini","given":"Alessandra"}],"issued":{"date-parts":[["2020"]]}},"prefix":"Numerous collections have been produced in the past few years on the topic of humility. See for instance"},{"id":1041,"uris":["http://zotero.org/users/4376360/items/2KA373KR"],"uri":["http://zotero.org/users/4376360/items/2KA373KR"],"itemData":{"id":1041,"type":"book","call-number":"BJ1533.H93 H86 2019","collection-title":"The virtues: multidisciplinary perspectives","event-place":"New York","ISBN":"978-0-19-086487-3","number-of-pages":"383","publisher":"Oxford University Press","publisher-place":"New York","source":"Library of Congress ISBN","title":"Humility","editor":[{"family":"Wright","given":"Jennifer Cole"}],"issued":{"date-parts":[["2019"]]}}},{"id":1032,"uris":["http://zotero.org/users/4376360/items/MLLCA8EI"],"uri":["http://zotero.org/users/4376360/items/MLLCA8EI"],"itemData":{"id":1032,"type":"webpage","abstract":"Both historically and in contemporary times, the virtue of humility has received attention from theologians as well as from philosophers.","container-title":"The Routledge Handbook of Philosophy of Humility","language":"en","note":"page: 9-25\npublisher: Routledge\nDOI: 10.4324/9781351107532-3","title":"Theories of humility : An overview","title-short":"Theories of humility","URL":"https://www.taylorfrancis.com/","author":[{"family":"Snow","given":"Nancy E."}],"accessed":{"date-parts":[["2020",9,30]]},"issued":{"date-parts":[["2020",6,15]]}},"prefix":"For a quick overview of discussions on humility in the Western tradition, see"}],"schema":"https://github.com/citation-style-language/schema/raw/master/csl-citation.json"}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Numerous collections of essays have been produced in the past few years on the topic of humility. See for instance, Mark Alfano, Michael P. Lynch, and Alessandra Tanesini, eds., </w:t>
      </w:r>
      <w:r w:rsidRPr="00072DE6">
        <w:rPr>
          <w:rFonts w:ascii="Calibri" w:hAnsi="Calibri" w:cs="Calibri"/>
          <w:i/>
          <w:iCs/>
          <w:sz w:val="20"/>
          <w:szCs w:val="20"/>
        </w:rPr>
        <w:t>The Routledge Handbook of Philosophy of Humility</w:t>
      </w:r>
      <w:r w:rsidRPr="00072DE6">
        <w:rPr>
          <w:rFonts w:ascii="Calibri" w:hAnsi="Calibri" w:cs="Calibri"/>
          <w:sz w:val="20"/>
          <w:szCs w:val="20"/>
        </w:rPr>
        <w:t xml:space="preserve">, Routledge Handbooks in Philosophy (Abingdon, Oxon ; New York, NY: Routledge, 2020); Jennifer Cole Wright, ed., </w:t>
      </w:r>
      <w:r w:rsidRPr="00072DE6">
        <w:rPr>
          <w:rFonts w:ascii="Calibri" w:hAnsi="Calibri" w:cs="Calibri"/>
          <w:i/>
          <w:iCs/>
          <w:sz w:val="20"/>
          <w:szCs w:val="20"/>
        </w:rPr>
        <w:t>Humility</w:t>
      </w:r>
      <w:r w:rsidRPr="00072DE6">
        <w:rPr>
          <w:rFonts w:ascii="Calibri" w:hAnsi="Calibri" w:cs="Calibri"/>
          <w:sz w:val="20"/>
          <w:szCs w:val="20"/>
        </w:rPr>
        <w:t>, The Virtues: Multidisciplinary Perspectives (New York: Oxford University Press, 2019). For an overview on humility in the broadly construed Western tradition, see Nancy E. Snow, “Theories of Humility: An Overview,” The Routledge Handbook of Philosophy of Humility (Routledge, June 15, 2020), https://doi.org/10.4324/9781351107532-3.</w:t>
      </w:r>
      <w:r w:rsidRPr="00072DE6">
        <w:rPr>
          <w:rFonts w:ascii="Calibri" w:hAnsi="Calibri" w:cs="Calibri"/>
          <w:sz w:val="20"/>
          <w:szCs w:val="20"/>
        </w:rPr>
        <w:fldChar w:fldCharType="end"/>
      </w:r>
    </w:p>
  </w:footnote>
  <w:footnote w:id="56">
    <w:p w14:paraId="3C2B9CF1"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{"citationID":"nKe0SuSy","properties":{"formattedCitation":"While most translations in this paper are my own, I have consulted the following translations and commentaries: Edward G. Slingerland, trans., {\\i{}Confucius Analects: With Selection from Traditional Commentaries} (Indianapolis, IN: Hackett Pub. Co, 2003); Roger T. Ames and Henry Rosemont, trans., {\\i{}The Analects of Confucius: A Philosophical Translation}, 1st trade pbk. ed, Classics of Ancient China (New York: Ballantine Books, 1999); Confucius, E. Bruce Brooks, and A. Taeko Brooks, {\\i{}The Original Analects: Sayings of Confucius and His Successors}, Translations from the Asian Classics (New York [Great Britain]: Columbia University Press, 1998); Qinshan \\uc0\\u38054{}\\uc0\\u21892{} Sun \\uc0\\u23385{}, {\\i{}Lun Yu Ben Jie \\uc0\\u35770{}\\uc0\\u35821{}\\uc0\\u26412{}\\uc0\\u35299{}}, Xiu ding ban (Beijing Shi: Sheng huo - du shu - xin zhi san lian shu dian, 2013); Shude \\uc0\\u27193{}\\uc0\\u24503{} Cheng \\uc0\\u31243{}, {\\i{}Lun Yu Ji Shi \\uc0\\u35542{}\\uc0\\u35486{}\\uc0\\u38598{}\\uc0\\u37323{}}, ed. Junying \\uc0\\u20426{}\\uc0\\u33521{} Cheng \\uc0\\u31243{} and Jianyuan \\uc0\\u35211{}\\uc0\\u20803{} Jiang \\uc0\\u34083{}, Xin Bian Zhu Zi Ji Cheng (Beijing \\uc0\\u21271{}\\uc0\\u20140{}: Zhonghua shu ju\\uc0\\u8239{}: Xin hua shu dian Beijing fa xing suo fa xing \\uc0\\u26032{}\\uc0\\u33775{}\\uc0\\u26360{}\\uc0\\u24215{}\\uc0\\u65306{}\\uc0\\u21271{}\\uc0\\u20140{}\\uc0\\u30332{}\\uc0\\u34892{}\\uc0\\u25152{}\\uc0\\u30332{}\\uc0\\u34892{}, 1990); Ling \\uc0\\u38646{} Li \\uc0\\u26446{}, {\\i{}Sang Jia Gou: Wo Du \\uc0\\u8220{}Lun Yu\\uc0\\u8221{} \\uc0\\u20007{}\\uc0\\u23478{}\\uc0\\u29356{} -- \\uc0\\u25105{}\\uc0\\u35835{}\\uc0\\u12298{}\\uc0\\u35770{}\\uc0\\u35821{}\\uc0\\u12299{}}, Xiu ding ban, di 1 ban (Taiyuan: Shanxi ren min chu ban she, 2007) Regarding figures discussed in this paper such as Kongzi and his students, I do not imply strong historical accuracy, but the personas presented in the text that has some historical affinity. .","plainCitation":"While most translations in this paper are my own, I have consulted the following translations and commentaries: Edward G. Slingerland, trans., Confucius Analects: With Selection from Traditional Commentaries (Indianapolis, IN: Hackett Pub. Co, 2003); Roger T. Ames and Henry Rosemont, trans., The Analects of Confucius: A Philosophical Translation, 1st trade pbk. ed, Classics of Ancient China (New York: Ballantine Books, 1999); Confucius, E. Bruce Brooks, and A. Taeko Brooks, The Original Analects: Sayings of Confucius and His Successors, Translations from the Asian Classics (New York [Great Britain]: Columbia University Press, 1998); Qinshan </w:instrText>
      </w:r>
      <w:r w:rsidRPr="00072DE6">
        <w:rPr>
          <w:rFonts w:ascii="Calibri" w:eastAsia="SimSun" w:hAnsi="Calibri" w:cs="Calibri"/>
          <w:sz w:val="20"/>
          <w:szCs w:val="20"/>
        </w:rPr>
        <w:instrText>钦善</w:instrText>
      </w:r>
      <w:r w:rsidRPr="00072DE6">
        <w:rPr>
          <w:rFonts w:ascii="Calibri" w:hAnsi="Calibri" w:cs="Calibri"/>
          <w:sz w:val="20"/>
          <w:szCs w:val="20"/>
        </w:rPr>
        <w:instrText xml:space="preserve"> Sun </w:instrText>
      </w:r>
      <w:r w:rsidRPr="00072DE6">
        <w:rPr>
          <w:rFonts w:ascii="Calibri" w:eastAsia="SimSun" w:hAnsi="Calibri" w:cs="Calibri"/>
          <w:sz w:val="20"/>
          <w:szCs w:val="20"/>
        </w:rPr>
        <w:instrText>孙</w:instrText>
      </w:r>
      <w:r w:rsidRPr="00072DE6">
        <w:rPr>
          <w:rFonts w:ascii="Calibri" w:hAnsi="Calibri" w:cs="Calibri"/>
          <w:sz w:val="20"/>
          <w:szCs w:val="20"/>
        </w:rPr>
        <w:instrText xml:space="preserve">, Lun Yu Ben Jie </w:instrText>
      </w:r>
      <w:r w:rsidRPr="00072DE6">
        <w:rPr>
          <w:rFonts w:ascii="Calibri" w:eastAsia="SimSun" w:hAnsi="Calibri" w:cs="Calibri"/>
          <w:sz w:val="20"/>
          <w:szCs w:val="20"/>
        </w:rPr>
        <w:instrText>论语本解</w:instrText>
      </w:r>
      <w:r w:rsidRPr="00072DE6">
        <w:rPr>
          <w:rFonts w:ascii="Calibri" w:hAnsi="Calibri" w:cs="Calibri"/>
          <w:sz w:val="20"/>
          <w:szCs w:val="20"/>
        </w:rPr>
        <w:instrText xml:space="preserve">, Xiu ding ban (Beijing Shi: Sheng huo - du shu - xin zhi san lian shu dian, 2013); Shude </w:instrText>
      </w:r>
      <w:r w:rsidRPr="00072DE6">
        <w:rPr>
          <w:rFonts w:ascii="Calibri" w:eastAsia="MS Mincho" w:hAnsi="Calibri" w:cs="Calibri"/>
          <w:sz w:val="20"/>
          <w:szCs w:val="20"/>
        </w:rPr>
        <w:instrText>樹德</w:instrText>
      </w:r>
      <w:r w:rsidRPr="00072DE6">
        <w:rPr>
          <w:rFonts w:ascii="Calibri" w:hAnsi="Calibri" w:cs="Calibri"/>
          <w:sz w:val="20"/>
          <w:szCs w:val="20"/>
        </w:rPr>
        <w:instrText xml:space="preserve"> 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 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 ed. Junying </w:instrText>
      </w:r>
      <w:r w:rsidRPr="00072DE6">
        <w:rPr>
          <w:rFonts w:ascii="Calibri" w:eastAsia="MS Mincho" w:hAnsi="Calibri" w:cs="Calibri"/>
          <w:sz w:val="20"/>
          <w:szCs w:val="20"/>
        </w:rPr>
        <w:instrText>俊英</w:instrText>
      </w:r>
      <w:r w:rsidRPr="00072DE6">
        <w:rPr>
          <w:rFonts w:ascii="Calibri" w:hAnsi="Calibri" w:cs="Calibri"/>
          <w:sz w:val="20"/>
          <w:szCs w:val="20"/>
        </w:rPr>
        <w:instrText xml:space="preserve"> 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 and Jianyuan </w:instrText>
      </w:r>
      <w:r w:rsidRPr="00072DE6">
        <w:rPr>
          <w:rFonts w:ascii="Calibri" w:eastAsia="MS Mincho" w:hAnsi="Calibri" w:cs="Calibri"/>
          <w:sz w:val="20"/>
          <w:szCs w:val="20"/>
        </w:rPr>
        <w:instrText>見元</w:instrText>
      </w:r>
      <w:r w:rsidRPr="00072DE6">
        <w:rPr>
          <w:rFonts w:ascii="Calibri" w:hAnsi="Calibri" w:cs="Calibri"/>
          <w:sz w:val="20"/>
          <w:szCs w:val="20"/>
        </w:rPr>
        <w:instrText xml:space="preserve"> Jiang </w:instrText>
      </w:r>
      <w:r w:rsidRPr="00072DE6">
        <w:rPr>
          <w:rFonts w:ascii="Calibri" w:eastAsia="MS Mincho" w:hAnsi="Calibri" w:cs="Calibri"/>
          <w:sz w:val="20"/>
          <w:szCs w:val="20"/>
        </w:rPr>
        <w:instrText>蔣</w:instrText>
      </w:r>
      <w:r w:rsidRPr="00072DE6">
        <w:rPr>
          <w:rFonts w:ascii="Calibri" w:hAnsi="Calibri" w:cs="Calibri"/>
          <w:sz w:val="20"/>
          <w:szCs w:val="20"/>
        </w:rPr>
        <w:instrText xml:space="preserve">, Xin Bian Zhu Zi Ji Cheng (Beijing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 Zhonghua shu ju : Xin hua shu dian Beijing fa xing suo fa xing </w:instrText>
      </w:r>
      <w:r w:rsidRPr="00072DE6">
        <w:rPr>
          <w:rFonts w:ascii="Calibri" w:eastAsia="MS Mincho" w:hAnsi="Calibri" w:cs="Calibri"/>
          <w:sz w:val="20"/>
          <w:szCs w:val="20"/>
        </w:rPr>
        <w:instrText>新華書店：北京發行所發行</w:instrText>
      </w:r>
      <w:r w:rsidRPr="00072DE6">
        <w:rPr>
          <w:rFonts w:ascii="Calibri" w:hAnsi="Calibri" w:cs="Calibri"/>
          <w:sz w:val="20"/>
          <w:szCs w:val="20"/>
        </w:rPr>
        <w:instrText xml:space="preserve">, 1990); Ling </w:instrText>
      </w:r>
      <w:r w:rsidRPr="00072DE6">
        <w:rPr>
          <w:rFonts w:ascii="Calibri" w:eastAsia="MS Mincho" w:hAnsi="Calibri" w:cs="Calibri"/>
          <w:sz w:val="20"/>
          <w:szCs w:val="20"/>
        </w:rPr>
        <w:instrText>零</w:instrText>
      </w:r>
      <w:r w:rsidRPr="00072DE6">
        <w:rPr>
          <w:rFonts w:ascii="Calibri" w:hAnsi="Calibri" w:cs="Calibri"/>
          <w:sz w:val="20"/>
          <w:szCs w:val="20"/>
        </w:rPr>
        <w:instrText xml:space="preserve"> Li </w:instrText>
      </w:r>
      <w:r w:rsidRPr="00072DE6">
        <w:rPr>
          <w:rFonts w:ascii="Calibri" w:eastAsia="MS Mincho" w:hAnsi="Calibri" w:cs="Calibri"/>
          <w:sz w:val="20"/>
          <w:szCs w:val="20"/>
        </w:rPr>
        <w:instrText>李</w:instrText>
      </w:r>
      <w:r w:rsidRPr="00072DE6">
        <w:rPr>
          <w:rFonts w:ascii="Calibri" w:hAnsi="Calibri" w:cs="Calibri"/>
          <w:sz w:val="20"/>
          <w:szCs w:val="20"/>
        </w:rPr>
        <w:instrText xml:space="preserve">, Sang Jia Gou: Wo Du “Lun Yu” </w:instrText>
      </w:r>
      <w:r w:rsidRPr="00072DE6">
        <w:rPr>
          <w:rFonts w:ascii="Calibri" w:eastAsia="SimSun" w:hAnsi="Calibri" w:cs="Calibri"/>
          <w:sz w:val="20"/>
          <w:szCs w:val="20"/>
        </w:rPr>
        <w:instrText>丧家犬</w:instrText>
      </w:r>
      <w:r w:rsidRPr="00072DE6">
        <w:rPr>
          <w:rFonts w:ascii="Calibri" w:hAnsi="Calibri" w:cs="Calibri"/>
          <w:sz w:val="20"/>
          <w:szCs w:val="20"/>
        </w:rPr>
        <w:instrText xml:space="preserve"> -- </w:instrText>
      </w:r>
      <w:r w:rsidRPr="00072DE6">
        <w:rPr>
          <w:rFonts w:ascii="Calibri" w:eastAsia="MS Mincho" w:hAnsi="Calibri" w:cs="Calibri"/>
          <w:sz w:val="20"/>
          <w:szCs w:val="20"/>
        </w:rPr>
        <w:instrText>我</w:instrText>
      </w:r>
      <w:r w:rsidRPr="00072DE6">
        <w:rPr>
          <w:rFonts w:ascii="Calibri" w:eastAsia="SimSun" w:hAnsi="Calibri" w:cs="Calibri"/>
          <w:sz w:val="20"/>
          <w:szCs w:val="20"/>
        </w:rPr>
        <w:instrText>读《论语》</w:instrText>
      </w:r>
      <w:r w:rsidRPr="00072DE6">
        <w:rPr>
          <w:rFonts w:ascii="Calibri" w:hAnsi="Calibri" w:cs="Calibri"/>
          <w:sz w:val="20"/>
          <w:szCs w:val="20"/>
        </w:rPr>
        <w:instrText xml:space="preserve">, Xiu ding ban, di 1 ban (Taiyuan: Shanxi ren min chu ban she, 2007) Regarding figures discussed in this paper such as Kongzi and his students, I do not imply strong historical accuracy, but the personas presented in the text that has some historical affinity. .","dontUpdate":true,"noteIndex":2},"citationItems":[{"id":153,"uris":["http://zotero.org/users/4376360/items/LWZBIS8W"],"uri":["http://zotero.org/users/4376360/items/LWZBIS8W"],"itemData":{"id":153,"type":"book","call-number":"PL2478 .L8 2003","event-place":"Indianapolis, IN","ISBN":"978-0-87220-636-6","language":"eng","number-of-pages":"279","publisher":"Hackett Pub. Co","publisher-place":"Indianapolis, IN","source":"Library of Congress ISBN","title":"Confucius Analects: with Selection from Traditional Commentaries","title-short":"Confucius analects","translator":[{"family":"Slingerland","given":"Edward G."}],"issued":{"date-parts":[["2003"]]}},"label":"page","prefix":"While most translations in this paper are my own, I have consulted the following translations and commentaries: "},{"id":138,"uris":["http://zotero.org/users/4376360/items/DDVLSA9B"],"uri":["http://zotero.org/users/4376360/items/DDVLSA9B"],"itemData":{"id":138,"type":"book","call-number":"PL2478 .L328 1999","collection-title":"Classics of ancient China","edition":"1st trade pbk. ed","event-place":"New York","ISBN":"978-0-345-43407-4","language":"engchi","number-of-pages":"326","publisher":"Ballantine Books","publisher-place":"New York","source":"Library of Congress ISBN","title":"The Analects of Confucius: a Philosophical Translation","title-short":"The analects of Confucius","translator":[{"family":"Ames","given":"Roger T."},{"family":"Rosemont","given":"Henry"}],"issued":{"date-parts":[["1999"]]}},"label":"page"},{"id":141,"uris":["http://zotero.org/users/4376360/items/GUYZY575"],"uri":["http://zotero.org/users/4376360/items/GUYZY575"],"itemData":{"id":141,"type":"book","collection-title":"Translations from the Asian classics","event-place":"New York [Great Britain]","ISBN":"978-0-231-10430-2","language":"eng chi chi","number-of-pages":"340","publisher":"Columbia University Press","publisher-place":"New York [Great Britain]","source":"Gemeinsamer Bibliotheksverbund ISBN","title":"The original Analects: sayings of Confucius and his successors","title-short":"The original Analects","author":[{"literal":"Confucius"},{"family":"Brooks","given":"E. Bruce"},{"family":"Brooks","given":"A. Taeko"}],"issued":{"date-parts":[["1998"]]}},"label":"page"},{"id":240,"uris":["http://zotero.org/users/4376360/items/XQNKIJK3"],"uri":["http://zotero.org/users/4376360/items/XQNKIJK3"],"itemData":{"id":240,"type":"book","edition":"Xiu ding ban","event-place":"Beijing Shi","ISBN":"978-7-108-04572-0","number-of-pages":"365","publisher":"Sheng huo - du shu - xin zhi san lian shu dian","publisher-place":"Beijing Shi","source":"Library of Congress ISBN","title":"Lun yu ben jie </w:instrText>
      </w:r>
      <w:r w:rsidRPr="00072DE6">
        <w:rPr>
          <w:rFonts w:ascii="Calibri" w:eastAsia="SimSun" w:hAnsi="Calibri" w:cs="Calibri"/>
          <w:sz w:val="20"/>
          <w:szCs w:val="20"/>
        </w:rPr>
        <w:instrText>论语本解</w:instrText>
      </w:r>
      <w:r w:rsidRPr="00072DE6">
        <w:rPr>
          <w:rFonts w:ascii="Calibri" w:hAnsi="Calibri" w:cs="Calibri"/>
          <w:sz w:val="20"/>
          <w:szCs w:val="20"/>
        </w:rPr>
        <w:instrText xml:space="preserve">","author":[{"family":"Sun </w:instrText>
      </w:r>
      <w:r w:rsidRPr="00072DE6">
        <w:rPr>
          <w:rFonts w:ascii="Calibri" w:eastAsia="SimSun" w:hAnsi="Calibri" w:cs="Calibri"/>
          <w:sz w:val="20"/>
          <w:szCs w:val="20"/>
        </w:rPr>
        <w:instrText>孙</w:instrText>
      </w:r>
      <w:r w:rsidRPr="00072DE6">
        <w:rPr>
          <w:rFonts w:ascii="Calibri" w:hAnsi="Calibri" w:cs="Calibri"/>
          <w:sz w:val="20"/>
          <w:szCs w:val="20"/>
        </w:rPr>
        <w:instrText xml:space="preserve">","given":"Qinshan </w:instrText>
      </w:r>
      <w:r w:rsidRPr="00072DE6">
        <w:rPr>
          <w:rFonts w:ascii="Calibri" w:eastAsia="SimSun" w:hAnsi="Calibri" w:cs="Calibri"/>
          <w:sz w:val="20"/>
          <w:szCs w:val="20"/>
        </w:rPr>
        <w:instrText>钦善</w:instrText>
      </w:r>
      <w:r w:rsidRPr="00072DE6">
        <w:rPr>
          <w:rFonts w:ascii="Calibri" w:hAnsi="Calibri" w:cs="Calibri"/>
          <w:sz w:val="20"/>
          <w:szCs w:val="20"/>
        </w:rPr>
        <w:instrText xml:space="preserve">"}],"issued":{"date-parts":[["2013"]]}},"label":"page"},{"id":142,"uris":["http://zotero.org/users/4376360/items/SKMCGKKX"],"uri":["http://zotero.org/users/4376360/items/SKMCGKKX"],"itemData":{"id":142,"type":"book","call-number":"PL2471.Z6 C47 1990","collection-title":"Xin bian zhu zi ji cheng","event-place":"Beijing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","ISBN":"978-7-101-00369-7","number-of-pages":"4","publisher":"Zhonghua shu ju : Xin hua shu dian Beijing fa xing suo fa xing </w:instrText>
      </w:r>
      <w:r w:rsidRPr="00072DE6">
        <w:rPr>
          <w:rFonts w:ascii="Calibri" w:eastAsia="MS Mincho" w:hAnsi="Calibri" w:cs="Calibri"/>
          <w:sz w:val="20"/>
          <w:szCs w:val="20"/>
        </w:rPr>
        <w:instrText>新華書店：北京發行所發行</w:instrText>
      </w:r>
      <w:r w:rsidRPr="00072DE6">
        <w:rPr>
          <w:rFonts w:ascii="Calibri" w:hAnsi="Calibri" w:cs="Calibri"/>
          <w:sz w:val="20"/>
          <w:szCs w:val="20"/>
        </w:rPr>
        <w:instrText xml:space="preserve">","publisher-place":"Beijing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","source":"Library of Congress ISBN","title":"Lun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","author":[{"family":"Cheng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","given":"Shude </w:instrText>
      </w:r>
      <w:r w:rsidRPr="00072DE6">
        <w:rPr>
          <w:rFonts w:ascii="Calibri" w:eastAsia="MS Mincho" w:hAnsi="Calibri" w:cs="Calibri"/>
          <w:sz w:val="20"/>
          <w:szCs w:val="20"/>
        </w:rPr>
        <w:instrText>樹德</w:instrText>
      </w:r>
      <w:r w:rsidRPr="00072DE6">
        <w:rPr>
          <w:rFonts w:ascii="Calibri" w:hAnsi="Calibri" w:cs="Calibri"/>
          <w:sz w:val="20"/>
          <w:szCs w:val="20"/>
        </w:rPr>
        <w:instrText xml:space="preserve">"}],"editor":[{"family":"Cheng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","given":"Junying </w:instrText>
      </w:r>
      <w:r w:rsidRPr="00072DE6">
        <w:rPr>
          <w:rFonts w:ascii="Calibri" w:eastAsia="MS Mincho" w:hAnsi="Calibri" w:cs="Calibri"/>
          <w:sz w:val="20"/>
          <w:szCs w:val="20"/>
        </w:rPr>
        <w:instrText>俊英</w:instrText>
      </w:r>
      <w:r w:rsidRPr="00072DE6">
        <w:rPr>
          <w:rFonts w:ascii="Calibri" w:hAnsi="Calibri" w:cs="Calibri"/>
          <w:sz w:val="20"/>
          <w:szCs w:val="20"/>
        </w:rPr>
        <w:instrText xml:space="preserve">"},{"family":"Jiang </w:instrText>
      </w:r>
      <w:r w:rsidRPr="00072DE6">
        <w:rPr>
          <w:rFonts w:ascii="Calibri" w:eastAsia="MS Mincho" w:hAnsi="Calibri" w:cs="Calibri"/>
          <w:sz w:val="20"/>
          <w:szCs w:val="20"/>
        </w:rPr>
        <w:instrText>蔣</w:instrText>
      </w:r>
      <w:r w:rsidRPr="00072DE6">
        <w:rPr>
          <w:rFonts w:ascii="Calibri" w:hAnsi="Calibri" w:cs="Calibri"/>
          <w:sz w:val="20"/>
          <w:szCs w:val="20"/>
        </w:rPr>
        <w:instrText xml:space="preserve">","given":"Jianyuan </w:instrText>
      </w:r>
      <w:r w:rsidRPr="00072DE6">
        <w:rPr>
          <w:rFonts w:ascii="Calibri" w:eastAsia="MS Mincho" w:hAnsi="Calibri" w:cs="Calibri"/>
          <w:sz w:val="20"/>
          <w:szCs w:val="20"/>
        </w:rPr>
        <w:instrText>見元</w:instrText>
      </w:r>
      <w:r w:rsidRPr="00072DE6">
        <w:rPr>
          <w:rFonts w:ascii="Calibri" w:hAnsi="Calibri" w:cs="Calibri"/>
          <w:sz w:val="20"/>
          <w:szCs w:val="20"/>
        </w:rPr>
        <w:instrText xml:space="preserve">"}],"issued":{"date-parts":[["1990"]]}},"label":"page"},{"id":521,"uris":["http://zotero.org/users/4376360/items/PBNE488F"],"uri":["http://zotero.org/users/4376360/items/PBNE488F"],"itemData":{"id":521,"type":"book","call-number":"PL2471.Z7 L53 2007","edition":"Xiu ding ban, di 1 ban","event-place":"Taiyuan","ISBN":"978-7-203-05791-8","note":"OCLC: ocn134621400","number-of-pages":"2","publisher":"Shanxi ren min chu ban she","publisher-place":"Taiyuan","source":"Library of Congress ISBN","title":"Sang jia gou: wo du \"Lun yu\" </w:instrText>
      </w:r>
      <w:r w:rsidRPr="00072DE6">
        <w:rPr>
          <w:rFonts w:ascii="Calibri" w:eastAsia="SimSun" w:hAnsi="Calibri" w:cs="Calibri"/>
          <w:sz w:val="20"/>
          <w:szCs w:val="20"/>
        </w:rPr>
        <w:instrText>丧家犬</w:instrText>
      </w:r>
      <w:r w:rsidRPr="00072DE6">
        <w:rPr>
          <w:rFonts w:ascii="Calibri" w:hAnsi="Calibri" w:cs="Calibri"/>
          <w:sz w:val="20"/>
          <w:szCs w:val="20"/>
        </w:rPr>
        <w:instrText xml:space="preserve"> -- </w:instrText>
      </w:r>
      <w:r w:rsidRPr="00072DE6">
        <w:rPr>
          <w:rFonts w:ascii="Calibri" w:eastAsia="MS Mincho" w:hAnsi="Calibri" w:cs="Calibri"/>
          <w:sz w:val="20"/>
          <w:szCs w:val="20"/>
        </w:rPr>
        <w:instrText>我</w:instrText>
      </w:r>
      <w:r w:rsidRPr="00072DE6">
        <w:rPr>
          <w:rFonts w:ascii="Calibri" w:eastAsia="SimSun" w:hAnsi="Calibri" w:cs="Calibri"/>
          <w:sz w:val="20"/>
          <w:szCs w:val="20"/>
        </w:rPr>
        <w:instrText>读《论语》</w:instrText>
      </w:r>
      <w:r w:rsidRPr="00072DE6">
        <w:rPr>
          <w:rFonts w:ascii="Calibri" w:hAnsi="Calibri" w:cs="Calibri"/>
          <w:sz w:val="20"/>
          <w:szCs w:val="20"/>
        </w:rPr>
        <w:instrText xml:space="preserve">","title-short":"Sang jia gou","author":[{"family":"Li </w:instrText>
      </w:r>
      <w:r w:rsidRPr="00072DE6">
        <w:rPr>
          <w:rFonts w:ascii="Calibri" w:eastAsia="MS Mincho" w:hAnsi="Calibri" w:cs="Calibri"/>
          <w:sz w:val="20"/>
          <w:szCs w:val="20"/>
        </w:rPr>
        <w:instrText>李</w:instrText>
      </w:r>
      <w:r w:rsidRPr="00072DE6">
        <w:rPr>
          <w:rFonts w:ascii="Calibri" w:hAnsi="Calibri" w:cs="Calibri"/>
          <w:sz w:val="20"/>
          <w:szCs w:val="20"/>
        </w:rPr>
        <w:instrText xml:space="preserve">","given":"Ling </w:instrText>
      </w:r>
      <w:r w:rsidRPr="00072DE6">
        <w:rPr>
          <w:rFonts w:ascii="Calibri" w:eastAsia="MS Mincho" w:hAnsi="Calibri" w:cs="Calibri"/>
          <w:sz w:val="20"/>
          <w:szCs w:val="20"/>
        </w:rPr>
        <w:instrText>零</w:instrText>
      </w:r>
      <w:r w:rsidRPr="00072DE6">
        <w:rPr>
          <w:rFonts w:ascii="Calibri" w:hAnsi="Calibri" w:cs="Calibri"/>
          <w:sz w:val="20"/>
          <w:szCs w:val="20"/>
        </w:rPr>
        <w:instrText xml:space="preserve">"}],"issued":{"date-parts":[["2007"]]}},"label":"page","suffix":"Regarding figures discussed in this paper such as Kongzi and his students, I do not imply strong historical accuracy, but the personas presented in the text that has some historical affinity. "}],"schema":"https://github.com/citation-style-language/schema/raw/master/csl-citation.json"}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While most translations in this paper are my own, I have consulted the following translations and commentaries: Edward G. Slingerland, trans., </w:t>
      </w:r>
      <w:r w:rsidRPr="00072DE6">
        <w:rPr>
          <w:rFonts w:ascii="Calibri" w:hAnsi="Calibri" w:cs="Calibri"/>
          <w:i/>
          <w:iCs/>
          <w:sz w:val="20"/>
          <w:szCs w:val="20"/>
        </w:rPr>
        <w:t>Confucius Analects: With Selection from Traditional Commentaries</w:t>
      </w:r>
      <w:r w:rsidRPr="00072DE6">
        <w:rPr>
          <w:rFonts w:ascii="Calibri" w:hAnsi="Calibri" w:cs="Calibri"/>
          <w:sz w:val="20"/>
          <w:szCs w:val="20"/>
        </w:rPr>
        <w:t xml:space="preserve"> (Indianapolis, IN: Hackett Pub. Co, 2003); Roger T. Ames and Henry Rosemont, trans., </w:t>
      </w:r>
      <w:r w:rsidRPr="00072DE6">
        <w:rPr>
          <w:rFonts w:ascii="Calibri" w:hAnsi="Calibri" w:cs="Calibri"/>
          <w:i/>
          <w:iCs/>
          <w:sz w:val="20"/>
          <w:szCs w:val="20"/>
        </w:rPr>
        <w:t>The Analects of Confucius: A Philosophical Translation</w:t>
      </w:r>
      <w:r w:rsidRPr="00072DE6">
        <w:rPr>
          <w:rFonts w:ascii="Calibri" w:hAnsi="Calibri" w:cs="Calibri"/>
          <w:sz w:val="20"/>
          <w:szCs w:val="20"/>
        </w:rPr>
        <w:t xml:space="preserve">, 1st trade pbk. ed, Classics of Ancient China (New York: Ballantine Books, 1999); Confucius, E. Bruce Brooks, and A. Taeko Brooks, </w:t>
      </w:r>
      <w:r w:rsidRPr="00072DE6">
        <w:rPr>
          <w:rFonts w:ascii="Calibri" w:hAnsi="Calibri" w:cs="Calibri"/>
          <w:i/>
          <w:iCs/>
          <w:sz w:val="20"/>
          <w:szCs w:val="20"/>
        </w:rPr>
        <w:t>The Original Analects: Sayings of Confucius and His Successors</w:t>
      </w:r>
      <w:r w:rsidRPr="00072DE6">
        <w:rPr>
          <w:rFonts w:ascii="Calibri" w:hAnsi="Calibri" w:cs="Calibri"/>
          <w:sz w:val="20"/>
          <w:szCs w:val="20"/>
        </w:rPr>
        <w:t xml:space="preserve">, Translations from the Asian Classics (New York [Great Britain]: Columbia University Press, 1998); Qinshan </w:t>
      </w:r>
      <w:r w:rsidRPr="00072DE6">
        <w:rPr>
          <w:rFonts w:ascii="Calibri" w:eastAsia="SimSun" w:hAnsi="Calibri" w:cs="Calibri"/>
          <w:sz w:val="20"/>
          <w:szCs w:val="20"/>
        </w:rPr>
        <w:t>钦善</w:t>
      </w:r>
      <w:r w:rsidRPr="00072DE6">
        <w:rPr>
          <w:rFonts w:ascii="Calibri" w:hAnsi="Calibri" w:cs="Calibri"/>
          <w:sz w:val="20"/>
          <w:szCs w:val="20"/>
        </w:rPr>
        <w:t xml:space="preserve"> Sun </w:t>
      </w:r>
      <w:r w:rsidRPr="00072DE6">
        <w:rPr>
          <w:rFonts w:ascii="Calibri" w:eastAsia="SimSun" w:hAnsi="Calibri" w:cs="Calibri"/>
          <w:sz w:val="20"/>
          <w:szCs w:val="20"/>
        </w:rPr>
        <w:t>孙</w:t>
      </w:r>
      <w:r w:rsidRPr="00072DE6">
        <w:rPr>
          <w:rFonts w:ascii="Calibri" w:hAnsi="Calibri" w:cs="Calibri"/>
          <w:sz w:val="20"/>
          <w:szCs w:val="20"/>
        </w:rPr>
        <w:t xml:space="preserve">, </w:t>
      </w:r>
      <w:r w:rsidRPr="00072DE6">
        <w:rPr>
          <w:rFonts w:ascii="Calibri" w:hAnsi="Calibri" w:cs="Calibri"/>
          <w:i/>
          <w:iCs/>
          <w:sz w:val="20"/>
          <w:szCs w:val="20"/>
        </w:rPr>
        <w:t xml:space="preserve">Lun Yu Ben Jie </w:t>
      </w:r>
      <w:r w:rsidRPr="00072DE6">
        <w:rPr>
          <w:rFonts w:ascii="Calibri" w:eastAsia="SimSun" w:hAnsi="Calibri" w:cs="Calibri"/>
          <w:i/>
          <w:iCs/>
          <w:sz w:val="20"/>
          <w:szCs w:val="20"/>
        </w:rPr>
        <w:t>论语本解</w:t>
      </w:r>
      <w:r w:rsidRPr="00072DE6">
        <w:rPr>
          <w:rFonts w:ascii="Calibri" w:hAnsi="Calibri" w:cs="Calibri"/>
          <w:sz w:val="20"/>
          <w:szCs w:val="20"/>
        </w:rPr>
        <w:t xml:space="preserve">, Xiu ding ban (Beijing Shi: Sheng huo - du shu - xin zhi san lian shu dian, 2013); Shude </w:t>
      </w:r>
      <w:r w:rsidRPr="00072DE6">
        <w:rPr>
          <w:rFonts w:ascii="Calibri" w:eastAsia="MS Mincho" w:hAnsi="Calibri" w:cs="Calibri"/>
          <w:sz w:val="20"/>
          <w:szCs w:val="20"/>
        </w:rPr>
        <w:t>樹德</w:t>
      </w:r>
      <w:r w:rsidRPr="00072DE6">
        <w:rPr>
          <w:rFonts w:ascii="Calibri" w:hAnsi="Calibri" w:cs="Calibri"/>
          <w:sz w:val="20"/>
          <w:szCs w:val="20"/>
        </w:rPr>
        <w:t xml:space="preserve"> Cheng </w:t>
      </w:r>
      <w:r w:rsidRPr="00072DE6">
        <w:rPr>
          <w:rFonts w:ascii="Calibri" w:eastAsia="MS Mincho" w:hAnsi="Calibri" w:cs="Calibri"/>
          <w:sz w:val="20"/>
          <w:szCs w:val="20"/>
        </w:rPr>
        <w:t>程</w:t>
      </w:r>
      <w:r w:rsidRPr="00072DE6">
        <w:rPr>
          <w:rFonts w:ascii="Calibri" w:hAnsi="Calibri" w:cs="Calibri"/>
          <w:sz w:val="20"/>
          <w:szCs w:val="20"/>
        </w:rPr>
        <w:t xml:space="preserve">, </w:t>
      </w:r>
      <w:r w:rsidRPr="00072DE6">
        <w:rPr>
          <w:rFonts w:ascii="Calibri" w:hAnsi="Calibri" w:cs="Calibri"/>
          <w:i/>
          <w:iCs/>
          <w:sz w:val="20"/>
          <w:szCs w:val="20"/>
        </w:rPr>
        <w:t xml:space="preserve">Lun Yu Ji Shi </w:t>
      </w:r>
      <w:r w:rsidRPr="00072DE6">
        <w:rPr>
          <w:rFonts w:ascii="Calibri" w:eastAsia="MS Mincho" w:hAnsi="Calibri" w:cs="Calibri"/>
          <w:i/>
          <w:iCs/>
          <w:sz w:val="20"/>
          <w:szCs w:val="20"/>
        </w:rPr>
        <w:t>論語集釋</w:t>
      </w:r>
      <w:r w:rsidRPr="00072DE6">
        <w:rPr>
          <w:rFonts w:ascii="Calibri" w:hAnsi="Calibri" w:cs="Calibri"/>
          <w:sz w:val="20"/>
          <w:szCs w:val="20"/>
        </w:rPr>
        <w:t xml:space="preserve">, ed. Junying </w:t>
      </w:r>
      <w:r w:rsidRPr="00072DE6">
        <w:rPr>
          <w:rFonts w:ascii="Calibri" w:eastAsia="MS Mincho" w:hAnsi="Calibri" w:cs="Calibri"/>
          <w:sz w:val="20"/>
          <w:szCs w:val="20"/>
        </w:rPr>
        <w:t>俊英</w:t>
      </w:r>
      <w:r w:rsidRPr="00072DE6">
        <w:rPr>
          <w:rFonts w:ascii="Calibri" w:hAnsi="Calibri" w:cs="Calibri"/>
          <w:sz w:val="20"/>
          <w:szCs w:val="20"/>
        </w:rPr>
        <w:t xml:space="preserve"> Cheng </w:t>
      </w:r>
      <w:r w:rsidRPr="00072DE6">
        <w:rPr>
          <w:rFonts w:ascii="Calibri" w:eastAsia="MS Mincho" w:hAnsi="Calibri" w:cs="Calibri"/>
          <w:sz w:val="20"/>
          <w:szCs w:val="20"/>
        </w:rPr>
        <w:t>程</w:t>
      </w:r>
      <w:r w:rsidRPr="00072DE6">
        <w:rPr>
          <w:rFonts w:ascii="Calibri" w:hAnsi="Calibri" w:cs="Calibri"/>
          <w:sz w:val="20"/>
          <w:szCs w:val="20"/>
        </w:rPr>
        <w:t xml:space="preserve"> and Jianyuan </w:t>
      </w:r>
      <w:r w:rsidRPr="00072DE6">
        <w:rPr>
          <w:rFonts w:ascii="Calibri" w:eastAsia="MS Mincho" w:hAnsi="Calibri" w:cs="Calibri"/>
          <w:sz w:val="20"/>
          <w:szCs w:val="20"/>
        </w:rPr>
        <w:t>見元</w:t>
      </w:r>
      <w:r w:rsidRPr="00072DE6">
        <w:rPr>
          <w:rFonts w:ascii="Calibri" w:hAnsi="Calibri" w:cs="Calibri"/>
          <w:sz w:val="20"/>
          <w:szCs w:val="20"/>
        </w:rPr>
        <w:t xml:space="preserve"> Jiang </w:t>
      </w:r>
      <w:r w:rsidRPr="00072DE6">
        <w:rPr>
          <w:rFonts w:ascii="Calibri" w:eastAsia="MS Mincho" w:hAnsi="Calibri" w:cs="Calibri"/>
          <w:sz w:val="20"/>
          <w:szCs w:val="20"/>
        </w:rPr>
        <w:t>蔣</w:t>
      </w:r>
      <w:r w:rsidRPr="00072DE6">
        <w:rPr>
          <w:rFonts w:ascii="Calibri" w:hAnsi="Calibri" w:cs="Calibri"/>
          <w:sz w:val="20"/>
          <w:szCs w:val="20"/>
        </w:rPr>
        <w:t xml:space="preserve">, Xin Bian Zhu Zi Ji Cheng (Beijing </w:t>
      </w:r>
      <w:r w:rsidRPr="00072DE6">
        <w:rPr>
          <w:rFonts w:ascii="Calibri" w:eastAsia="MS Mincho" w:hAnsi="Calibri" w:cs="Calibri"/>
          <w:sz w:val="20"/>
          <w:szCs w:val="20"/>
        </w:rPr>
        <w:t>北京</w:t>
      </w:r>
      <w:r w:rsidRPr="00072DE6">
        <w:rPr>
          <w:rFonts w:ascii="Calibri" w:hAnsi="Calibri" w:cs="Calibri"/>
          <w:sz w:val="20"/>
          <w:szCs w:val="20"/>
        </w:rPr>
        <w:t xml:space="preserve">: Zhonghua shu ju : Xin hua shu dian Beijing fa xing suo fa xing </w:t>
      </w:r>
      <w:r w:rsidRPr="00072DE6">
        <w:rPr>
          <w:rFonts w:ascii="Calibri" w:eastAsia="MS Mincho" w:hAnsi="Calibri" w:cs="Calibri"/>
          <w:sz w:val="20"/>
          <w:szCs w:val="20"/>
        </w:rPr>
        <w:t>新華書店：北京發行所發行</w:t>
      </w:r>
      <w:r w:rsidRPr="00072DE6">
        <w:rPr>
          <w:rFonts w:ascii="Calibri" w:hAnsi="Calibri" w:cs="Calibri"/>
          <w:sz w:val="20"/>
          <w:szCs w:val="20"/>
        </w:rPr>
        <w:t xml:space="preserve">, 1990); Ling </w:t>
      </w:r>
      <w:r w:rsidRPr="00072DE6">
        <w:rPr>
          <w:rFonts w:ascii="Calibri" w:eastAsia="MS Mincho" w:hAnsi="Calibri" w:cs="Calibri"/>
          <w:sz w:val="20"/>
          <w:szCs w:val="20"/>
        </w:rPr>
        <w:t>零</w:t>
      </w:r>
      <w:r w:rsidRPr="00072DE6">
        <w:rPr>
          <w:rFonts w:ascii="Calibri" w:hAnsi="Calibri" w:cs="Calibri"/>
          <w:sz w:val="20"/>
          <w:szCs w:val="20"/>
        </w:rPr>
        <w:t xml:space="preserve"> Li </w:t>
      </w:r>
      <w:r w:rsidRPr="00072DE6">
        <w:rPr>
          <w:rFonts w:ascii="Calibri" w:eastAsia="MS Mincho" w:hAnsi="Calibri" w:cs="Calibri"/>
          <w:sz w:val="20"/>
          <w:szCs w:val="20"/>
        </w:rPr>
        <w:t>李</w:t>
      </w:r>
      <w:r w:rsidRPr="00072DE6">
        <w:rPr>
          <w:rFonts w:ascii="Calibri" w:hAnsi="Calibri" w:cs="Calibri"/>
          <w:sz w:val="20"/>
          <w:szCs w:val="20"/>
        </w:rPr>
        <w:t xml:space="preserve">, </w:t>
      </w:r>
      <w:r w:rsidRPr="00072DE6">
        <w:rPr>
          <w:rFonts w:ascii="Calibri" w:hAnsi="Calibri" w:cs="Calibri"/>
          <w:i/>
          <w:iCs/>
          <w:sz w:val="20"/>
          <w:szCs w:val="20"/>
        </w:rPr>
        <w:t xml:space="preserve">Sang Jia Gou: Wo Du “Lun Yu” </w:t>
      </w:r>
      <w:r w:rsidRPr="00072DE6">
        <w:rPr>
          <w:rFonts w:ascii="Calibri" w:eastAsia="SimSun" w:hAnsi="Calibri" w:cs="Calibri"/>
          <w:i/>
          <w:iCs/>
          <w:sz w:val="20"/>
          <w:szCs w:val="20"/>
        </w:rPr>
        <w:t>丧家犬</w:t>
      </w:r>
      <w:r w:rsidRPr="00072DE6">
        <w:rPr>
          <w:rFonts w:ascii="Calibri" w:hAnsi="Calibri" w:cs="Calibri"/>
          <w:i/>
          <w:iCs/>
          <w:sz w:val="20"/>
          <w:szCs w:val="20"/>
        </w:rPr>
        <w:t xml:space="preserve"> -- </w:t>
      </w:r>
      <w:r w:rsidRPr="00072DE6">
        <w:rPr>
          <w:rFonts w:ascii="Calibri" w:eastAsia="MS Mincho" w:hAnsi="Calibri" w:cs="Calibri"/>
          <w:i/>
          <w:iCs/>
          <w:sz w:val="20"/>
          <w:szCs w:val="20"/>
        </w:rPr>
        <w:t>我</w:t>
      </w:r>
      <w:r w:rsidRPr="00072DE6">
        <w:rPr>
          <w:rFonts w:ascii="Calibri" w:eastAsia="SimSun" w:hAnsi="Calibri" w:cs="Calibri"/>
          <w:i/>
          <w:iCs/>
          <w:sz w:val="20"/>
          <w:szCs w:val="20"/>
        </w:rPr>
        <w:t>读《论语》</w:t>
      </w:r>
      <w:r w:rsidRPr="00072DE6">
        <w:rPr>
          <w:rFonts w:ascii="Calibri" w:hAnsi="Calibri" w:cs="Calibri"/>
          <w:sz w:val="20"/>
          <w:szCs w:val="20"/>
        </w:rPr>
        <w:t>, Xiu ding ban, di 1 ban (Taiyuan: Shanxi ren min chu ban she, 2007). Regarding figures discussed in this paper such as Kongzi and his students, I do not imply strong historical accuracy, but the personas presented in the text that has some historical affinity.</w:t>
      </w:r>
      <w:r w:rsidRPr="00072DE6">
        <w:rPr>
          <w:rFonts w:ascii="Calibri" w:hAnsi="Calibri" w:cs="Calibri"/>
          <w:sz w:val="20"/>
          <w:szCs w:val="20"/>
        </w:rPr>
        <w:fldChar w:fldCharType="end"/>
      </w:r>
    </w:p>
  </w:footnote>
  <w:footnote w:id="57">
    <w:p w14:paraId="7030966D"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{"citationID":"YTfLOzxn","properties":{"formattedCitation":"Jin Li, \\uc0\\u8220{}Humility in Learning: A Confucian Perspective,\\uc0\\u8221{} {\\i{}Journal of Moral Education} 45, no. 2 (April 2, 2016): 147\\uc0\\u8211{}65, https://doi.org/10.1080/03057240.2016.1168736.","plainCitation":"Jin Li, “Humility in Learning: A Confucian Perspective,” Journal of Moral Education 45, no. 2 (April 2, 2016): 147–65, https://doi.org/10.1080/03057240.2016.1168736.","noteIndex":3},"citationItems":[{"id":320,"uris":["http://zotero.org/users/4376360/items/NJEJGM8R"],"uri":["http://zotero.org/users/4376360/items/NJEJGM8R"],"itemData":{"id":320,"type":"article-journal","abstract":"Little research exists on humility in human learning and from a cultural perspective. This article reviews current research and conceptualizes humility as a basic human potential that can become a virtue when cultivated. But the cultivation depends on the cultural values placed on humility. Although humility is recognized in the West, ambivalence toward it exists because it may contradict important Western values of self-esteem and self-confidence in learning. By contrast, the Confucian conception of humility is geared toward moral self-cultivation in learning. In discussing this type of humility, the West appeals more to cognitive considerations of correctness or wrongness of one’s beliefs and acceptance of one’s fallibilities as a knower/learner. Quite differently, the Confucian view presumes the learner as never-full and warns about the trap of conceit, appealing to one’s constant need to self-improve. The more one achieves, the greater the need to remain humble. The condition for fostering such humility and a likely developmental process are entertained.","container-title":"Journal of Moral Education","DOI":"10.1080/03057240.2016.1168736","ISSN":"0305-7240","issue":"2","note":"publisher: Routledge\n_eprint: https://doi.org/10.1080/03057240.2016.1168736","page":"147-165","source":"Taylor and Francis+NEJM","title":"Humility in learning: A Confucian perspective","title-short":"Humility in learning","volume":"45","author":[{"family":"Li","given":"Jin"}],"issued":{"date-parts":[["2016",4,2]]}}}],"schema":"https://github.com/citation-style-language/schema/raw/master/csl-citation.json"}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Jin Li, “Humility in Learning: A Confucian Perspective,” </w:t>
      </w:r>
      <w:r w:rsidRPr="00072DE6">
        <w:rPr>
          <w:rFonts w:ascii="Calibri" w:hAnsi="Calibri" w:cs="Calibri"/>
          <w:i/>
          <w:iCs/>
          <w:sz w:val="20"/>
          <w:szCs w:val="20"/>
        </w:rPr>
        <w:t>Journal of Moral Education</w:t>
      </w:r>
      <w:r w:rsidRPr="00072DE6">
        <w:rPr>
          <w:rFonts w:ascii="Calibri" w:hAnsi="Calibri" w:cs="Calibri"/>
          <w:sz w:val="20"/>
          <w:szCs w:val="20"/>
        </w:rPr>
        <w:t xml:space="preserve"> 45, no. 2 (April 2, 2016): 147–65, https://doi.org/10.1080/03057240.2016.1168736.</w:t>
      </w:r>
      <w:r w:rsidRPr="00072DE6">
        <w:rPr>
          <w:rFonts w:ascii="Calibri" w:hAnsi="Calibri" w:cs="Calibri"/>
          <w:sz w:val="20"/>
          <w:szCs w:val="20"/>
        </w:rPr>
        <w:fldChar w:fldCharType="end"/>
      </w:r>
      <w:r w:rsidRPr="00072DE6">
        <w:rPr>
          <w:rFonts w:ascii="Calibri" w:hAnsi="Calibri" w:cs="Calibri"/>
          <w:sz w:val="20"/>
          <w:szCs w:val="20"/>
        </w:rPr>
        <w:t xml:space="preserve"> While I have focused on the more philosophical part of Li’s essay, it contains interesting discussions of how significant humility is in different culture that interested readers might find thought-provoking. </w:t>
      </w:r>
    </w:p>
  </w:footnote>
  <w:footnote w:id="58">
    <w:p w14:paraId="1307BB60"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{"citationID":"nt0IvnNL","properties":{"formattedCitation":"Li, 152.","plainCitation":"Li, 152.","noteIndex":4},"citationItems":[{"id":320,"uris":["http://zotero.org/users/4376360/items/NJEJGM8R"],"uri":["http://zotero.org/users/4376360/items/NJEJGM8R"],"itemData":{"id":320,"type":"article-journal","abstract":"Little research exists on humility in human learning and from a cultural perspective. This article reviews current research and conceptualizes humility as a basic human potential that can become a virtue when cultivated. But the cultivation depends on the cultural values placed on humility. Although humility is recognized in the West, ambivalence toward it exists because it may contradict important Western values of self-esteem and self-confidence in learning. By contrast, the Confucian conception of humility is geared toward moral self-cultivation in learning. In discussing this type of humility, the West appeals more to cognitive considerations of correctness or wrongness of one’s beliefs and acceptance of one’s fallibilities as a knower/learner. Quite differently, the Confucian view presumes the learner as never-full and warns about the trap of conceit, appealing to one’s constant need to self-improve. The more one achieves, the greater the need to remain humble. The condition for fostering such humility and a likely developmental process are entertained.","container-title":"Journal of Moral Education","DOI":"10.1080/03057240.2016.1168736","ISSN":"0305-7240","issue":"2","note":"publisher: Routledge\n_eprint: https://doi.org/10.1080/03057240.2016.1168736","page":"147-165","source":"Taylor and Francis+NEJM","title":"Humility in learning: A Confucian perspective","title-short":"Humility in learning","volume":"45","author":[{"family":"Li","given":"Jin"}],"issued":{"date-parts":[["2016",4,2]]}},"locator":"152"}],"schema":"https://github.com/citation-style-language/schema/raw/master/csl-citation.json"}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Li, 152.</w:t>
      </w:r>
      <w:r w:rsidRPr="00072DE6">
        <w:rPr>
          <w:rFonts w:ascii="Calibri" w:hAnsi="Calibri" w:cs="Calibri"/>
          <w:sz w:val="20"/>
          <w:szCs w:val="20"/>
        </w:rPr>
        <w:fldChar w:fldCharType="end"/>
      </w:r>
    </w:p>
  </w:footnote>
  <w:footnote w:id="59">
    <w:p w14:paraId="2AAC1B62"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{"citationID":"zW2fdkD7","properties":{"formattedCitation":"Li, 153.","plainCitation":"Li, 153.","dontUpdate":true,"noteIndex":5},"citationItems":[{"id":320,"uris":["http://zotero.org/users/4376360/items/NJEJGM8R"],"uri":["http://zotero.org/users/4376360/items/NJEJGM8R"],"itemData":{"id":320,"type":"article-journal","abstract":"Little research exists on humility in human learning and from a cultural perspective. This article reviews current research and conceptualizes humility as a basic human potential that can become a virtue when cultivated. But the cultivation depends on the cultural values placed on humility. Although humility is recognized in the West, ambivalence toward it exists because it may contradict important Western values of self-esteem and self-confidence in learning. By contrast, the Confucian conception of humility is geared toward moral self-cultivation in learning. In discussing this type of humility, the West appeals more to cognitive considerations of correctness or wrongness of one’s beliefs and acceptance of one’s fallibilities as a knower/learner. Quite differently, the Confucian view presumes the learner as never-full and warns about the trap of conceit, appealing to one’s constant need to self-improve. The more one achieves, the greater the need to remain humble. The condition for fostering such humility and a likely developmental process are entertained.","container-title":"Journal of Moral Education","DOI":"10.1080/03057240.2016.1168736","ISSN":"0305-7240","issue":"2","note":"publisher: Routledge\n_eprint: https://doi.org/10.1080/03057240.2016.1168736","page":"147-165","source":"Taylor and Francis+NEJM","title":"Humility in learning: A Confucian perspective","title-short":"Humility in learning","volume":"45","author":[{"family":"Li","given":"Jin"}],"issued":{"date-parts":[["2016",4,2]]}},"locator":"153"}],"schema":"https://github.com/citation-style-language/schema/raw/master/csl-citation.json"}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Ibid., 153.</w:t>
      </w:r>
      <w:r w:rsidRPr="00072DE6">
        <w:rPr>
          <w:rFonts w:ascii="Calibri" w:hAnsi="Calibri" w:cs="Calibri"/>
          <w:sz w:val="20"/>
          <w:szCs w:val="20"/>
        </w:rPr>
        <w:fldChar w:fldCharType="end"/>
      </w:r>
    </w:p>
  </w:footnote>
  <w:footnote w:id="60">
    <w:p w14:paraId="27A33959"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w:t>
      </w:r>
    </w:p>
  </w:footnote>
  <w:footnote w:id="61">
    <w:p w14:paraId="3BDBCE65"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w:t>
      </w:r>
    </w:p>
  </w:footnote>
  <w:footnote w:id="62">
    <w:p w14:paraId="7A89C1F8"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w:t>
      </w:r>
    </w:p>
  </w:footnote>
  <w:footnote w:id="63">
    <w:p w14:paraId="11E339AA"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155.</w:t>
      </w:r>
    </w:p>
  </w:footnote>
  <w:footnote w:id="64">
    <w:p w14:paraId="5527D7E4"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513.</w:t>
      </w:r>
    </w:p>
  </w:footnote>
  <w:footnote w:id="65">
    <w:p w14:paraId="74923B50"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{"citationID":"CRtDUHBW","properties":{"formattedCitation":"Alexus McLeod, \\uc0\\u8220{}Humility in Early Confucianism,\\uc0\\u8221{} The Routledge Handbook of Philosophy of Humility (Routledge, June 15, 2020), 247, https://doi.org/10.4324/9781351107532-26.","plainCitation":"Alexus McLeod, “Humility in Early Confucianism,” The Routledge Handbook of Philosophy of Humility (Routledge, June 15, 2020), 247, https://doi.org/10.4324/9781351107532-26.","noteIndex":11},"citationItems":[{"id":1036,"uris":["http://zotero.org/users/4376360/items/37N5IA6G"],"uri":["http://zotero.org/users/4376360/items/37N5IA6G"],"itemData":{"id":1036,"type":"webpage","abstract":"The early Chinese philosophical school of Confucianism reserved an important place for the virtue of humility.  Confucians did not address","container-title":"The Routledge Handbook of Philosophy of Humility","language":"en","note":"page: 245-256\npublisher: Routledge\nDOI: 10.4324/9781351107532-26","title":"Humility in early Confucianism","URL":"https://www.taylorfrancis.com/","author":[{"family":"McLeod","given":"Alexus"}],"accessed":{"date-parts":[["2020",9,30]]},"issued":{"date-parts":[["2020",6,15]]}},"locator":"247"}],"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Alexus McLeod, “Humility in Early Confucianism,” The Routledge Handbook of Philosophy of Humility (Routledge, June 15, 2020), 247, https://doi.org/10.4324/9781351107532-26.</w:t>
      </w:r>
      <w:r w:rsidRPr="00072DE6">
        <w:rPr>
          <w:rFonts w:ascii="Calibri" w:hAnsi="Calibri" w:cs="Calibri"/>
          <w:sz w:val="20"/>
          <w:szCs w:val="20"/>
        </w:rPr>
        <w:fldChar w:fldCharType="end"/>
      </w:r>
    </w:p>
  </w:footnote>
  <w:footnote w:id="66">
    <w:p w14:paraId="28FA6513"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{"citationID":"7aTPuivw","properties":{"formattedCitation":"McLeod, 247.","plainCitation":"McLeod, 247.","dontUpdate":true,"noteIndex":12},"citationItems":[{"id":1036,"uris":["http://zotero.org/users/4376360/items/37N5IA6G"],"uri":["http://zotero.org/users/4376360/items/37N5IA6G"],"itemData":{"id":1036,"type":"webpage","abstract":"The early Chinese philosophical school of Confucianism reserved an important place for the virtue of humility.  Confucians did not address","container-title":"The Routledge Handbook of Philosophy of Humility","language":"en","note":"page: 245-256\npublisher: Routledge\nDOI: 10.4324/9781351107532-26","title":"Humility in early Confucianism","URL":"https://www.taylorfrancis.com/","author":[{"family":"McLeod","given":"Alexus"}],"accessed":{"date-parts":[["2020",9,30]]},"issued":{"date-parts":[["2020",6,15]]}},"locator":"247"}],"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Ibid.</w:t>
      </w:r>
      <w:r w:rsidRPr="00072DE6">
        <w:rPr>
          <w:rFonts w:ascii="Calibri" w:hAnsi="Calibri" w:cs="Calibri"/>
          <w:sz w:val="20"/>
          <w:szCs w:val="20"/>
        </w:rPr>
        <w:fldChar w:fldCharType="end"/>
      </w:r>
    </w:p>
  </w:footnote>
  <w:footnote w:id="67">
    <w:p w14:paraId="29044ADE"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250</w:t>
      </w:r>
    </w:p>
  </w:footnote>
  <w:footnote w:id="68">
    <w:p w14:paraId="24B8ECA2"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w:t>
      </w:r>
    </w:p>
  </w:footnote>
  <w:footnote w:id="69">
    <w:p w14:paraId="655ACF5A"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w:t>
      </w:r>
    </w:p>
  </w:footnote>
  <w:footnote w:id="70">
    <w:p w14:paraId="67D19AFE"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This is not to deny that promoting social harmony is one of the most important end goals of learning. Thus, more precisely speaking, humility has a direct and immediate relation with learning, but an indirect and remote relation with promoting social harmony. My point, therefore, is that while “promoting social harmony” is no doubt importantly relevant to Confucian humility, it is not always the best explanation for all phenomena about Confucian humility. </w:t>
      </w:r>
    </w:p>
  </w:footnote>
  <w:footnote w:id="71">
    <w:p w14:paraId="6F33E04E"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{"citationID":"3lMEwTlK","properties":{"formattedCitation":"Sara Rushing, \\uc0\\u8220{}What Is Confucian Humility?,\\uc0\\u8221{} in {\\i{}Virtue Ethics and Confucianism}, ed. Stephen C Angle and Michael Slote (New York: Routledge, 2013), 173\\uc0\\u8211{}81; Sara Rushing, \\uc0\\u8220{}Comparative Humilities: Christian, Contemporary, and Confucian Conceptions of a Political Virtue,\\uc0\\u8221{} {\\i{}Polity} 45, no. 2 (2013): 198\\uc0\\u8211{}222.","plainCitation":"Sara Rushing, “What Is Confucian Humility?,” in Virtue Ethics and Confucianism, ed. Stephen C Angle and Michael Slote (New York: Routledge, 2013), 173–81; Sara Rushing, “Comparative Humilities: Christian, Contemporary, and Confucian Conceptions of a Political Virtue,” Polity 45, no. 2 (2013): 198–222.","noteIndex":17},"citationItems":[{"id":1264,"uris":["http://zotero.org/users/4376360/items/U6FIQP92"],"uri":["http://zotero.org/users/4376360/items/U6FIQP92"],"itemData":{"id":1264,"type":"chapter","container-title":"Virtue Ethics and Confucianism","event-place":"New York","ISBN":"978-1-138-93360-6","page":"173-181","publisher":"Routledge","publisher-place":"New York","title":"What is Confucian Humility?","author":[{"family":"Rushing","given":"Sara"}],"editor":[{"family":"Angle","given":"Stephen C"},{"family":"Slote","given":"Michael"}],"issued":{"date-parts":[["2013"]]}}},{"id":323,"uris":["http://zotero.org/users/4376360/items/M9MH9TWJ"],"uri":["http://zotero.org/users/4376360/items/M9MH9TWJ"],"itemData":{"id":323,"type":"article-journal","abstract":"This essay examines contemporary Western thinking on humility. Compared to other virtues, little has been written about humility in the past century. This has led scholars to dub it a forgotten virtue. Recently, a renewed interest in humility can be found among scholars working in various academic disciplines. These scholars disagree, however, about the meaning and implications of humility for contemporary life. I seek to intervene in this disagreement through a comparative approach and bring the ancient Eastern tradition of Confucianism to bear on the current Western resurgence of interest in humility as a civic value. I argue that humility is a crucial political virtue that fortifies us and helps us resist disillusionment. Humility, therefore, should neither be reduced to a vestige of traditional Christianity nor viewed as a watered down notion of modesty.","archive":"JSTOR","container-title":"Polity","ISSN":"0032-3497","issue":"2","note":"publisher: The University of Chicago Press","page":"198-222","source":"JSTOR","title":"Comparative Humilities: Christian, Contemporary, and Confucian Conceptions of a Political Virtue","title-short":"Comparative Humilities","volume":"45","author":[{"family":"Rushing","given":"Sara"}],"issued":{"date-parts":[["2013"]]}}}],"schema":"https://github.com/citation-style-language/schema/raw/master/csl-citation.json"}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Sara Rushing, “What Is Confucian Humility?,” in </w:t>
      </w:r>
      <w:r w:rsidRPr="00072DE6">
        <w:rPr>
          <w:rFonts w:ascii="Calibri" w:hAnsi="Calibri" w:cs="Calibri"/>
          <w:i/>
          <w:iCs/>
          <w:sz w:val="20"/>
          <w:szCs w:val="20"/>
        </w:rPr>
        <w:t>Virtue Ethics and Confucianism</w:t>
      </w:r>
      <w:r w:rsidRPr="00072DE6">
        <w:rPr>
          <w:rFonts w:ascii="Calibri" w:hAnsi="Calibri" w:cs="Calibri"/>
          <w:sz w:val="20"/>
          <w:szCs w:val="20"/>
        </w:rPr>
        <w:t xml:space="preserve">, ed. Stephen C Angle and Michael Slote (New York: Routledge, 2013), 173–81; Sara Rushing, “Comparative Humilities: Christian, Contemporary, and Confucian Conceptions of a Political Virtue,” </w:t>
      </w:r>
      <w:r w:rsidRPr="00072DE6">
        <w:rPr>
          <w:rFonts w:ascii="Calibri" w:hAnsi="Calibri" w:cs="Calibri"/>
          <w:i/>
          <w:iCs/>
          <w:sz w:val="20"/>
          <w:szCs w:val="20"/>
        </w:rPr>
        <w:t>Polity</w:t>
      </w:r>
      <w:r w:rsidRPr="00072DE6">
        <w:rPr>
          <w:rFonts w:ascii="Calibri" w:hAnsi="Calibri" w:cs="Calibri"/>
          <w:sz w:val="20"/>
          <w:szCs w:val="20"/>
        </w:rPr>
        <w:t xml:space="preserve"> 45, no. 2 (2013): 198–222.</w:t>
      </w:r>
      <w:r w:rsidRPr="00072DE6">
        <w:rPr>
          <w:rFonts w:ascii="Calibri" w:hAnsi="Calibri" w:cs="Calibri"/>
          <w:sz w:val="20"/>
          <w:szCs w:val="20"/>
        </w:rPr>
        <w:fldChar w:fldCharType="end"/>
      </w:r>
    </w:p>
  </w:footnote>
  <w:footnote w:id="72">
    <w:p w14:paraId="34310EF7"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{"citationID":"Sm7tRLmM","properties":{"formattedCitation":"Rushing, \\uc0\\u8220{}What Is Confucian Humility?,\\uc0\\u8221{} 175. Italics hers. .","plainCitation":"Rushing, “What Is Confucian Humility?,” 175. Italics hers. .","dontUpdate":true,"noteIndex":18},"citationItems":[{"id":1264,"uris":["http://zotero.org/users/4376360/items/U6FIQP92"],"uri":["http://zotero.org/users/4376360/items/U6FIQP92"],"itemData":{"id":1264,"type":"chapter","container-title":"Virtue Ethics and Confucianism","event-place":"New York","ISBN":"978-1-138-93360-6","page":"173-181","publisher":"Routledge","publisher-place":"New York","title":"What is Confucian Humility?","author":[{"family":"Rushing","given":"Sara"}],"editor":[{"family":"Angle","given":"Stephen C"},{"family":"Slote","given":"Michael"}],"issued":{"date-parts":[["2013"]]}},"locator":"175.","suffix":"Italics hers. "}],"schema":"https://github.com/citation-style-language/schema/raw/master/csl-citation.json"}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Rushing, “What Is Confucian Humility?,” 175. Italics hers.</w:t>
      </w:r>
      <w:r w:rsidRPr="00072DE6">
        <w:rPr>
          <w:rFonts w:ascii="Calibri" w:hAnsi="Calibri" w:cs="Calibri"/>
          <w:sz w:val="20"/>
          <w:szCs w:val="20"/>
        </w:rPr>
        <w:fldChar w:fldCharType="end"/>
      </w:r>
    </w:p>
  </w:footnote>
  <w:footnote w:id="73">
    <w:p w14:paraId="5917F2AB"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{"citationID":"9Y0aDCea","properties":{"formattedCitation":"Rushing, 175, 176, 180.","plainCitation":"Rushing, 175, 176, 180.","dontUpdate":true,"noteIndex":19},"citationItems":[{"id":1264,"uris":["http://zotero.org/users/4376360/items/U6FIQP92"],"uri":["http://zotero.org/users/4376360/items/U6FIQP92"],"itemData":{"id":1264,"type":"chapter","container-title":"Virtue Ethics and Confucianism","event-place":"New York","ISBN":"978-1-138-93360-6","page":"173-181","publisher":"Routledge","publisher-place":"New York","title":"What is Confucian Humility?","author":[{"family":"Rushing","given":"Sara"}],"editor":[{"family":"Angle","given":"Stephen C"},{"family":"Slote","given":"Michael"}],"issued":{"date-parts":[["2013"]]}},"locator":"175, 176, 180"}],"schema":"https://github.com/citation-style-language/schema/raw/master/csl-citation.json"}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Ibid., 175, 176, 180.</w:t>
      </w:r>
      <w:r w:rsidRPr="00072DE6">
        <w:rPr>
          <w:rFonts w:ascii="Calibri" w:hAnsi="Calibri" w:cs="Calibri"/>
          <w:sz w:val="20"/>
          <w:szCs w:val="20"/>
        </w:rPr>
        <w:fldChar w:fldCharType="end"/>
      </w:r>
    </w:p>
  </w:footnote>
  <w:footnote w:id="74">
    <w:p w14:paraId="06C57B44"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p176.</w:t>
      </w:r>
    </w:p>
  </w:footnote>
  <w:footnote w:id="75">
    <w:p w14:paraId="61169DD1"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Italics hers.</w:t>
      </w:r>
    </w:p>
  </w:footnote>
  <w:footnote w:id="76">
    <w:p w14:paraId="3BB14B05"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p178. </w:t>
      </w:r>
    </w:p>
  </w:footnote>
  <w:footnote w:id="77">
    <w:p w14:paraId="1B97CE78"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w:t>
      </w:r>
    </w:p>
  </w:footnote>
  <w:footnote w:id="78">
    <w:p w14:paraId="29D8884B"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p180.</w:t>
      </w:r>
    </w:p>
  </w:footnote>
  <w:footnote w:id="79">
    <w:p w14:paraId="72F16FA6"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p180.</w:t>
      </w:r>
    </w:p>
  </w:footnote>
  <w:footnote w:id="80">
    <w:p w14:paraId="33551B4E"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In contrast,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{"citationID":"vWvllmo6","properties":{"formattedCitation":"McLeod suggests that realistic self-assessment is not necessary. See McLeod, \\uc0\\u8220{}Humility in Early Confucianism,\\uc0\\u8221{} 250.","plainCitation":"McLeod suggests that realistic self-assessment is not necessary. See McLeod, “Humility in Early Confucianism,” 250.","noteIndex":26},"citationItems":[{"id":1036,"uris":["http://zotero.org/users/4376360/items/37N5IA6G"],"uri":["http://zotero.org/users/4376360/items/37N5IA6G"],"itemData":{"id":1036,"type":"webpage","abstract":"The early Chinese philosophical school of Confucianism reserved an important place for the virtue of humility.  Confucians did not address","container-title":"The Routledge Handbook of Philosophy of Humility","language":"en","note":"page: 245-256\npublisher: Routledge\nDOI: 10.4324/9781351107532-26","title":"Humility in early Confucianism","URL":"https://www.taylorfrancis.com/","author":[{"family":"McLeod","given":"Alexus"}],"accessed":{"date-parts":[["2020",9,30]]},"issued":{"date-parts":[["2020",6,15]]}},"locator":"250","prefix":"McLeod suggests that realistic self-assessment is not necessary. See"}],"schema":"https://github.com/citation-style-language/schema/raw/master/csl-citation.json"}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McLeod suggests that realistic self-assessment is not necessary. See McLeod, “Humility in Early Confucianism,” 250.</w:t>
      </w:r>
      <w:r w:rsidRPr="00072DE6">
        <w:rPr>
          <w:rFonts w:ascii="Calibri" w:hAnsi="Calibri" w:cs="Calibri"/>
          <w:sz w:val="20"/>
          <w:szCs w:val="20"/>
        </w:rPr>
        <w:fldChar w:fldCharType="end"/>
      </w:r>
    </w:p>
  </w:footnote>
  <w:footnote w:id="81">
    <w:p w14:paraId="63055DAB"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{"citationID":"ZQ589nFD","properties":{"formattedCitation":"Shun, \\uc0\\u8220{}Dimensions of Humility in Early Confucian Thought,\\uc0\\u8221{} 4.","plainCitation":"Shun, “Dimensions of Humility in Early Confucian Thought,” 4.","dontUpdate":true,"noteIndex":27},"citationItems":[{"id":1238,"uris":["http://zotero.org/users/4376360/items/7AJF25P4"],"uri":["http://zotero.org/users/4376360/items/7AJF25P4"],"itemData":{"id":1238,"type":"article-journal","abstract":"Abstract\n            \n              Through an examination of the problematic forms of pride highlighted in early texts and the traits to which they are opposed, the paper identifies three main dimensions of humility in early Confucian thought. These include a deflated self-conception, caution and fearfulness, as well as seriousness and awe. It then shows that the term\n              jing\n              </w:instrText>
      </w:r>
      <w:r w:rsidRPr="00072DE6">
        <w:rPr>
          <w:rFonts w:ascii="Calibri" w:eastAsia="MS Mincho" w:hAnsi="Calibri" w:cs="Calibri"/>
          <w:sz w:val="20"/>
          <w:szCs w:val="20"/>
        </w:rPr>
        <w:instrText>敬</w:instrText>
      </w:r>
      <w:r w:rsidRPr="00072DE6">
        <w:rPr>
          <w:rFonts w:ascii="Calibri" w:hAnsi="Calibri" w:cs="Calibri"/>
          <w:sz w:val="20"/>
          <w:szCs w:val="20"/>
        </w:rPr>
        <w:instrText xml:space="preserve"> is closely related to all three dimensions, and hence that this is the term in early Confucian thought closest to encompassing all the different aspects of humility understood in a broad sense.","container-title":"Journal of Chinese Philosophy","DOI":"10.1163/15406253-12340001","ISSN":"0301-8121, 1540-6253","journalAbbreviation":"J. Chin. Philos.","page":"1-15","source":"DOI.org (Crossref)","title":"Dimensions of Humility in Early Confucian Thought","author":[{"family":"Shun","given":"Kwong-loi"}],"issued":{"date-parts":[["2021",2,10]]}},"locator":"4"}],"schema":"https://github.com/citation-style-language/schema/raw/master/csl-citation.json"}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Shun, “Dimensions of Humility in Early Confucian Thought,” 3.</w:t>
      </w:r>
      <w:r w:rsidRPr="00072DE6">
        <w:rPr>
          <w:rFonts w:ascii="Calibri" w:hAnsi="Calibri" w:cs="Calibri"/>
          <w:sz w:val="20"/>
          <w:szCs w:val="20"/>
        </w:rPr>
        <w:fldChar w:fldCharType="end"/>
      </w:r>
    </w:p>
  </w:footnote>
  <w:footnote w:id="82">
    <w:p w14:paraId="5FE75D42"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{"citationID":"44cCylFA","properties":{"formattedCitation":"Shun, 5.","plainCitation":"Shun, 5.","dontUpdate":true,"noteIndex":28},"citationItems":[{"id":1238,"uris":["http://zotero.org/users/4376360/items/7AJF25P4"],"uri":["http://zotero.org/users/4376360/items/7AJF25P4"],"itemData":{"id":1238,"type":"article-journal","abstract":"Abstract\n            \n              Through an examination of the problematic forms of pride highlighted in early texts and the traits to which they are opposed, the paper identifies three main dimensions of humility in early Confucian thought. These include a deflated self-conception, caution and fearfulness, as well as seriousness and awe. It then shows that the term\n              jing\n              </w:instrText>
      </w:r>
      <w:r w:rsidRPr="00072DE6">
        <w:rPr>
          <w:rFonts w:ascii="Calibri" w:eastAsia="MS Mincho" w:hAnsi="Calibri" w:cs="Calibri"/>
          <w:sz w:val="20"/>
          <w:szCs w:val="20"/>
        </w:rPr>
        <w:instrText>敬</w:instrText>
      </w:r>
      <w:r w:rsidRPr="00072DE6">
        <w:rPr>
          <w:rFonts w:ascii="Calibri" w:hAnsi="Calibri" w:cs="Calibri"/>
          <w:sz w:val="20"/>
          <w:szCs w:val="20"/>
        </w:rPr>
        <w:instrText xml:space="preserve"> is closely related to all three dimensions, and hence that this is the term in early Confucian thought closest to encompassing all the different aspects of humility understood in a broad sense.","container-title":"Journal of Chinese Philosophy","DOI":"10.1163/15406253-12340001","ISSN":"0301-8121, 1540-6253","journalAbbreviation":"J. Chin. Philos.","page":"1-15","source":"DOI.org (Crossref)","title":"Dimensions of Humility in Early Confucian Thought","author":[{"family":"Shun","given":"Kwong-loi"}],"issued":{"date-parts":[["2021",2,10]]}},"locator":"5"}],"schema":"https://github.com/citation-style-language/schema/raw/master/csl-citation.json"}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Ibid., 4.</w:t>
      </w:r>
      <w:r w:rsidRPr="00072DE6">
        <w:rPr>
          <w:rFonts w:ascii="Calibri" w:hAnsi="Calibri" w:cs="Calibri"/>
          <w:sz w:val="20"/>
          <w:szCs w:val="20"/>
        </w:rPr>
        <w:fldChar w:fldCharType="end"/>
      </w:r>
    </w:p>
  </w:footnote>
  <w:footnote w:id="83">
    <w:p w14:paraId="49F19BA5"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{"citationID":"w21iT3nV","properties":{"formattedCitation":"Shun, \\uc0\\u8220{}Dimensions of Humility in Early Confucian Thought.\\uc0\\u8221{}","plainCitation":"Shun, “Dimensions of Humility in Early Confucian Thought.”","dontUpdate":true,"noteIndex":29},"citationItems":[{"id":1238,"uris":["http://zotero.org/users/4376360/items/7AJF25P4"],"uri":["http://zotero.org/users/4376360/items/7AJF25P4"],"itemData":{"id":1238,"type":"article-journal","abstract":"Abstract\n            \n              Through an examination of the problematic forms of pride highlighted in early texts and the traits to which they are opposed, the paper identifies three main dimensions of humility in early Confucian thought. These include a deflated self-conception, caution and fearfulness, as well as seriousness and awe. It then shows that the term\n              jing\n              </w:instrText>
      </w:r>
      <w:r w:rsidRPr="00072DE6">
        <w:rPr>
          <w:rFonts w:ascii="Calibri" w:eastAsia="MS Mincho" w:hAnsi="Calibri" w:cs="Calibri"/>
          <w:sz w:val="20"/>
          <w:szCs w:val="20"/>
        </w:rPr>
        <w:instrText>敬</w:instrText>
      </w:r>
      <w:r w:rsidRPr="00072DE6">
        <w:rPr>
          <w:rFonts w:ascii="Calibri" w:hAnsi="Calibri" w:cs="Calibri"/>
          <w:sz w:val="20"/>
          <w:szCs w:val="20"/>
        </w:rPr>
        <w:instrText xml:space="preserve"> is closely related to all three dimensions, and hence that this is the term in early Confucian thought closest to encompassing all the different aspects of humility understood in a broad sense.","container-title":"Journal of Chinese Philosophy","DOI":"10.1163/15406253-12340001","ISSN":"0301-8121, 1540-6253","journalAbbreviation":"J. Chin. Philos.","page":"1-15","source":"DOI.org (Crossref)","title":"Dimensions of Humility in Early Confucian Thought","author":[{"family":"Shun","given":"Kwong-loi"}],"issued":{"date-parts":[["2021",2,10]]}}}],"schema":"https://github.com/citation-style-language/schema/raw/master/csl-citation.json"}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Ibid.</w:t>
      </w:r>
      <w:r w:rsidRPr="00072DE6">
        <w:rPr>
          <w:rFonts w:ascii="Calibri" w:hAnsi="Calibri" w:cs="Calibri"/>
          <w:sz w:val="20"/>
          <w:szCs w:val="20"/>
        </w:rPr>
        <w:fldChar w:fldCharType="end"/>
      </w:r>
    </w:p>
  </w:footnote>
  <w:footnote w:id="84">
    <w:p w14:paraId="54ECEDA5"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 5.</w:t>
      </w:r>
    </w:p>
  </w:footnote>
  <w:footnote w:id="85">
    <w:p w14:paraId="2065B194"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{"citationID":"raFEeXtw","properties":{"formattedCitation":"Shun, 1.","plainCitation":"Shun, 1.","dontUpdate":true,"noteIndex":31},"citationItems":[{"id":1238,"uris":["http://zotero.org/users/4376360/items/7AJF25P4"],"uri":["http://zotero.org/users/4376360/items/7AJF25P4"],"itemData":{"id":1238,"type":"article-journal","abstract":"Abstract\n            \n              Through an examination of the problematic forms of pride highlighted in early texts and the traits to which they are opposed, the paper identifies three main dimensions of humility in early Confucian thought. These include a deflated self-conception, caution and fearfulness, as well as seriousness and awe. It then shows that the term\n              jing\n              </w:instrText>
      </w:r>
      <w:r w:rsidRPr="00072DE6">
        <w:rPr>
          <w:rFonts w:ascii="Calibri" w:eastAsia="MS Mincho" w:hAnsi="Calibri" w:cs="Calibri"/>
          <w:sz w:val="20"/>
          <w:szCs w:val="20"/>
        </w:rPr>
        <w:instrText>敬</w:instrText>
      </w:r>
      <w:r w:rsidRPr="00072DE6">
        <w:rPr>
          <w:rFonts w:ascii="Calibri" w:hAnsi="Calibri" w:cs="Calibri"/>
          <w:sz w:val="20"/>
          <w:szCs w:val="20"/>
        </w:rPr>
        <w:instrText xml:space="preserve"> is closely related to all three dimensions, and hence that this is the term in early Confucian thought closest to encompassing all the different aspects of humility understood in a broad sense.","container-title":"Journal of Chinese Philosophy","DOI":"10.1163/15406253-12340001","ISSN":"0301-8121, 1540-6253","journalAbbreviation":"J. Chin. Philos.","page":"1-15","source":"DOI.org (Crossref)","title":"Dimensions of Humility in Early Confucian Thought","author":[{"family":"Shun","given":"Kwong-loi"}],"issued":{"date-parts":[["2021",2,10]]}},"locator":"1"}],"schema":"https://github.com/citation-style-language/schema/raw/master/csl-citation.json"}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Ibid., 1.</w:t>
      </w:r>
      <w:r w:rsidRPr="00072DE6">
        <w:rPr>
          <w:rFonts w:ascii="Calibri" w:hAnsi="Calibri" w:cs="Calibri"/>
          <w:sz w:val="20"/>
          <w:szCs w:val="20"/>
        </w:rPr>
        <w:fldChar w:fldCharType="end"/>
      </w:r>
    </w:p>
  </w:footnote>
  <w:footnote w:id="86">
    <w:p w14:paraId="785A3E0C"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{"citationID":"94cEMtQ8","properties":{"formattedCitation":"Shun, \\uc0\\u8220{}Dimensions of Humility in Early Confucian Thought.\\uc0\\u8221{}","plainCitation":"Shun, “Dimensions of Humility in Early Confucian Thought.”","dontUpdate":true,"noteIndex":32},"citationItems":[{"id":1238,"uris":["http://zotero.org/users/4376360/items/7AJF25P4"],"uri":["http://zotero.org/users/4376360/items/7AJF25P4"],"itemData":{"id":1238,"type":"article-journal","abstract":"Abstract\n            \n              Through an examination of the problematic forms of pride highlighted in early texts and the traits to which they are opposed, the paper identifies three main dimensions of humility in early Confucian thought. These include a deflated self-conception, caution and fearfulness, as well as seriousness and awe. It then shows that the term\n              jing\n              </w:instrText>
      </w:r>
      <w:r w:rsidRPr="00072DE6">
        <w:rPr>
          <w:rFonts w:ascii="Calibri" w:eastAsia="MS Mincho" w:hAnsi="Calibri" w:cs="Calibri"/>
          <w:sz w:val="20"/>
          <w:szCs w:val="20"/>
        </w:rPr>
        <w:instrText>敬</w:instrText>
      </w:r>
      <w:r w:rsidRPr="00072DE6">
        <w:rPr>
          <w:rFonts w:ascii="Calibri" w:hAnsi="Calibri" w:cs="Calibri"/>
          <w:sz w:val="20"/>
          <w:szCs w:val="20"/>
        </w:rPr>
        <w:instrText xml:space="preserve"> is closely related to all three dimensions, and hence that this is the term in early Confucian thought closest to encompassing all the different aspects of humility understood in a broad sense.","container-title":"Journal of Chinese Philosophy","DOI":"10.1163/15406253-12340001","ISSN":"0301-8121, 1540-6253","journalAbbreviation":"J. Chin. Philos.","page":"1-15","source":"DOI.org (Crossref)","title":"Dimensions of Humility in Early Confucian Thought","author":[{"family":"Shun","given":"Kwong-loi"}],"issued":{"date-parts":[["2021",2,10]]}}}],"schema":"https://github.com/citation-style-language/schema/raw/master/csl-citation.json"}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Ibid., 6-7.</w:t>
      </w:r>
      <w:r w:rsidRPr="00072DE6">
        <w:rPr>
          <w:rFonts w:ascii="Calibri" w:hAnsi="Calibri" w:cs="Calibri"/>
          <w:sz w:val="20"/>
          <w:szCs w:val="20"/>
        </w:rPr>
        <w:fldChar w:fldCharType="end"/>
      </w:r>
    </w:p>
  </w:footnote>
  <w:footnote w:id="87">
    <w:p w14:paraId="390B56E9"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cllth1Up","properties":{"formattedCitation":"Shun.","plainCitation":"Shun.","dontUpdate":true,"noteIndex":33},"citationItems":[{"id":1238,"uris":["http://zotero.org/users/4376360/items/7AJF25P4"],"uri":["http://zotero.org/users/4376360/items/7AJF25P4"],"itemData":{"id":1238,"type":"article-journal","abstract":"Abstract\n            \n              Through an examination of the problematic forms of pride highlighted in early texts and the traits to which they are opposed, the paper identifies three main dimensions of humility in early Confucian thought. These include a deflated self-conception, caution and fearfulness, as well as seriousness and awe. It then shows that the term\n              jing\n              </w:instrText>
      </w:r>
      <w:r w:rsidRPr="00072DE6">
        <w:rPr>
          <w:rFonts w:ascii="Calibri" w:eastAsia="MS Mincho" w:hAnsi="Calibri" w:cs="Calibri"/>
          <w:sz w:val="20"/>
          <w:szCs w:val="20"/>
        </w:rPr>
        <w:instrText>敬</w:instrText>
      </w:r>
      <w:r w:rsidRPr="00072DE6">
        <w:rPr>
          <w:rFonts w:ascii="Calibri" w:hAnsi="Calibri" w:cs="Calibri"/>
          <w:sz w:val="20"/>
          <w:szCs w:val="20"/>
        </w:rPr>
        <w:instrText xml:space="preserve"> is closely related to all three dimensions, and hence that this is the term in early Confucian thought closest to encompassing all the different aspects of humility understood in a broad sense.","container-title":"Journal of Chinese Philosophy","DOI":"10.1163/15406253-12340001","ISSN":"0301-8121, 1540-6253","journalAbbreviation":"J. Chin. Philos.","page":"1-15","source":"DOI.org (Crossref)","title":"Dimensions of Humility in Early Confucian Thought","author":[{"family":"Shun","given":"Kwong-loi"}],"issued":{"date-parts":[["2021",2,10]]}}}],"schema":"https://github.com/citation-style-language/schema/raw/master/csl-citation.json"}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Ibid., 15.</w:t>
      </w:r>
      <w:r w:rsidRPr="00072DE6">
        <w:rPr>
          <w:rFonts w:ascii="Calibri" w:hAnsi="Calibri" w:cs="Calibri"/>
          <w:color w:val="FF0000"/>
          <w:sz w:val="20"/>
          <w:szCs w:val="20"/>
        </w:rPr>
        <w:t>.</w:t>
      </w:r>
      <w:r w:rsidRPr="00072DE6">
        <w:rPr>
          <w:rFonts w:ascii="Calibri" w:hAnsi="Calibri" w:cs="Calibri"/>
          <w:sz w:val="20"/>
          <w:szCs w:val="20"/>
        </w:rPr>
        <w:fldChar w:fldCharType="end"/>
      </w:r>
    </w:p>
  </w:footnote>
  <w:footnote w:id="88">
    <w:p w14:paraId="0311E890"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{"citationID":"4GY4PXKQ","properties":{"formattedCitation":"McLeod, \\uc0\\u8220{}Humility in Early Confucianism,\\uc0\\u8221{} 248; Rushing shares the same concern. See Rushing, \\uc0\\u8220{}What Is Confucian Humility?,\\uc0\\u8221{} 173.","plainCitation":"McLeod, “Humility in Early Confucianism,” 248; Rushing shares the same concern. See Rushing, “What Is Confucian Humility?,” 173.","noteIndex":34},"citationItems":[{"id":1036,"uris":["http://zotero.org/users/4376360/items/37N5IA6G"],"uri":["http://zotero.org/users/4376360/items/37N5IA6G"],"itemData":{"id":1036,"type":"webpage","abstract":"The early Chinese philosophical school of Confucianism reserved an important place for the virtue of humility.  Confucians did not address","container-title":"The Routledge Handbook of Philosophy of Humility","language":"en","note":"page: 245-256\npublisher: Routledge\nDOI: 10.4324/9781351107532-26","title":"Humility in early Confucianism","URL":"https://www.taylorfrancis.com/","author":[{"family":"McLeod","given":"Alexus"}],"accessed":{"date-parts":[["2020",9,30]]},"issued":{"date-parts":[["2020",6,15]]}},"locator":"248"},{"id":1264,"uris":["http://zotero.org/users/4376360/items/U6FIQP92"],"uri":["http://zotero.org/users/4376360/items/U6FIQP92"],"itemData":{"id":1264,"type":"chapter","container-title":"Virtue Ethics and Confucianism","event-place":"New York","ISBN":"978-1-138-93360-6","page":"173-181","publisher":"Routledge","publisher-place":"New York","title":"What is Confucian Humility?","author":[{"family":"Rushing","given":"Sara"}],"editor":[{"family":"Angle","given":"Stephen C"},{"family":"Slote","given":"Michael"}],"issued":{"date-parts":[["2013"]]}},"locator":"173.","prefix":"Rushing shares the same concern. See"}],"schema":"https://github.com/citation-style-language/schema/raw/master/csl-citation.json"}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McLeod, “Humility in Early Confucianism,” 248; Rushing shares the same concern. See Rushing, “What Is Confucian Humility?,” 173.</w:t>
      </w:r>
      <w:r w:rsidRPr="00072DE6">
        <w:rPr>
          <w:rFonts w:ascii="Calibri" w:hAnsi="Calibri" w:cs="Calibri"/>
          <w:sz w:val="20"/>
          <w:szCs w:val="20"/>
        </w:rPr>
        <w:fldChar w:fldCharType="end"/>
      </w:r>
    </w:p>
  </w:footnote>
  <w:footnote w:id="89">
    <w:p w14:paraId="61138D77" w14:textId="77777777" w:rsidR="00CF3053" w:rsidRPr="00072DE6" w:rsidRDefault="00CF3053" w:rsidP="00CF3053">
      <w:pPr>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While this makes good sense, it also seems to be common sense. Nonetheless, such common sense is rarely practiced, especially regarding faults and problems. It is easy to criticize others when others make mistakes and completely forget that one might be prone to commit the same mistakes. See 14.29 for Kongzi’s criticism on Zigong </w:t>
      </w:r>
      <w:r w:rsidRPr="00072DE6">
        <w:rPr>
          <w:rFonts w:ascii="Calibri" w:eastAsia="MS Gothic" w:hAnsi="Calibri" w:cs="Calibri"/>
          <w:sz w:val="20"/>
          <w:szCs w:val="20"/>
        </w:rPr>
        <w:t>子貢</w:t>
      </w:r>
      <w:r w:rsidRPr="00072DE6">
        <w:rPr>
          <w:rFonts w:ascii="Calibri" w:hAnsi="Calibri" w:cs="Calibri"/>
          <w:sz w:val="20"/>
          <w:szCs w:val="20"/>
        </w:rPr>
        <w:t xml:space="preserve"> who is given to criticize others. See 5.27 on how rare it is for people to find faults within oneself.</w:t>
      </w:r>
    </w:p>
  </w:footnote>
  <w:footnote w:id="90">
    <w:p w14:paraId="4626EE11"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This, I suspect, is one reason why Rushing claims that humility is the foundational, prerequisite virtue. My position is that while I agree that teachability is certainly a part of Confucian humility, it is but the basic part of Confucian humility and does not exhaust the complexity of it.  See discussion below. </w:t>
      </w:r>
    </w:p>
  </w:footnote>
  <w:footnote w:id="91">
    <w:p w14:paraId="5E87D8DE"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Besides being quick to amend one’s mistakes and never making the same mistake twice, this is another reason why Yan Hui is praised as the sole student who loves learning. See 6.3, 9.20, 9.21. </w:t>
      </w:r>
    </w:p>
  </w:footnote>
  <w:footnote w:id="92">
    <w:p w14:paraId="1C979C8F"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In discussion the virtue of accuracy, Williams argues that the major challenge to accuracy is the desire to self-deceive when uncertainty piles up and effort yields no clear progress. See Williams, xxx, xxx. </w:t>
      </w:r>
    </w:p>
  </w:footnote>
  <w:footnote w:id="93">
    <w:p w14:paraId="7F5DE09A"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{"citationID":"ZF04ebX7","properties":{"formattedCitation":"See Cheng \\uc0\\u31243{}, {\\i{}Lun Yu Ji Shi \\uc0\\u35542{}\\uc0\\u35486{}\\uc0\\u38598{}\\uc0\\u37323{}}, 546.","plainCitation":"See 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 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 546.","noteIndex":39},"citationItems":[{"id":142,"uris":["http://zotero.org/users/4376360/items/SKMCGKKX"],"uri":["http://zotero.org/users/4376360/items/SKMCGKKX"],"itemData":{"id":142,"type":"book","call-number":"PL2471.Z6 C47 1990","collection-title":"Xin bian zhu zi ji cheng","event-place":"Beijing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","ISBN":"978-7-101-00369-7","number-of-pages":"4","publisher":"Zhonghua shu ju : Xin hua shu dian Beijing fa xing suo fa xing </w:instrText>
      </w:r>
      <w:r w:rsidRPr="00072DE6">
        <w:rPr>
          <w:rFonts w:ascii="Calibri" w:eastAsia="MS Mincho" w:hAnsi="Calibri" w:cs="Calibri"/>
          <w:sz w:val="20"/>
          <w:szCs w:val="20"/>
        </w:rPr>
        <w:instrText>新華書店：北京發行所發行</w:instrText>
      </w:r>
      <w:r w:rsidRPr="00072DE6">
        <w:rPr>
          <w:rFonts w:ascii="Calibri" w:hAnsi="Calibri" w:cs="Calibri"/>
          <w:sz w:val="20"/>
          <w:szCs w:val="20"/>
        </w:rPr>
        <w:instrText xml:space="preserve">","publisher-place":"Beijing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","source":"Library of Congress ISBN","title":"Lun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","author":[{"family":"Cheng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","given":"Shude </w:instrText>
      </w:r>
      <w:r w:rsidRPr="00072DE6">
        <w:rPr>
          <w:rFonts w:ascii="Calibri" w:eastAsia="MS Mincho" w:hAnsi="Calibri" w:cs="Calibri"/>
          <w:sz w:val="20"/>
          <w:szCs w:val="20"/>
        </w:rPr>
        <w:instrText>樹德</w:instrText>
      </w:r>
      <w:r w:rsidRPr="00072DE6">
        <w:rPr>
          <w:rFonts w:ascii="Calibri" w:hAnsi="Calibri" w:cs="Calibri"/>
          <w:sz w:val="20"/>
          <w:szCs w:val="20"/>
        </w:rPr>
        <w:instrText xml:space="preserve">"}],"editor":[{"family":"Cheng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","given":"Junying </w:instrText>
      </w:r>
      <w:r w:rsidRPr="00072DE6">
        <w:rPr>
          <w:rFonts w:ascii="Calibri" w:eastAsia="MS Mincho" w:hAnsi="Calibri" w:cs="Calibri"/>
          <w:sz w:val="20"/>
          <w:szCs w:val="20"/>
        </w:rPr>
        <w:instrText>俊英</w:instrText>
      </w:r>
      <w:r w:rsidRPr="00072DE6">
        <w:rPr>
          <w:rFonts w:ascii="Calibri" w:hAnsi="Calibri" w:cs="Calibri"/>
          <w:sz w:val="20"/>
          <w:szCs w:val="20"/>
        </w:rPr>
        <w:instrText xml:space="preserve">"},{"family":"Jiang </w:instrText>
      </w:r>
      <w:r w:rsidRPr="00072DE6">
        <w:rPr>
          <w:rFonts w:ascii="Calibri" w:eastAsia="MS Mincho" w:hAnsi="Calibri" w:cs="Calibri"/>
          <w:sz w:val="20"/>
          <w:szCs w:val="20"/>
        </w:rPr>
        <w:instrText>蔣</w:instrText>
      </w:r>
      <w:r w:rsidRPr="00072DE6">
        <w:rPr>
          <w:rFonts w:ascii="Calibri" w:hAnsi="Calibri" w:cs="Calibri"/>
          <w:sz w:val="20"/>
          <w:szCs w:val="20"/>
        </w:rPr>
        <w:instrText xml:space="preserve">","given":"Jianyuan </w:instrText>
      </w:r>
      <w:r w:rsidRPr="00072DE6">
        <w:rPr>
          <w:rFonts w:ascii="Calibri" w:eastAsia="MS Mincho" w:hAnsi="Calibri" w:cs="Calibri"/>
          <w:sz w:val="20"/>
          <w:szCs w:val="20"/>
        </w:rPr>
        <w:instrText>見元</w:instrText>
      </w:r>
      <w:r w:rsidRPr="00072DE6">
        <w:rPr>
          <w:rFonts w:ascii="Calibri" w:hAnsi="Calibri" w:cs="Calibri"/>
          <w:sz w:val="20"/>
          <w:szCs w:val="20"/>
        </w:rPr>
        <w:instrText xml:space="preserve">"}],"issued":{"date-parts":[["1990"]]}},"locator":"546","prefix":"See"}],"schema":"https://github.com/citation-style-language/schema/raw/master/csl-citation.json"}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See Cheng </w:t>
      </w:r>
      <w:r w:rsidRPr="00072DE6">
        <w:rPr>
          <w:rFonts w:ascii="Calibri" w:eastAsia="MS Mincho" w:hAnsi="Calibri" w:cs="Calibri"/>
          <w:sz w:val="20"/>
          <w:szCs w:val="20"/>
        </w:rPr>
        <w:t>程</w:t>
      </w:r>
      <w:r w:rsidRPr="00072DE6">
        <w:rPr>
          <w:rFonts w:ascii="Calibri" w:hAnsi="Calibri" w:cs="Calibri"/>
          <w:sz w:val="20"/>
          <w:szCs w:val="20"/>
        </w:rPr>
        <w:t xml:space="preserve">, </w:t>
      </w:r>
      <w:r w:rsidRPr="00072DE6">
        <w:rPr>
          <w:rFonts w:ascii="Calibri" w:hAnsi="Calibri" w:cs="Calibri"/>
          <w:i/>
          <w:iCs/>
          <w:sz w:val="20"/>
          <w:szCs w:val="20"/>
        </w:rPr>
        <w:t xml:space="preserve">Lun Yu Ji Shi </w:t>
      </w:r>
      <w:r w:rsidRPr="00072DE6">
        <w:rPr>
          <w:rFonts w:ascii="Calibri" w:eastAsia="MS Mincho" w:hAnsi="Calibri" w:cs="Calibri"/>
          <w:i/>
          <w:iCs/>
          <w:sz w:val="20"/>
          <w:szCs w:val="20"/>
        </w:rPr>
        <w:t>論語集釋</w:t>
      </w:r>
      <w:r w:rsidRPr="00072DE6">
        <w:rPr>
          <w:rFonts w:ascii="Calibri" w:hAnsi="Calibri" w:cs="Calibri"/>
          <w:sz w:val="20"/>
          <w:szCs w:val="20"/>
        </w:rPr>
        <w:t>, 546.</w:t>
      </w:r>
      <w:r w:rsidRPr="00072DE6">
        <w:rPr>
          <w:rFonts w:ascii="Calibri" w:hAnsi="Calibri" w:cs="Calibri"/>
          <w:sz w:val="20"/>
          <w:szCs w:val="20"/>
        </w:rPr>
        <w:fldChar w:fldCharType="end"/>
      </w:r>
    </w:p>
  </w:footnote>
  <w:footnote w:id="94">
    <w:p w14:paraId="4F7E7F29"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w:t>
      </w:r>
    </w:p>
  </w:footnote>
  <w:footnote w:id="95">
    <w:p w14:paraId="42E1349E"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Ibid.</w:t>
      </w:r>
    </w:p>
  </w:footnote>
  <w:footnote w:id="96">
    <w:p w14:paraId="54AC5A61"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See also 8.3 where Zengzi cites lines from the </w:t>
      </w:r>
      <w:r w:rsidRPr="00072DE6">
        <w:rPr>
          <w:rFonts w:ascii="Calibri" w:hAnsi="Calibri" w:cs="Calibri"/>
          <w:i/>
          <w:iCs/>
          <w:sz w:val="20"/>
          <w:szCs w:val="20"/>
        </w:rPr>
        <w:t>Odes</w:t>
      </w:r>
      <w:r w:rsidRPr="00072DE6">
        <w:rPr>
          <w:rFonts w:ascii="Calibri" w:hAnsi="Calibri" w:cs="Calibri"/>
          <w:sz w:val="20"/>
          <w:szCs w:val="20"/>
        </w:rPr>
        <w:t xml:space="preserve">, which goes: “fearful! Trembling! As if looking down into a deep abyss, as if walking on thin ice.”  </w:t>
      </w:r>
    </w:p>
  </w:footnote>
  <w:footnote w:id="97">
    <w:p w14:paraId="731411ED"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It is important to note that Kongzi might also consider himself a beneficiary of </w:t>
      </w:r>
      <w:r w:rsidRPr="00072DE6">
        <w:rPr>
          <w:rFonts w:ascii="Calibri" w:hAnsi="Calibri" w:cs="Calibri"/>
          <w:i/>
          <w:iCs/>
          <w:sz w:val="20"/>
          <w:szCs w:val="20"/>
        </w:rPr>
        <w:t>Tian</w:t>
      </w:r>
      <w:r w:rsidRPr="00072DE6">
        <w:rPr>
          <w:rFonts w:ascii="Calibri" w:hAnsi="Calibri" w:cs="Calibri"/>
          <w:sz w:val="20"/>
          <w:szCs w:val="20"/>
        </w:rPr>
        <w:t xml:space="preserve"> </w:t>
      </w:r>
      <w:r w:rsidRPr="00072DE6">
        <w:rPr>
          <w:rFonts w:ascii="Calibri" w:eastAsia="MS Mincho" w:hAnsi="Calibri" w:cs="Calibri"/>
          <w:sz w:val="20"/>
          <w:szCs w:val="20"/>
        </w:rPr>
        <w:t>天</w:t>
      </w:r>
      <w:r w:rsidRPr="00072DE6">
        <w:rPr>
          <w:rFonts w:ascii="Calibri" w:hAnsi="Calibri" w:cs="Calibri"/>
          <w:sz w:val="20"/>
          <w:szCs w:val="20"/>
        </w:rPr>
        <w:t xml:space="preserve"> in certain ways. However, passages about </w:t>
      </w:r>
      <w:r w:rsidRPr="00072DE6">
        <w:rPr>
          <w:rFonts w:ascii="Calibri" w:hAnsi="Calibri" w:cs="Calibri"/>
          <w:i/>
          <w:iCs/>
          <w:sz w:val="20"/>
          <w:szCs w:val="20"/>
        </w:rPr>
        <w:t>Tian</w:t>
      </w:r>
      <w:r w:rsidRPr="00072DE6">
        <w:rPr>
          <w:rFonts w:ascii="Calibri" w:hAnsi="Calibri" w:cs="Calibri"/>
          <w:sz w:val="20"/>
          <w:szCs w:val="20"/>
        </w:rPr>
        <w:t xml:space="preserve"> are quite elusive to say anything concrete that I leave the discussion for another time. </w:t>
      </w:r>
    </w:p>
  </w:footnote>
  <w:footnote w:id="98">
    <w:p w14:paraId="6400B75E"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{"citationID":"dyMZa0Lo","properties":{"formattedCitation":"Slingerland, {\\i{}Confucius Analects}, 2.","plainCitation":"Slingerland, Confucius Analects, 2.","noteIndex":44},"citationItems":[{"id":153,"uris":["http://zotero.org/users/4376360/items/LWZBIS8W"],"uri":["http://zotero.org/users/4376360/items/LWZBIS8W"],"itemData":{"id":153,"type":"book","call-number":"PL2478 .L8 2003","event-place":"Indianapolis, IN","ISBN":"978-0-87220-636-6","language":"eng","number-of-pages":"279","publisher":"Hackett Pub. Co","publisher-place":"Indianapolis, IN","source":"Library of Congress ISBN","title":"Confucius Analects: with Selection from Traditional Commentaries","title-short":"Confucius analects","translator":[{"family":"Slingerland","given":"Edward G."}],"issued":{"date-parts":[["2003"]]}},"locator":"2"}],"schema":"https://github.com/citation-style-language/schema/raw/master/csl-citation.json"}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Slingerland, </w:t>
      </w:r>
      <w:r w:rsidRPr="00072DE6">
        <w:rPr>
          <w:rFonts w:ascii="Calibri" w:hAnsi="Calibri" w:cs="Calibri"/>
          <w:i/>
          <w:iCs/>
          <w:sz w:val="20"/>
          <w:szCs w:val="20"/>
        </w:rPr>
        <w:t>Confucius Analects</w:t>
      </w:r>
      <w:r w:rsidRPr="00072DE6">
        <w:rPr>
          <w:rFonts w:ascii="Calibri" w:hAnsi="Calibri" w:cs="Calibri"/>
          <w:sz w:val="20"/>
          <w:szCs w:val="20"/>
        </w:rPr>
        <w:t>, 2.</w:t>
      </w:r>
      <w:r w:rsidRPr="00072DE6">
        <w:rPr>
          <w:rFonts w:ascii="Calibri" w:hAnsi="Calibri" w:cs="Calibri"/>
          <w:sz w:val="20"/>
          <w:szCs w:val="20"/>
        </w:rPr>
        <w:fldChar w:fldCharType="end"/>
      </w:r>
    </w:p>
  </w:footnote>
  <w:footnote w:id="99">
    <w:p w14:paraId="0A877E2C"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A counter case might be made in the conceptual territory. For instance, this person might be one of those who are born with knowledge (7.29, 16.9) and chooses to model his life after those past exemplars who live their lives away from society and avoid the corrupted age (18.5, 18.6, 18.8). No one knows him, and yet he truly is humble (and in fact, even a sage). A Confucian might respond with a genuine appreciation and admiration of that choice of life, but quickly move on. Since that person does not live in the society where the Confucians live, that person’s humility might be another kind of humility, but not Confucian humility.</w:t>
      </w:r>
    </w:p>
  </w:footnote>
  <w:footnote w:id="100">
    <w:p w14:paraId="0B001C7A"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While this might seem like a peculiar Confucian stance, I contend that as long as we are social beings where communication and recognition matters, the Confucian intuition is not unreasonable but makes good sense.</w:t>
      </w:r>
    </w:p>
  </w:footnote>
  <w:footnote w:id="101">
    <w:p w14:paraId="1E513A88"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{"citationID":"9NIgJzgZ","properties":{"formattedCitation":"Kwong-loi Shun, \\uc0\\u8220{}Early Confucian Moral Psychology,\\uc0\\u8221{} in {\\i{}Dao Companion to Classical Confucian Philosophy}, ed. Vincent Shen, Dao Companions to Chinese Philosophy (Dordrecht: Springer Netherlands, 2014), 274, https://doi.org/10.1007/978-90-481-2936-2_12.","plainCitation":"Kwong-loi Shun, “Early Confucian Moral Psychology,” in Dao Companion to Classical Confucian Philosophy, ed. Vincent Shen, Dao Companions to Chinese Philosophy (Dordrecht: Springer Netherlands, 2014), 274, https://doi.org/10.1007/978-90-481-2936-2_12.","noteIndex":45},"citationItems":[{"id":1181,"uris":["http://zotero.org/users/4376360/items/SM3P3CP5"],"uri":["http://zotero.org/users/4376360/items/SM3P3CP5"],"itemData":{"id":1181,"type":"chapter","abstract":"In this chapter, I discuss an aspect of early Confucian ethical thought that arguably is one of its more distinctive characteristics, namely, its emphasis on self-transformation. By self-transformation, I refer to the transformation of oneself that comes about as a result of one’s own reflective efforts at self-improvement; the process that involves such efforts I will refer to as “self-cultivation.” This aspect of Confucian thought is related to its distinctive nature as a kind of ethical thought. Suppose we use the term “ethics” broadly in the sense that an ethical concern has to do with a concern with how to live, or how one should live, where the scope of “one” is supposed to include most of those whom we nowadays would refer to as “human beings.” This way of describing the scope of “one” is intended to accommodate the fact that the term ren </w:instrText>
      </w:r>
      <w:r w:rsidRPr="00072DE6">
        <w:rPr>
          <w:rFonts w:ascii="Calibri" w:eastAsia="MS Mincho" w:hAnsi="Calibri" w:cs="Calibri"/>
          <w:sz w:val="20"/>
          <w:szCs w:val="20"/>
        </w:rPr>
        <w:instrText>人</w:instrText>
      </w:r>
      <w:r w:rsidRPr="00072DE6">
        <w:rPr>
          <w:rFonts w:ascii="Calibri" w:hAnsi="Calibri" w:cs="Calibri"/>
          <w:sz w:val="20"/>
          <w:szCs w:val="20"/>
        </w:rPr>
        <w:instrText xml:space="preserve"> (human beings), which is the term closest to “human beings” in early Chinese, is not understood in biological terms in early China and, on some scholarly views, might have a more restricted scope than that of the contemporary term “human beings.”","collection-title":"Dao Companions to Chinese Philosophy","container-title":"Dao Companion to Classical Confucian Philosophy","event-place":"Dordrecht","ISBN":"978-90-481-2936-2","language":"en","note":"DOI: 10.1007/978-90-481-2936-2_12","page":"263-289","publisher":"Springer Netherlands","publisher-place":"Dordrecht","source":"Springer Link","title":"Early Confucian Moral Psychology","URL":"https://doi.org/10.1007/978-90-481-2936-2_12","author":[{"family":"Shun","given":"Kwong-loi"}],"editor":[{"family":"Shen","given":"Vincent"}],"accessed":{"date-parts":[["2021",2,16]]},"issued":{"date-parts":[["2014"]]}},"locator":"274"}],"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Kwong-loi Shun, “Early Confucian Moral Psychology,” in </w:t>
      </w:r>
      <w:r w:rsidRPr="00072DE6">
        <w:rPr>
          <w:rFonts w:ascii="Calibri" w:hAnsi="Calibri" w:cs="Calibri"/>
          <w:i/>
          <w:iCs/>
          <w:sz w:val="20"/>
          <w:szCs w:val="20"/>
        </w:rPr>
        <w:t>Dao Companion to Classical Confucian Philosophy</w:t>
      </w:r>
      <w:r w:rsidRPr="00072DE6">
        <w:rPr>
          <w:rFonts w:ascii="Calibri" w:hAnsi="Calibri" w:cs="Calibri"/>
          <w:sz w:val="20"/>
          <w:szCs w:val="20"/>
        </w:rPr>
        <w:t>, ed. Vincent Shen, Dao Companions to Chinese Philosophy (Dordrecht: Springer Netherlands, 2014), 274, https://doi.org/10.1007/978-90-481-2936-2_12.</w:t>
      </w:r>
      <w:r w:rsidRPr="00072DE6">
        <w:rPr>
          <w:rFonts w:ascii="Calibri" w:hAnsi="Calibri" w:cs="Calibri"/>
          <w:sz w:val="20"/>
          <w:szCs w:val="20"/>
        </w:rPr>
        <w:fldChar w:fldCharType="end"/>
      </w:r>
    </w:p>
  </w:footnote>
  <w:footnote w:id="102">
    <w:p w14:paraId="2D3F2E74"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{"citationID":"d2AAkDIu","properties":{"formattedCitation":"This is how Zhu Xi reads 14.28, that Kongzi \\uc0\\u8220{}criticizes himself to urge others. \\uc0\\u33258{}\\uc0\\u36131{}\\uc0\\u32780{}\\uc0\\u21193{}\\uc0\\u20154{}.\\uc0\\u8221{} See Cheng \\uc0\\u31243{}, {\\i{}Lun Yu Ji Shi \\uc0\\u35542{}\\uc0\\u35486{}\\uc0\\u38598{}\\uc0\\u37323{}}, 1011.","plainCitation":"This is how Zhu Xi reads 14.28, that Kongzi “criticizes himself to urge others. </w:instrText>
      </w:r>
      <w:r w:rsidRPr="00072DE6">
        <w:rPr>
          <w:rFonts w:ascii="Calibri" w:eastAsia="MS Mincho" w:hAnsi="Calibri" w:cs="Calibri"/>
          <w:sz w:val="20"/>
          <w:szCs w:val="20"/>
        </w:rPr>
        <w:instrText>自</w:instrText>
      </w:r>
      <w:r w:rsidRPr="00072DE6">
        <w:rPr>
          <w:rFonts w:ascii="Calibri" w:eastAsia="SimSun" w:hAnsi="Calibri" w:cs="Calibri"/>
          <w:sz w:val="20"/>
          <w:szCs w:val="20"/>
        </w:rPr>
        <w:instrText>责而勉人</w:instrText>
      </w:r>
      <w:r w:rsidRPr="00072DE6">
        <w:rPr>
          <w:rFonts w:ascii="Calibri" w:hAnsi="Calibri" w:cs="Calibri"/>
          <w:sz w:val="20"/>
          <w:szCs w:val="20"/>
        </w:rPr>
        <w:instrText xml:space="preserve">.” See 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 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 1011.","dontUpdate":true,"noteIndex":48},"citationItems":[{"id":142,"uris":["http://zotero.org/users/4376360/items/SKMCGKKX"],"uri":["http://zotero.org/users/4376360/items/SKMCGKKX"],"itemData":{"id":142,"type":"book","call-number":"PL2471.Z6 C47 1990","collection-title":"Xin bian zhu zi ji cheng","event-place":"Beijing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","ISBN":"978-7-101-00369-7","number-of-pages":"4","publisher":"Zhonghua shu ju : Xin hua shu dian Beijing fa xing suo fa xing </w:instrText>
      </w:r>
      <w:r w:rsidRPr="00072DE6">
        <w:rPr>
          <w:rFonts w:ascii="Calibri" w:eastAsia="MS Mincho" w:hAnsi="Calibri" w:cs="Calibri"/>
          <w:sz w:val="20"/>
          <w:szCs w:val="20"/>
        </w:rPr>
        <w:instrText>新華書店：北京發行所發行</w:instrText>
      </w:r>
      <w:r w:rsidRPr="00072DE6">
        <w:rPr>
          <w:rFonts w:ascii="Calibri" w:hAnsi="Calibri" w:cs="Calibri"/>
          <w:sz w:val="20"/>
          <w:szCs w:val="20"/>
        </w:rPr>
        <w:instrText xml:space="preserve">","publisher-place":"Beijing </w:instrText>
      </w:r>
      <w:r w:rsidRPr="00072DE6">
        <w:rPr>
          <w:rFonts w:ascii="Calibri" w:eastAsia="MS Mincho" w:hAnsi="Calibri" w:cs="Calibri"/>
          <w:sz w:val="20"/>
          <w:szCs w:val="20"/>
        </w:rPr>
        <w:instrText>北京</w:instrText>
      </w:r>
      <w:r w:rsidRPr="00072DE6">
        <w:rPr>
          <w:rFonts w:ascii="Calibri" w:hAnsi="Calibri" w:cs="Calibri"/>
          <w:sz w:val="20"/>
          <w:szCs w:val="20"/>
        </w:rPr>
        <w:instrText xml:space="preserve">","source":"Library of Congress ISBN","title":"Lun yu ji shi </w:instrText>
      </w:r>
      <w:r w:rsidRPr="00072DE6">
        <w:rPr>
          <w:rFonts w:ascii="Calibri" w:eastAsia="MS Mincho" w:hAnsi="Calibri" w:cs="Calibri"/>
          <w:sz w:val="20"/>
          <w:szCs w:val="20"/>
        </w:rPr>
        <w:instrText>論語集釋</w:instrText>
      </w:r>
      <w:r w:rsidRPr="00072DE6">
        <w:rPr>
          <w:rFonts w:ascii="Calibri" w:hAnsi="Calibri" w:cs="Calibri"/>
          <w:sz w:val="20"/>
          <w:szCs w:val="20"/>
        </w:rPr>
        <w:instrText xml:space="preserve">","author":[{"family":"Cheng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","given":"Shude </w:instrText>
      </w:r>
      <w:r w:rsidRPr="00072DE6">
        <w:rPr>
          <w:rFonts w:ascii="Calibri" w:eastAsia="MS Mincho" w:hAnsi="Calibri" w:cs="Calibri"/>
          <w:sz w:val="20"/>
          <w:szCs w:val="20"/>
        </w:rPr>
        <w:instrText>樹德</w:instrText>
      </w:r>
      <w:r w:rsidRPr="00072DE6">
        <w:rPr>
          <w:rFonts w:ascii="Calibri" w:hAnsi="Calibri" w:cs="Calibri"/>
          <w:sz w:val="20"/>
          <w:szCs w:val="20"/>
        </w:rPr>
        <w:instrText xml:space="preserve">"}],"editor":[{"family":"Cheng </w:instrText>
      </w:r>
      <w:r w:rsidRPr="00072DE6">
        <w:rPr>
          <w:rFonts w:ascii="Calibri" w:eastAsia="MS Mincho" w:hAnsi="Calibri" w:cs="Calibri"/>
          <w:sz w:val="20"/>
          <w:szCs w:val="20"/>
        </w:rPr>
        <w:instrText>程</w:instrText>
      </w:r>
      <w:r w:rsidRPr="00072DE6">
        <w:rPr>
          <w:rFonts w:ascii="Calibri" w:hAnsi="Calibri" w:cs="Calibri"/>
          <w:sz w:val="20"/>
          <w:szCs w:val="20"/>
        </w:rPr>
        <w:instrText xml:space="preserve">","given":"Junying </w:instrText>
      </w:r>
      <w:r w:rsidRPr="00072DE6">
        <w:rPr>
          <w:rFonts w:ascii="Calibri" w:eastAsia="MS Mincho" w:hAnsi="Calibri" w:cs="Calibri"/>
          <w:sz w:val="20"/>
          <w:szCs w:val="20"/>
        </w:rPr>
        <w:instrText>俊英</w:instrText>
      </w:r>
      <w:r w:rsidRPr="00072DE6">
        <w:rPr>
          <w:rFonts w:ascii="Calibri" w:hAnsi="Calibri" w:cs="Calibri"/>
          <w:sz w:val="20"/>
          <w:szCs w:val="20"/>
        </w:rPr>
        <w:instrText xml:space="preserve">"},{"family":"Jiang </w:instrText>
      </w:r>
      <w:r w:rsidRPr="00072DE6">
        <w:rPr>
          <w:rFonts w:ascii="Calibri" w:eastAsia="MS Mincho" w:hAnsi="Calibri" w:cs="Calibri"/>
          <w:sz w:val="20"/>
          <w:szCs w:val="20"/>
        </w:rPr>
        <w:instrText>蔣</w:instrText>
      </w:r>
      <w:r w:rsidRPr="00072DE6">
        <w:rPr>
          <w:rFonts w:ascii="Calibri" w:hAnsi="Calibri" w:cs="Calibri"/>
          <w:sz w:val="20"/>
          <w:szCs w:val="20"/>
        </w:rPr>
        <w:instrText xml:space="preserve">","given":"Jianyuan </w:instrText>
      </w:r>
      <w:r w:rsidRPr="00072DE6">
        <w:rPr>
          <w:rFonts w:ascii="Calibri" w:eastAsia="MS Mincho" w:hAnsi="Calibri" w:cs="Calibri"/>
          <w:sz w:val="20"/>
          <w:szCs w:val="20"/>
        </w:rPr>
        <w:instrText>見元</w:instrText>
      </w:r>
      <w:r w:rsidRPr="00072DE6">
        <w:rPr>
          <w:rFonts w:ascii="Calibri" w:hAnsi="Calibri" w:cs="Calibri"/>
          <w:sz w:val="20"/>
          <w:szCs w:val="20"/>
        </w:rPr>
        <w:instrText xml:space="preserve">"}],"issued":{"date-parts":[["1990"]]}},"locator":"1011","prefix":"This is how Zhu Xi reads 14.28, that Kongzi \"criticizes himself to urge others. </w:instrText>
      </w:r>
      <w:r w:rsidRPr="00072DE6">
        <w:rPr>
          <w:rFonts w:ascii="Calibri" w:eastAsia="MS Mincho" w:hAnsi="Calibri" w:cs="Calibri"/>
          <w:sz w:val="20"/>
          <w:szCs w:val="20"/>
        </w:rPr>
        <w:instrText>自</w:instrText>
      </w:r>
      <w:r w:rsidRPr="00072DE6">
        <w:rPr>
          <w:rFonts w:ascii="Calibri" w:eastAsia="SimSun" w:hAnsi="Calibri" w:cs="Calibri"/>
          <w:sz w:val="20"/>
          <w:szCs w:val="20"/>
        </w:rPr>
        <w:instrText>责而勉人</w:instrText>
      </w:r>
      <w:r w:rsidRPr="00072DE6">
        <w:rPr>
          <w:rFonts w:ascii="Calibri" w:hAnsi="Calibri" w:cs="Calibri"/>
          <w:sz w:val="20"/>
          <w:szCs w:val="20"/>
        </w:rPr>
        <w:instrText xml:space="preserve">.\" See"}],"schema":"https://github.com/citation-style-language/schema/raw/master/csl-citation.json"}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This is how Zhu Xi </w:t>
      </w:r>
      <w:r w:rsidRPr="00072DE6">
        <w:rPr>
          <w:rFonts w:ascii="Calibri" w:eastAsia="MS Mincho" w:hAnsi="Calibri" w:cs="Calibri"/>
          <w:sz w:val="20"/>
          <w:szCs w:val="20"/>
        </w:rPr>
        <w:t>朱熹</w:t>
      </w:r>
      <w:r w:rsidRPr="00072DE6">
        <w:rPr>
          <w:rFonts w:ascii="Calibri" w:hAnsi="Calibri" w:cs="Calibri"/>
          <w:sz w:val="20"/>
          <w:szCs w:val="20"/>
        </w:rPr>
        <w:t xml:space="preserve">reads 14.28, that Kongzi “criticizes himself to urge others. </w:t>
      </w:r>
      <w:r w:rsidRPr="00072DE6">
        <w:rPr>
          <w:rFonts w:ascii="Calibri" w:eastAsia="MS Mincho" w:hAnsi="Calibri" w:cs="Calibri"/>
          <w:sz w:val="20"/>
          <w:szCs w:val="20"/>
        </w:rPr>
        <w:t>自</w:t>
      </w:r>
      <w:r w:rsidRPr="00072DE6">
        <w:rPr>
          <w:rFonts w:ascii="Calibri" w:eastAsia="SimSun" w:hAnsi="Calibri" w:cs="Calibri"/>
          <w:sz w:val="20"/>
          <w:szCs w:val="20"/>
        </w:rPr>
        <w:t>责以勉人</w:t>
      </w:r>
      <w:r w:rsidRPr="00072DE6">
        <w:rPr>
          <w:rFonts w:ascii="Calibri" w:hAnsi="Calibri" w:cs="Calibri"/>
          <w:sz w:val="20"/>
          <w:szCs w:val="20"/>
        </w:rPr>
        <w:t xml:space="preserve">.” See Cheng </w:t>
      </w:r>
      <w:r w:rsidRPr="00072DE6">
        <w:rPr>
          <w:rFonts w:ascii="Calibri" w:eastAsia="MS Mincho" w:hAnsi="Calibri" w:cs="Calibri"/>
          <w:sz w:val="20"/>
          <w:szCs w:val="20"/>
        </w:rPr>
        <w:t>程</w:t>
      </w:r>
      <w:r w:rsidRPr="00072DE6">
        <w:rPr>
          <w:rFonts w:ascii="Calibri" w:hAnsi="Calibri" w:cs="Calibri"/>
          <w:sz w:val="20"/>
          <w:szCs w:val="20"/>
        </w:rPr>
        <w:t xml:space="preserve">, </w:t>
      </w:r>
      <w:r w:rsidRPr="00072DE6">
        <w:rPr>
          <w:rFonts w:ascii="Calibri" w:hAnsi="Calibri" w:cs="Calibri"/>
          <w:i/>
          <w:iCs/>
          <w:sz w:val="20"/>
          <w:szCs w:val="20"/>
        </w:rPr>
        <w:t xml:space="preserve">Lun Yu Ji Shi </w:t>
      </w:r>
      <w:r w:rsidRPr="00072DE6">
        <w:rPr>
          <w:rFonts w:ascii="Calibri" w:eastAsia="MS Mincho" w:hAnsi="Calibri" w:cs="Calibri"/>
          <w:i/>
          <w:iCs/>
          <w:sz w:val="20"/>
          <w:szCs w:val="20"/>
        </w:rPr>
        <w:t>論語集釋</w:t>
      </w:r>
      <w:r w:rsidRPr="00072DE6">
        <w:rPr>
          <w:rFonts w:ascii="Calibri" w:hAnsi="Calibri" w:cs="Calibri"/>
          <w:sz w:val="20"/>
          <w:szCs w:val="20"/>
        </w:rPr>
        <w:t>, 1011.</w:t>
      </w:r>
      <w:r w:rsidRPr="00072DE6">
        <w:rPr>
          <w:rFonts w:ascii="Calibri" w:hAnsi="Calibri" w:cs="Calibri"/>
          <w:sz w:val="20"/>
          <w:szCs w:val="20"/>
        </w:rPr>
        <w:fldChar w:fldCharType="end"/>
      </w:r>
    </w:p>
  </w:footnote>
  <w:footnote w:id="103">
    <w:p w14:paraId="6BE5D0B6"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The fact that Kongzi is aware of his social position and its impact on his students is made clear in 11.36 where he openly tells students that they should not hesitate to speak their mind because he is older. It is a different pedagogical strategy than the one discussed here. Another important point is that such gesture of humility could “backfire” and cause more pressure students. See discussion at the end.  </w:t>
      </w:r>
    </w:p>
  </w:footnote>
  <w:footnote w:id="104">
    <w:p w14:paraId="6A84B546"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{"citationID":"4ecbkJ7N","properties":{"formattedCitation":"Shun, \\uc0\\u8220{}Dimensions of Humility in Early Confucian Thought,\\uc0\\u8221{} 15.","plainCitation":"Shun, “Dimensions of Humility in Early Confucian Thought,” 15.","noteIndex":50},"citationItems":[{"id":1238,"uris":["http://zotero.org/users/4376360/items/7AJF25P4"],"uri":["http://zotero.org/users/4376360/items/7AJF25P4"],"itemData":{"id":1238,"type":"article-journal","abstract":"Abstract\n            \n              Through an examination of the problematic forms of pride highlighted in early texts and the traits to which they are opposed, the paper identifies three main dimensions of humility in early Confucian thought. These include a deflated self-conception, caution and fearfulness, as well as seriousness and awe. It then shows that the term\n              jing\n              </w:instrText>
      </w:r>
      <w:r w:rsidRPr="00072DE6">
        <w:rPr>
          <w:rFonts w:ascii="Calibri" w:eastAsia="MS Mincho" w:hAnsi="Calibri" w:cs="Calibri"/>
          <w:sz w:val="20"/>
          <w:szCs w:val="20"/>
        </w:rPr>
        <w:instrText>敬</w:instrText>
      </w:r>
      <w:r w:rsidRPr="00072DE6">
        <w:rPr>
          <w:rFonts w:ascii="Calibri" w:hAnsi="Calibri" w:cs="Calibri"/>
          <w:sz w:val="20"/>
          <w:szCs w:val="20"/>
        </w:rPr>
        <w:instrText xml:space="preserve"> is closely related to all three dimensions, and hence that this is the term in early Confucian thought closest to encompassing all the different aspects of humility understood in a broad sense.","container-title":"Journal of Chinese Philosophy","DOI":"10.1163/15406253-12340001","ISSN":"0301-8121, 1540-6253","journalAbbreviation":"J. Chin. Philos.","page":"1-15","source":"DOI.org (Crossref)","title":"Dimensions of Humility in Early Confucian Thought","author":[{"family":"Shun","given":"Kwong-loi"}],"issued":{"date-parts":[["2021",2,10]]}},"locator":"15"}],"schema":"https://github.com/citation-style-language/schema/raw/master/csl-citation.json"}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Shun, “Dimensions of Humility in Early Confucian Thought,” 15.</w:t>
      </w:r>
      <w:r w:rsidRPr="00072DE6">
        <w:rPr>
          <w:rFonts w:ascii="Calibri" w:hAnsi="Calibri" w:cs="Calibri"/>
          <w:sz w:val="20"/>
          <w:szCs w:val="20"/>
        </w:rPr>
        <w:fldChar w:fldCharType="end"/>
      </w:r>
    </w:p>
  </w:footnote>
  <w:footnote w:id="105">
    <w:p w14:paraId="002B32A6"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It is equally possible that such an encompassing notion of humility might be too board and potentially include qualities that are not humility. For instance, devotion to responsibilities might lead to (proper) pride because those who are fully devoted to roles they occupy, such as being a good father, might take pride in having good relationships. (Proper) pride, while not necessary contradictory to humility, is certainly not humility. This idea of Confucian humility as a potential running theme across all Confucian virtues, therefore, remains a possibility that awaits further development. I thank Sean Walsh for offering the example and the counter argument.</w:t>
      </w:r>
    </w:p>
  </w:footnote>
  <w:footnote w:id="106">
    <w:p w14:paraId="1442B338"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If my claim that </w:t>
      </w:r>
      <w:r w:rsidRPr="00072DE6">
        <w:rPr>
          <w:rFonts w:ascii="Calibri" w:hAnsi="Calibri" w:cs="Calibri"/>
          <w:i/>
          <w:iCs/>
          <w:sz w:val="20"/>
          <w:szCs w:val="20"/>
        </w:rPr>
        <w:t xml:space="preserve">li </w:t>
      </w:r>
      <w:r w:rsidRPr="00072DE6">
        <w:rPr>
          <w:rFonts w:ascii="Calibri" w:hAnsi="Calibri" w:cs="Calibri"/>
          <w:sz w:val="20"/>
          <w:szCs w:val="20"/>
        </w:rPr>
        <w:t xml:space="preserve">is important to humility as long as communication and perception is important to humility, there comes an interesting implication. Given that </w:t>
      </w:r>
      <w:r w:rsidRPr="00072DE6">
        <w:rPr>
          <w:rFonts w:ascii="Calibri" w:hAnsi="Calibri" w:cs="Calibri"/>
          <w:i/>
          <w:iCs/>
          <w:sz w:val="20"/>
          <w:szCs w:val="20"/>
        </w:rPr>
        <w:t>li</w:t>
      </w:r>
      <w:r w:rsidRPr="00072DE6">
        <w:rPr>
          <w:rFonts w:ascii="Calibri" w:hAnsi="Calibri" w:cs="Calibri"/>
          <w:sz w:val="20"/>
          <w:szCs w:val="20"/>
        </w:rPr>
        <w:t xml:space="preserve"> is unique to each culture, humility can have significant variations across culture, especially in how it is culturally valued, expressed, and understood. The value (or the lack of value), degrees of cultural significance, and critique of humility would thereby be different in different cultures. This is not implying any sort of cultural relativism as if humility has no shared content. Rather, this is saying that the discussions (and our understanding) of humility could be greatly enriched by incorporating perspectives from different cultures. I thank Sun Weimin for pointing this out for me. </w:t>
      </w:r>
    </w:p>
  </w:footnote>
  <w:footnote w:id="107">
    <w:p w14:paraId="5DE22590" w14:textId="77777777" w:rsidR="00CF3053" w:rsidRPr="00072DE6" w:rsidRDefault="00CF3053" w:rsidP="00CF3053">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 thank Sean Walsh for raising this point. </w:t>
      </w:r>
    </w:p>
  </w:footnote>
  <w:footnote w:id="108">
    <w:p w14:paraId="34487FBE"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{"citationID":"jZu78T14","properties":{"formattedCitation":"Sungwoo Um, \\uc0\\u8220{}What Is a Relational Virtue?,\\uc0\\u8221{} {\\i{}Philosophical Studies} 178, no. 1 (January 1, 2021): 97, https://doi.org/10.1007/s11098-020-01422-1.","plainCitation":"Sungwoo Um, “What Is a Relational Virtue?,” Philosophical Studies 178, no. 1 (January 1, 2021): 97, https://doi.org/10.1007/s11098-020-01422-1.","noteIndex":1},"citationItems":[{"id":712,"uris":["http://zotero.org/users/4376360/items/VEYLV3Q6"],"uri":["http://zotero.org/users/4376360/items/VEYLV3Q6"],"itemData":{"id":712,"type":"article-journal","abstract":"In this paper, I introduce what I call relational virtue and defend it as an important subcategory of virtue. In particular, I argue that it offers a valuable resource for answering questions concerning the value of intimate relationships such as parent–child relationship or friendship. After briefly sketching what I mean by relational virtue, I show why it is a virtue and in what sense we can meaningfully distinguish it from other sorts of virtue. I then describe some distinctive features of relational virtue in more detail and discuss their implications. Next, I present filial piety as the paradigmatic example of relational virtue. I argue that a child’s being filial should be understood as an appropriate response to her parent’s being virtuous as a parent. I conclude by showing how my relational virtue theory of filial piety can avoid the difficulties faced by previous theories of filial piety such as gratitude theory and friendship theory.","container-title":"Philosophical Studies","DOI":"10.1007/s11098-020-01422-1","ISSN":"1573-0883","issue":"1","journalAbbreviation":"Philos Stud","language":"en","page":"95-111","source":"Springer Link","title":"What is a relational virtue?","volume":"178","author":[{"family":"Um","given":"Sungwoo"}],"issued":{"date-parts":[["2021",1,1]]}},"locator":"97"}],"schema":"https://github.com/citation-style-language/schema/raw/master/csl-citation.json"}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Sungwoo Um, “What Is a Relational Virtue?,” </w:t>
      </w:r>
      <w:r w:rsidRPr="00072DE6">
        <w:rPr>
          <w:rFonts w:ascii="Calibri" w:hAnsi="Calibri" w:cs="Calibri"/>
          <w:i/>
          <w:iCs/>
          <w:sz w:val="20"/>
          <w:szCs w:val="20"/>
        </w:rPr>
        <w:t>Philosophical Studies</w:t>
      </w:r>
      <w:r w:rsidRPr="00072DE6">
        <w:rPr>
          <w:rFonts w:ascii="Calibri" w:hAnsi="Calibri" w:cs="Calibri"/>
          <w:sz w:val="20"/>
          <w:szCs w:val="20"/>
        </w:rPr>
        <w:t xml:space="preserve"> 178, no. 1 (January 1, 2021): 97, https://doi.org/10.1007/s11098-020-01422-1.</w:t>
      </w:r>
      <w:r w:rsidRPr="00072DE6">
        <w:rPr>
          <w:rFonts w:ascii="Calibri" w:hAnsi="Calibri" w:cs="Calibri"/>
          <w:sz w:val="20"/>
          <w:szCs w:val="20"/>
        </w:rPr>
        <w:fldChar w:fldCharType="end"/>
      </w:r>
    </w:p>
  </w:footnote>
  <w:footnote w:id="109">
    <w:p w14:paraId="5C596E38"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{"citationID":"bHiUDpsJ","properties":{"formattedCitation":"Um, 95.","plainCitation":"Um, 95.","noteIndex":2},"citationItems":[{"id":712,"uris":["http://zotero.org/users/4376360/items/VEYLV3Q6"],"uri":["http://zotero.org/users/4376360/items/VEYLV3Q6"],"itemData":{"id":712,"type":"article-journal","abstract":"In this paper, I introduce what I call relational virtue and defend it as an important subcategory of virtue. In particular, I argue that it offers a valuable resource for answering questions concerning the value of intimate relationships such as parent–child relationship or friendship. After briefly sketching what I mean by relational virtue, I show why it is a virtue and in what sense we can meaningfully distinguish it from other sorts of virtue. I then describe some distinctive features of relational virtue in more detail and discuss their implications. Next, I present filial piety as the paradigmatic example of relational virtue. I argue that a child’s being filial should be understood as an appropriate response to her parent’s being virtuous as a parent. I conclude by showing how my relational virtue theory of filial piety can avoid the difficulties faced by previous theories of filial piety such as gratitude theory and friendship theory.","container-title":"Philosophical Studies","DOI":"10.1007/s11098-020-01422-1","ISSN":"1573-0883","issue":"1","journalAbbreviation":"Philos Stud","language":"en","page":"95-111","source":"Springer Link","title":"What is a relational virtue?","volume":"178","author":[{"family":"Um","given":"Sungwoo"}],"issued":{"date-parts":[["2021",1,1]]}},"locator":"95"}],"schema":"https://github.com/citation-style-language/schema/raw/master/csl-citation.json"}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Um, 95.</w:t>
      </w:r>
      <w:r w:rsidRPr="00072DE6">
        <w:rPr>
          <w:rFonts w:ascii="Calibri" w:hAnsi="Calibri" w:cs="Calibri"/>
          <w:sz w:val="20"/>
          <w:szCs w:val="20"/>
        </w:rPr>
        <w:fldChar w:fldCharType="end"/>
      </w:r>
    </w:p>
  </w:footnote>
  <w:footnote w:id="110">
    <w:p w14:paraId="6DE63E25"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{"citationID":"Ba8CyHbH","properties":{"formattedCitation":"See James Kellenberger, {\\i{}Relationship Morality} (University Park, Pa: Pennsylvania State University Press, 1995) for a defense on a similar view. Note that even Kellenberger admits difficulty in the case of having moral responsibility towards enemy.","plainCitation":"See James Kellenberger, Relationship Morality (University Park, Pa: Pennsylvania State University Press, 1995) for a defense on a similar view. Note that even Kellenberger admits difficulty in the case of having moral responsibility towards enemy.","noteIndex":3},"citationItems":[{"id":1464,"uris":["http://zotero.org/users/4376360/items/H3FSBJLF"],"uri":["http://zotero.org/users/4376360/items/H3FSBJLF"],"itemData":{"id":1464,"type":"book","call-number":"HM132 .K4 1995","event-place":"University Park, Pa","ISBN":"978-0-271-01404-3","number-of-pages":"450","publisher":"Pennsylvania State University Press","publisher-place":"University Park, Pa","source":"Library of Congress ISBN","title":"Relationship morality","author":[{"family":"Kellenberger","given":"James"}],"issued":{"date-parts":[["1995"]]}},"prefix":"See ","suffix":"for a defense on a similar view. Note that even Kellenberger admits difficulty in the case of having moral responsibility towards enemy."}],"schema":"https://github.com/citation-style-language/schema/raw/master/csl-citation.json"}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See James Kellenberger, </w:t>
      </w:r>
      <w:r w:rsidRPr="00072DE6">
        <w:rPr>
          <w:rFonts w:ascii="Calibri" w:hAnsi="Calibri" w:cs="Calibri"/>
          <w:i/>
          <w:iCs/>
          <w:sz w:val="20"/>
          <w:szCs w:val="20"/>
        </w:rPr>
        <w:t>Relationship Morality</w:t>
      </w:r>
      <w:r w:rsidRPr="00072DE6">
        <w:rPr>
          <w:rFonts w:ascii="Calibri" w:hAnsi="Calibri" w:cs="Calibri"/>
          <w:sz w:val="20"/>
          <w:szCs w:val="20"/>
        </w:rPr>
        <w:t xml:space="preserve"> (University Park, Pa: Pennsylvania State University Press, 1995) for a defense on a similar view. Note that even Kellenberger admits difficulty in the case of having moral responsibility towards enemy.</w:t>
      </w:r>
      <w:r w:rsidRPr="00072DE6">
        <w:rPr>
          <w:rFonts w:ascii="Calibri" w:hAnsi="Calibri" w:cs="Calibri"/>
          <w:sz w:val="20"/>
          <w:szCs w:val="20"/>
        </w:rPr>
        <w:fldChar w:fldCharType="end"/>
      </w:r>
    </w:p>
  </w:footnote>
  <w:footnote w:id="111">
    <w:p w14:paraId="34EB0F8C"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How to justify partiality receives great scholarly attention. For recent scholarly conversations, see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{"citationID":"ksDA4KYr","properties":{"formattedCitation":"Stephen Darwell, \\uc0\\u8220{}Responsibility within Relations,\\uc0\\u8221{} in {\\i{}Partiality and Impartiality}, ed. Brian Feltham and John Cottingham (Oxford University Press, 2010), 150\\uc0\\u8211{}68, https://doi.org/10.1093/acprof:oso/9780199579952.001.0001; Simon Keller, {\\i{}Partiality}, Princeton Monographs in Philosophy (Princeton: Princeton University Press, 2013); Maria A. Carrasco, \\uc0\\u8220{}Morality, Impartiality and Due Partialities,\\uc0\\u8221{} {\\i{}Journal of Value Inquiry} 49, no. 4 (2015): 667\\uc0\\u8211{}89, http://dx.doi.org/10.1007/s10790-015-9523-8; Errol Lord, \\uc0\\u8220{}Justifying Partiality,\\uc0\\u8221{} {\\i{}Ethical Theory and Moral Practice} 19, no. 3 (2016): 569\\uc0\\u8211{}90; Sungwoo Um, \\uc0\\u8220{}Solving the Puzzle of Partiality,\\uc0\\u8221{} {\\i{}Journal of Social Philosophy} 52, no. 3 (2021): 362\\uc0\\u8211{}76, https://doi.org/10.1111/josp.12367; Niko Kolodny, \\uc0\\u8220{}Which Relationships Justify Partiality? The Case of Parents and Children,\\uc0\\u8221{} {\\i{}Philosophy &amp; Public Affairs} 38, no. 1 (January 2010): 37\\uc0\\u8211{}75, https://doi.org/10.1111/j.1088-4963.2009.01173.x; Niko Kolodny, \\uc0\\u8220{}Which Relationships Justify Partiality? General Considerations and Problem Cases,\\uc0\\u8221{} in {\\i{}Partiality and Impartiality}, ed. Brian Feltham and John Cottingham (Oxford University Press, 2010), 169\\uc0\\u8211{}93, https://doi.org/10.1093/acprof:oso/9780199579952.001.0001.","plainCitation":"Stephen Darwell, “Responsibility within Relations,” in Partiality and Impartiality, ed. Brian Feltham and John Cottingham (Oxford University Press, 2010), 150–68, https://doi.org/10.1093/acprof:oso/9780199579952.001.0001; Simon Keller, Partiality, Princeton Monographs in Philosophy (Princeton: Princeton University Press, 2013); Maria A. Carrasco, “Morality, Impartiality and Due Partialities,” Journal of Value Inquiry 49, no. 4 (2015): 667–89, http://dx.doi.org/10.1007/s10790-015-9523-8; Errol Lord, “Justifying Partiality,” Ethical Theory and Moral Practice 19, no. 3 (2016): 569–90; Sungwoo Um, “Solving the Puzzle of Partiality,” Journal of Social Philosophy 52, no. 3 (2021): 362–76, https://doi.org/10.1111/josp.12367; Niko Kolodny, “Which Relationships Justify Partiality? The Case of Parents and Children,” Philosophy &amp; Public Affairs 38, no. 1 (January 2010): 37–75, https://doi.org/10.1111/j.1088-4963.2009.01173.x; Niko Kolodny, “Which Relationships Justify Partiality? General Considerations and Problem Cases,” in Partiality and Impartiality, ed. Brian Feltham and John Cottingham (Oxford University Press, 2010), 169–93, https://doi.org/10.1093/acprof:oso/9780199579952.001.0001.","dontUpdate":true,"noteIndex":4},"citationItems":[{"id":1470,"uris":["http://zotero.org/users/4376360/items/ZFPLDT26"],"uri":["http://zotero.org/users/4376360/items/ZFPLDT26"],"itemData":{"id":1470,"type":"chapter","container-title":"Partiality and Impartiality","ISBN":"978-0-19-957995-2","note":"DOI: 10.1093/acprof:oso/9780199579952.001.0001\nDOI: 10.1093/acprof:oso/9780199579952.001.0001","page":"150-168","publisher":"Oxford University Press","source":"DOI.org (Crossref)","title":"Responsibility within Relations","URL":"http://www.oxfordscholarship.com/view/10.1093/acprof:oso/9780199579952.001.0001/acprof-9780199579952","editor":[{"family":"Feltham","given":"Brian"},{"family":"Cottingham","given":"John"}],"author":[{"family":"Darwell","given":"Stephen"}],"accessed":{"date-parts":[["2022",3,19]]},"issued":{"date-parts":[["2010",10,28]]}}},{"id":1465,"uris":["http://zotero.org/users/4376360/items/JGPUDNFR"],"uri":["http://zotero.org/users/4376360/items/JGPUDNFR"],"itemData":{"id":1465,"type":"book","call-number":"HM1106 .K4395 2013","collection-title":"Princeton monographs in philosophy","event-place":"Princeton","ISBN":"978-0-691-15473-2","number-of-pages":"163","publisher":"Princeton University Press","publisher-place":"Princeton","source":"Library of Congress ISBN","title":"Partiality","author":[{"family":"Keller","given":"Simon"}],"issued":{"date-parts":[["2013"]]}}},{"id":1452,"uris":["http://zotero.org/users/4376360/items/DYM7BW48"],"uri":["http://zotero.org/users/4376360/items/DYM7BW48"],"itemData":{"id":1452,"type":"article-journal","abstract":"Issue Title: Nature, Culture, Gods, and Reason - Exploring Evaluative and Normative Constraints on Right Action in a Historical and Comparative Perspective","container-title":"Journal of Value Inquiry","DOI":"http://dx.doi.org/10.1007/s10790-015-9523-8","ISSN":"00225363","issue":"4","language":"English","note":"number-of-pages: 667-689\npublisher-place: Dordrecht, Netherlands\npublisher: Springer Nature B.V.","page":"667-689","source":"ProQuest","title":"Morality, Impartiality and Due Partialities","volume":"49","author":[{"family":"Carrasco","given":"Maria A."}],"issued":{"date-parts":[["2015"]]}}},{"id":1444,"uris":["http://zotero.org/users/4376360/items/KAUCVUTC"],"uri":["http://zotero.org/users/4376360/items/KAUCVUTC"],"itemData":{"id":1444,"type":"article-journal","abstract":"It's an undeniable fact about our moral lives that we are partial towards certain people and projects. Despite this, it has traditionally been very hard to justify partiality. In this paper I defend a novel partialist theory. The context of the paper is the debate between three different views of how partiality is justified. According to the first view, partiality is justified by facts about our ground projects. According to the second view, partiality is justified by facts about our relationships with the things that we are partial towards. And according to the third view, partiality is justified by facts about the things that we are partial towards. I argue that all three views contain part of the truth. We can see this by adopting a more sophisticated view of the weight of reasons. Once we do this, it will be clear that both facts about individuals and facts about relationships play a role in explaining why we often have stronger reason to act well towards those things we are partial towards. Further, I argue, facts about projects help explain why facts about relationships play the role that they do in determining the strength of our reasons.","container-title":"Ethical Theory and Moral Practice","ISSN":"1386-2820","issue":"3","note":"publisher: Springer","page":"569-590","source":"JSTOR","title":"Justifying Partiality","volume":"19","author":[{"family":"Lord","given":"Errol"}],"issued":{"date-parts":[["2016"]]}}},{"id":1445,"uris":["http://zotero.org/users/4376360/items/AHLPYBD3"],"uri":["http://zotero.org/users/4376360/items/AHLPYBD3"],"itemData":{"id":1445,"type":"article-journal","container-title":"Journal of Social Philosophy","DOI":"10.1111/josp.12367","ISSN":"1467-9833","issue":"3","language":"en","note":"_eprint: https://onlinelibrary.wiley.com/doi/pdf/10.1111/josp.12367","page":"362-376","source":"Wiley Online Library","title":"Solving the Puzzle of Partiality","volume":"52","author":[{"family":"Um","given":"Sungwoo"}],"issued":{"date-parts":[["2021"]]}}},{"id":1468,"uris":["http://zotero.org/users/4376360/items/3BLN5GQ4"],"uri":["http://zotero.org/users/4376360/items/3BLN5GQ4"],"itemData":{"id":1468,"type":"article-journal","container-title":"Philosophy &amp; Public Affairs","DOI":"10.1111/j.1088-4963.2009.01173.x","ISSN":"00483915, 10884963","issue":"1","language":"en","page":"37-75","source":"DOI.org (Crossref)","title":"Which Relationships Justify Partiality? The Case of Parents and Children","title-short":"Which Relationships Justify Partiality?","volume":"38","author":[{"family":"Kolodny","given":"Niko"}],"issued":{"date-parts":[["2010",1]]}}},{"id":1469,"uris":["http://zotero.org/users/4376360/items/PYSWHMVL"],"uri":["http://zotero.org/users/4376360/items/PYSWHMVL"],"itemData":{"id":1469,"type":"chapter","container-title":"Partiality and Impartiality","ISBN":"978-0-19-957995-2","note":"DOI: 10.1093/acprof:oso/9780199579952.001.0001\nDOI: 10.1093/acprof:oso/9780199579952.001.0001","page":"169-193","publisher":"Oxford University Press","source":"DOI.org (Crossref)","title":"Which Relationships Justify Partiality? General Considerations and Problem Cases","URL":"http://www.oxfordscholarship.com/view/10.1093/acprof:oso/9780199579952.001.0001/acprof-9780199579952","editor":[{"family":"Feltham","given":"Brian"},{"family":"Cottingham","given":"John"}],"author":[{"family":"Kolodny","given":"Niko"}],"accessed":{"date-parts":[["2022",3,19]]},"issued":{"date-parts":[["2010",10,28]]}}}],"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Stephen Darwell, “Responsibility within Relations,” in </w:t>
      </w:r>
      <w:r w:rsidRPr="00072DE6">
        <w:rPr>
          <w:rFonts w:ascii="Calibri" w:hAnsi="Calibri" w:cs="Calibri"/>
          <w:i/>
          <w:iCs/>
          <w:sz w:val="20"/>
          <w:szCs w:val="20"/>
        </w:rPr>
        <w:t>Partiality and Impartiality</w:t>
      </w:r>
      <w:r w:rsidRPr="00072DE6">
        <w:rPr>
          <w:rFonts w:ascii="Calibri" w:hAnsi="Calibri" w:cs="Calibri"/>
          <w:sz w:val="20"/>
          <w:szCs w:val="20"/>
        </w:rPr>
        <w:t xml:space="preserve">, ed. Brian Feltham and John Cottingham (Oxford University Press, 2010), 150–68, https://doi.org/10.1093/acprof:oso/9780199579952.001.0001; Simon Keller, </w:t>
      </w:r>
      <w:r w:rsidRPr="00072DE6">
        <w:rPr>
          <w:rFonts w:ascii="Calibri" w:hAnsi="Calibri" w:cs="Calibri"/>
          <w:i/>
          <w:iCs/>
          <w:sz w:val="20"/>
          <w:szCs w:val="20"/>
        </w:rPr>
        <w:t>Partiality</w:t>
      </w:r>
      <w:r w:rsidRPr="00072DE6">
        <w:rPr>
          <w:rFonts w:ascii="Calibri" w:hAnsi="Calibri" w:cs="Calibri"/>
          <w:sz w:val="20"/>
          <w:szCs w:val="20"/>
        </w:rPr>
        <w:t xml:space="preserve">, Princeton Monographs in Philosophy (Princeton: Princeton University Press, 2013); Maria A. Carrasco, “Morality, Impartiality and Due Partialities,” </w:t>
      </w:r>
      <w:r w:rsidRPr="00072DE6">
        <w:rPr>
          <w:rFonts w:ascii="Calibri" w:hAnsi="Calibri" w:cs="Calibri"/>
          <w:i/>
          <w:iCs/>
          <w:sz w:val="20"/>
          <w:szCs w:val="20"/>
        </w:rPr>
        <w:t>Journal of Value Inquiry</w:t>
      </w:r>
      <w:r w:rsidRPr="00072DE6">
        <w:rPr>
          <w:rFonts w:ascii="Calibri" w:hAnsi="Calibri" w:cs="Calibri"/>
          <w:sz w:val="20"/>
          <w:szCs w:val="20"/>
        </w:rPr>
        <w:t xml:space="preserve"> 49, no. 4 (2015): 667–89, http://dx.doi.org/10.1007/s10790-015-9523-8; Errol Lord, “Justifying Partiality,” </w:t>
      </w:r>
      <w:r w:rsidRPr="00072DE6">
        <w:rPr>
          <w:rFonts w:ascii="Calibri" w:hAnsi="Calibri" w:cs="Calibri"/>
          <w:i/>
          <w:iCs/>
          <w:sz w:val="20"/>
          <w:szCs w:val="20"/>
        </w:rPr>
        <w:t>Ethical Theory and Moral Practice</w:t>
      </w:r>
      <w:r w:rsidRPr="00072DE6">
        <w:rPr>
          <w:rFonts w:ascii="Calibri" w:hAnsi="Calibri" w:cs="Calibri"/>
          <w:sz w:val="20"/>
          <w:szCs w:val="20"/>
        </w:rPr>
        <w:t xml:space="preserve"> 19, no. 3 (2016): 569–90; Sungwoo Um, “Solving the Puzzle of Partiality,” </w:t>
      </w:r>
      <w:r w:rsidRPr="00072DE6">
        <w:rPr>
          <w:rFonts w:ascii="Calibri" w:hAnsi="Calibri" w:cs="Calibri"/>
          <w:i/>
          <w:iCs/>
          <w:sz w:val="20"/>
          <w:szCs w:val="20"/>
        </w:rPr>
        <w:t>Journal of Social Philosophy</w:t>
      </w:r>
      <w:r w:rsidRPr="00072DE6">
        <w:rPr>
          <w:rFonts w:ascii="Calibri" w:hAnsi="Calibri" w:cs="Calibri"/>
          <w:sz w:val="20"/>
          <w:szCs w:val="20"/>
        </w:rPr>
        <w:t xml:space="preserve"> 52, no. 3 (2021): 362–76, https://doi.org/10.1111/josp.12367. For discussions on which relationship deserves partial treatment, see Niko Kolodny, “Which Relationships Justify Partiality? The Case of Parents and Children,” </w:t>
      </w:r>
      <w:r w:rsidRPr="00072DE6">
        <w:rPr>
          <w:rFonts w:ascii="Calibri" w:hAnsi="Calibri" w:cs="Calibri"/>
          <w:i/>
          <w:iCs/>
          <w:sz w:val="20"/>
          <w:szCs w:val="20"/>
        </w:rPr>
        <w:t>Philosophy &amp; Public Affairs</w:t>
      </w:r>
      <w:r w:rsidRPr="00072DE6">
        <w:rPr>
          <w:rFonts w:ascii="Calibri" w:hAnsi="Calibri" w:cs="Calibri"/>
          <w:sz w:val="20"/>
          <w:szCs w:val="20"/>
        </w:rPr>
        <w:t xml:space="preserve"> 38, no. 1 (January 2010): 37–75, https://doi.org/10.1111/j.1088-4963.2009.01173.x; Niko Kolodny, “Which Relationships Justify Partiality? General Considerations and Problem Cases,” in </w:t>
      </w:r>
      <w:r w:rsidRPr="00072DE6">
        <w:rPr>
          <w:rFonts w:ascii="Calibri" w:hAnsi="Calibri" w:cs="Calibri"/>
          <w:i/>
          <w:iCs/>
          <w:sz w:val="20"/>
          <w:szCs w:val="20"/>
        </w:rPr>
        <w:t>Partiality and Impartiality</w:t>
      </w:r>
      <w:r w:rsidRPr="00072DE6">
        <w:rPr>
          <w:rFonts w:ascii="Calibri" w:hAnsi="Calibri" w:cs="Calibri"/>
          <w:sz w:val="20"/>
          <w:szCs w:val="20"/>
        </w:rPr>
        <w:t>, ed. Brian Feltham and John Cottingham (Oxford University Press, 2010), 169–93, https://doi.org/10.1093/acprof:oso/9780199579952.001.0001.</w:t>
      </w:r>
      <w:r w:rsidRPr="00072DE6">
        <w:rPr>
          <w:rFonts w:ascii="Calibri" w:hAnsi="Calibri" w:cs="Calibri"/>
          <w:sz w:val="20"/>
          <w:szCs w:val="20"/>
        </w:rPr>
        <w:fldChar w:fldCharType="end"/>
      </w:r>
    </w:p>
  </w:footnote>
  <w:footnote w:id="112">
    <w:p w14:paraId="38C03C4F"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Responsibility, with its common connotation of Kantian duty, may be too crude a word that renders the care, concern, and unique regard of each other characteristic of intimate relationships unintelligible or even irrelevant.  </w:t>
      </w:r>
    </w:p>
  </w:footnote>
  <w:footnote w:id="113">
    <w:p w14:paraId="41D6835B"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{"citationID":"kO68lCCA","properties":{"formattedCitation":"See Um, \\uc0\\u8220{}Solving the Puzzle of Partiality,\\uc0\\u8221{} 371\\uc0\\u8211{}74.","plainCitation":"See Um, “Solving the Puzzle of Partiality,” 371–74.","noteIndex":6},"citationItems":[{"id":1445,"uris":["http://zotero.org/users/4376360/items/AHLPYBD3"],"uri":["http://zotero.org/users/4376360/items/AHLPYBD3"],"itemData":{"id":1445,"type":"article-journal","container-title":"Journal of Social Philosophy","DOI":"10.1111/josp.12367","ISSN":"1467-9833","issue":"3","language":"en","note":"_eprint: https://onlinelibrary.wiley.com/doi/pdf/10.1111/josp.12367","page":"362-376","source":"Wiley Online Library","title":"Solving the Puzzle of Partiality","volume":"52","author":[{"family":"Um","given":"Sungwoo"}],"issued":{"date-parts":[["2021"]]}},"locator":"371-74","prefix":"See"}],"schema":"https://github.com/citation-style-language/schema/raw/master/csl-citation.json"}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See Um, “Solving the Puzzle of Partiality,” 371–74</w:t>
      </w:r>
      <w:r w:rsidRPr="00072DE6">
        <w:rPr>
          <w:rFonts w:ascii="Calibri" w:hAnsi="Calibri" w:cs="Calibri"/>
          <w:sz w:val="20"/>
          <w:szCs w:val="20"/>
        </w:rPr>
        <w:fldChar w:fldCharType="end"/>
      </w:r>
      <w:r w:rsidRPr="00072DE6">
        <w:rPr>
          <w:rFonts w:ascii="Calibri" w:hAnsi="Calibri" w:cs="Calibri"/>
          <w:sz w:val="20"/>
          <w:szCs w:val="20"/>
        </w:rPr>
        <w:t xml:space="preserve"> where he discusses what he calls the “reflexive structure” of intimate relationship, a structure that makes the welfare and interests of intimately related others part of each other’s welfare and interests such that a clear demarcation of “self” and “others” becomes hard to identify and maintain.</w:t>
      </w:r>
    </w:p>
  </w:footnote>
  <w:footnote w:id="114">
    <w:p w14:paraId="5D7A2009"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{"citationID":"4UKXDqQE","properties":{"formattedCitation":"See Bernard Williams, \\uc0\\u8220{}Persons, Character and Morality,\\uc0\\u8221{} in {\\i{}Moral Luck: Philosophical Papers 1973\\uc0\\u8211{}1980}, 1st ed. (Cambridge University Press, 1981), 1\\uc0\\u8211{}19, https://doi.org/10.1017/CBO9781139165860; for discussions on commitment to moral justification. Susan Wolf, \\uc0\\u8220{}\\uc0\\u8216{}One Thought Too Many\\uc0\\u8217{}: Love, Morality, and the Ordering of Commitment,\\uc0\\u8221{} in {\\i{}Luck, Value, and Commitment}, ed. Ulrike Heuer and Gerald Lang (Oxford University Press, 2012), 71\\uc0\\u8211{}92, https://doi.org/10.1093/acprof:oso/9780199599325.003.0004.","plainCitation":"See Bernard Williams, “Persons, Character and Morality,” in Moral Luck: Philosophical Papers 1973–1980, 1st ed. (Cambridge University Press, 1981), 1–19, https://doi.org/10.1017/CBO9781139165860; for discussions on commitment to moral justification. Susan Wolf, “‘One Thought Too Many’: Love, Morality, and the Ordering of Commitment,” in Luck, Value, and Commitment, ed. Ulrike Heuer and Gerald Lang (Oxford University Press, 2012), 71–92, https://doi.org/10.1093/acprof:oso/9780199599325.003.0004.","noteIndex":7},"citationItems":[{"id":1474,"uris":["http://zotero.org/users/4376360/items/9TIN2ZPT"],"uri":["http://zotero.org/users/4376360/items/9TIN2ZPT"],"itemData":{"id":1474,"type":"chapter","container-title":"Moral Luck: Philosophical Papers 1973–1980","edition":"1","ISBN":"978-0-521-24372-8","note":"DOI: 10.1017/CBO9781139165860","page":"1-19","publisher":"Cambridge University Press","source":"DOI.org (Crossref)","title":"Persons, character and morality","URL":"https://www.cambridge.org/core/product/identifier/9781139165860/type/book","author":[{"family":"Williams","given":"Bernard"}],"accessed":{"date-parts":[["2022",3,19]]},"issued":{"date-parts":[["1981",12,3]]}},"prefix":"See"},{"id":1473,"uris":["http://zotero.org/users/4376360/items/RQVD2KAG"],"uri":["http://zotero.org/users/4376360/items/RQVD2KAG"],"itemData":{"id":1473,"type":"chapter","container-title":"Luck, Value, and Commitment","ISBN":"978-0-19-959932-5","note":"DOI: 10.1093/acprof:oso/9780199599325.003.0004\nDOI: 10.1093/acprof:oso/9780199599325.003.0004","page":"71-92","publisher":"Oxford University Press","source":"DOI.org (Crossref)","title":"‘One Thought Too Many’: Love, Morality, and the Ordering of Commitment","title-short":"‘One Thought Too Many’","URL":"https://oxford.universitypressscholarship.com/view/10.1093/acprof:oso/9780199599325.001.0001/acprof-9780199599325-chapter-4","editor":[{"family":"Heuer","given":"Ulrike"},{"family":"Lang","given":"Gerald"}],"author":[{"family":"Wolf","given":"Susan"}],"accessed":{"date-parts":[["2022",3,19]]},"issued":{"date-parts":[["2012",6,21]]}},"prefix":"for discussions on commitment to moral justification."}],"schema":"https://github.com/citation-style-language/schema/raw/master/csl-citation.json"}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See Bernard Williams, “Persons, Character and Morality,” in </w:t>
      </w:r>
      <w:r w:rsidRPr="00072DE6">
        <w:rPr>
          <w:rFonts w:ascii="Calibri" w:hAnsi="Calibri" w:cs="Calibri"/>
          <w:i/>
          <w:iCs/>
          <w:sz w:val="20"/>
          <w:szCs w:val="20"/>
        </w:rPr>
        <w:t>Moral Luck: Philosophical Papers 1973–1980</w:t>
      </w:r>
      <w:r w:rsidRPr="00072DE6">
        <w:rPr>
          <w:rFonts w:ascii="Calibri" w:hAnsi="Calibri" w:cs="Calibri"/>
          <w:sz w:val="20"/>
          <w:szCs w:val="20"/>
        </w:rPr>
        <w:t xml:space="preserve">, 1st ed. (Cambridge University Press, 1981), 1–19, https://doi.org/10.1017/CBO9781139165860; Susan Wolf, “‘One Thought Too Many’: Love, Morality, and the Ordering of Commitment,” in </w:t>
      </w:r>
      <w:r w:rsidRPr="00072DE6">
        <w:rPr>
          <w:rFonts w:ascii="Calibri" w:hAnsi="Calibri" w:cs="Calibri"/>
          <w:i/>
          <w:iCs/>
          <w:sz w:val="20"/>
          <w:szCs w:val="20"/>
        </w:rPr>
        <w:t>Luck, Value, and Commitment</w:t>
      </w:r>
      <w:r w:rsidRPr="00072DE6">
        <w:rPr>
          <w:rFonts w:ascii="Calibri" w:hAnsi="Calibri" w:cs="Calibri"/>
          <w:sz w:val="20"/>
          <w:szCs w:val="20"/>
        </w:rPr>
        <w:t>, ed. Ulrike Heuer and Gerald Lang (Oxford University Press, 2012), 71–92, https://doi.org/10.1093/acprof:oso/9780199599325.003.0004.</w:t>
      </w:r>
      <w:r w:rsidRPr="00072DE6">
        <w:rPr>
          <w:rFonts w:ascii="Calibri" w:hAnsi="Calibri" w:cs="Calibri"/>
          <w:sz w:val="20"/>
          <w:szCs w:val="20"/>
        </w:rPr>
        <w:fldChar w:fldCharType="end"/>
      </w:r>
      <w:r w:rsidRPr="00072DE6">
        <w:rPr>
          <w:rFonts w:ascii="Calibri" w:hAnsi="Calibri" w:cs="Calibri"/>
          <w:sz w:val="20"/>
          <w:szCs w:val="20"/>
        </w:rPr>
        <w:t xml:space="preserve"> for discussions on commitment to moral justification.</w:t>
      </w:r>
    </w:p>
  </w:footnote>
  <w:footnote w:id="115">
    <w:p w14:paraId="312BDB47" w14:textId="0F7B144E"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{"citationID":"vhZgZxnC","properties":{"formattedCitation":"Here of course I am assuming an understanding and sensitive outsider who does not commit the mistake of using those intimate nicknames as an outsider. How to understand the mistake goes beyond the scope of this essay, and as far as I know, there is no dedicated scholarship on the use and misuse of nick names. Nonetheless, one may find resources in Gracie\\uc0\\u8217{}s theory on sentence versus speaker\\uc0\\u8217{}s meaning and registers of language. See William G. Lycan, {\\i{}Philosophy of Language}, 3rd edition, Routledge Contemporary Introductions to Philosophy (New York: Routledge, 2018), 90\\uc0\\u8211{}102.","plainCitation":"Here of course I am assuming an understanding and sensitive outsider who does not commit the mistake of using those intimate nicknames as an outsider. How to understand the mistake goes beyond the scope of this essay, and as far as I know, there is no dedicated scholarship on the use and misuse of nick names. Nonetheless, one may find resources in Gracie’s theory on sentence versus speaker’s meaning and registers of language. See William G. Lycan, Philosophy of Language, 3rd edition, Routledge Contemporary Introductions to Philosophy (New York: Routledge, 2018), 90–102.","noteIndex":8},"citationItems":[{"id":1475,"uris":["http://zotero.org/users/4376360/items/67UIYXFI"],"uri":["http://zotero.org/users/4376360/items/67UIYXFI"],"itemData":{"id":1475,"type":"book","abstract":"\"Now in its Third Edition, Philosophy of Language: A Contemporary Introduction introduces students to the main issues and theories in twentieth-century philosophy of language, focusing specifically on linguistic phenomena. Author William G. Lycan structures the book into four general parts. Part I, Reference and Referring, includes topics such as Russell's theory of descriptions (and its objections), Donnellan's distinction, problems of anaphora, the description theory of proper names, Searle's cluster theory, and the causal-historical theory. Part II, Theories of Meaning, surveys the competing theories of linguistic meaning and compares their various advantages and liabilities. Part III, Pragmatics and Speech Acts, introduces the basic concepts of linguistic pragmatics and includes a detailed discussion of the problem of indirect force. Part IV, The Expressive and the Figurative, examines various forms of expressive language and what \"metaphorical meaning\" is and how most listeners readily grasp it.\"--","call-number":"P106","collection-title":"Routledge contemporary introductions to philosophy","edition":"3rd edition","event-place":"New York","ISBN":"978-1-351-38069-0","number-of-pages":"1","publisher":"Routledge","publisher-place":"New York","source":"Library of Congress ISBN","title":"Philosophy of language","author":[{"family":"Lycan","given":"William G."}],"issued":{"date-parts":[["2018"]]}},"locator":"90-102","prefix":"Here of course I am assuming an understanding and sensitive outsider who does not commit the mistake of using those intimate nicknames as an outsider. How to understand the mistake goes beyond the scope of this essay, and as far as I know, there is no dedicated scholarship on the use and misuse of nick names. Nonetheless, one may find resources in Gracie’s theory on sentence versus speaker’s meaning and registers of language. See "}],"schema":"https://github.com/citation-style-language/schema/raw/master/csl-citation.json"}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Here of course I am assuming an understanding and sensitive outsider who does not commit the mistake of using those intimate nicknames as an outsider. How to understand the mistake goes beyond the scope of this essay, and as far as I know, there is no dedicated scholarship on the use and misuse of nick names. Nonetheless, one may find resources in Gri</w:t>
      </w:r>
      <w:r w:rsidR="00200A8A" w:rsidRPr="00072DE6">
        <w:rPr>
          <w:rFonts w:ascii="Calibri" w:hAnsi="Calibri" w:cs="Calibri"/>
          <w:sz w:val="20"/>
          <w:szCs w:val="20"/>
        </w:rPr>
        <w:t>c</w:t>
      </w:r>
      <w:r w:rsidRPr="00072DE6">
        <w:rPr>
          <w:rFonts w:ascii="Calibri" w:hAnsi="Calibri" w:cs="Calibri"/>
          <w:sz w:val="20"/>
          <w:szCs w:val="20"/>
        </w:rPr>
        <w:t xml:space="preserve">e’s theory on sentence versus speaker’s meaning and registers of language. See William G. Lycan, </w:t>
      </w:r>
      <w:r w:rsidRPr="00072DE6">
        <w:rPr>
          <w:rFonts w:ascii="Calibri" w:hAnsi="Calibri" w:cs="Calibri"/>
          <w:i/>
          <w:iCs/>
          <w:sz w:val="20"/>
          <w:szCs w:val="20"/>
        </w:rPr>
        <w:t>Philosophy of Language</w:t>
      </w:r>
      <w:r w:rsidRPr="00072DE6">
        <w:rPr>
          <w:rFonts w:ascii="Calibri" w:hAnsi="Calibri" w:cs="Calibri"/>
          <w:sz w:val="20"/>
          <w:szCs w:val="20"/>
        </w:rPr>
        <w:t>, 3rd edition, Routledge Contemporary Introductions to Philosophy (New York: Routledge, 2018), 90–102.</w:t>
      </w:r>
      <w:r w:rsidRPr="00072DE6">
        <w:rPr>
          <w:rFonts w:ascii="Calibri" w:hAnsi="Calibri" w:cs="Calibri"/>
          <w:sz w:val="20"/>
          <w:szCs w:val="20"/>
        </w:rPr>
        <w:fldChar w:fldCharType="end"/>
      </w:r>
      <w:r w:rsidRPr="00072DE6">
        <w:rPr>
          <w:rFonts w:ascii="Calibri" w:hAnsi="Calibri" w:cs="Calibri"/>
          <w:sz w:val="20"/>
          <w:szCs w:val="20"/>
        </w:rPr>
        <w:t xml:space="preserve"> I thank Chang Liu for this point. </w:t>
      </w:r>
    </w:p>
    <w:p w14:paraId="7A87FCBE" w14:textId="77777777" w:rsidR="00EA5D45" w:rsidRPr="00072DE6" w:rsidRDefault="00EA5D45" w:rsidP="00EA5D45">
      <w:pPr>
        <w:pStyle w:val="FootnoteText"/>
        <w:rPr>
          <w:rFonts w:ascii="Calibri" w:hAnsi="Calibri" w:cs="Calibri"/>
          <w:sz w:val="20"/>
          <w:szCs w:val="20"/>
        </w:rPr>
      </w:pPr>
    </w:p>
  </w:footnote>
  <w:footnote w:id="116">
    <w:p w14:paraId="4DF80FF1"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{"citationID":"d6rfvGJu","properties":{"formattedCitation":"See Linda Trinkaus Zagzebski, {\\i{}Virtues of the Mind: An Inquiry into the Nature of Virtue and the Ethical Foundations of Knowledge} (New York, NY, USA: Cambridge University Press, 1996), 176\\uc0\\u8211{}84 for a related discussion on reliable success as a necessary component for intellectual virtue (and virtues in general).","plainCitation":"See Linda Trinkaus Zagzebski, Virtues of the Mind: An Inquiry into the Nature of Virtue and the Ethical Foundations of Knowledge (New York, NY, USA: Cambridge University Press, 1996), 176–84 for a related discussion on reliable success as a necessary component for intellectual virtue (and virtues in general).","noteIndex":9},"citationItems":[{"id":797,"uris":["http://zotero.org/users/4376360/items/UVR7NI7L"],"uri":["http://zotero.org/users/4376360/items/UVR7NI7L"],"itemData":{"id":797,"type":"book","call-number":"BD176 .Z34 1996","event-place":"New York, NY, USA","ISBN":"978-0-521-57060-2","number-of-pages":"365","publisher":"Cambridge University Press","publisher-place":"New York, NY, USA","source":"Library of Congress ISBN","title":"Virtues of the mind: an inquiry into the nature of virtue and the ethical foundations of knowledge","title-short":"Virtues of the mind","author":[{"family":"Zagzebski","given":"Linda Trinkaus"}],"issued":{"date-parts":[["1996"]]}},"locator":"176-184","prefix":"See ","suffix":"for a related discussion on reliable success as a necessary component for intellectual virtue (and virtues in general)."}],"schema":"https://github.com/citation-style-language/schema/raw/master/csl-citation.json"}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See Linda Trinkaus Zagzebski, </w:t>
      </w:r>
      <w:r w:rsidRPr="00072DE6">
        <w:rPr>
          <w:rFonts w:ascii="Calibri" w:hAnsi="Calibri" w:cs="Calibri"/>
          <w:i/>
          <w:iCs/>
          <w:sz w:val="20"/>
          <w:szCs w:val="20"/>
        </w:rPr>
        <w:t>Virtues of the Mind: An Inquiry into the Nature of Virtue and the Ethical Foundations of Knowledge</w:t>
      </w:r>
      <w:r w:rsidRPr="00072DE6">
        <w:rPr>
          <w:rFonts w:ascii="Calibri" w:hAnsi="Calibri" w:cs="Calibri"/>
          <w:sz w:val="20"/>
          <w:szCs w:val="20"/>
        </w:rPr>
        <w:t xml:space="preserve"> (New York, NY, USA: Cambridge University Press, 1996), 176–84 for a related discussion on reliable success as a necessary component for intellectual virtue (and virtues in general).</w:t>
      </w:r>
      <w:r w:rsidRPr="00072DE6">
        <w:rPr>
          <w:rFonts w:ascii="Calibri" w:hAnsi="Calibri" w:cs="Calibri"/>
          <w:sz w:val="20"/>
          <w:szCs w:val="20"/>
        </w:rPr>
        <w:fldChar w:fldCharType="end"/>
      </w:r>
    </w:p>
  </w:footnote>
  <w:footnote w:id="117">
    <w:p w14:paraId="40886166"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Again, I will return to the abnormal cases such as an abusive husband, an insatiable and ungrateful friend, parents suffering from dementia, and so on in the “Caveat and Qualification” section. </w:t>
      </w:r>
    </w:p>
  </w:footnote>
  <w:footnote w:id="118">
    <w:p w14:paraId="4B0D5F85"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 thank multiple people who were willing to share with me their own stories or stories of someone they knew, which allows me to present the following narrative. If there are any insights, they come from my dear friends. Errors certainly are my own. </w:t>
      </w:r>
    </w:p>
  </w:footnote>
  <w:footnote w:id="119">
    <w:p w14:paraId="5B164682"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I thank Amy Olberding for providing this vivid example. </w:t>
      </w:r>
    </w:p>
  </w:footnote>
  <w:footnote w:id="120">
    <w:p w14:paraId="009BD73A"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Public evaluation also becomes relevant when some of the intimately related commits grave moral mistakes against outsiders, which presents others in the relationship difficult moral challenges. There are serious problems involved in this kind of cases that go beyond the scope of this paper. </w:t>
      </w:r>
    </w:p>
  </w:footnote>
  <w:footnote w:id="121">
    <w:p w14:paraId="759C720E"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This, as Confucian scholars might notice, implies quite a different interpretation of the key Confucian relational virtue of </w:t>
      </w:r>
      <w:r w:rsidRPr="00072DE6">
        <w:rPr>
          <w:rFonts w:ascii="Calibri" w:hAnsi="Calibri" w:cs="Calibri"/>
          <w:i/>
          <w:iCs/>
          <w:sz w:val="20"/>
          <w:szCs w:val="20"/>
        </w:rPr>
        <w:t>xiao</w:t>
      </w:r>
      <w:r w:rsidRPr="00072DE6">
        <w:rPr>
          <w:rFonts w:ascii="Calibri" w:hAnsi="Calibri" w:cs="Calibri"/>
          <w:sz w:val="20"/>
          <w:szCs w:val="20"/>
        </w:rPr>
        <w:t xml:space="preserve"> </w:t>
      </w:r>
      <w:r w:rsidRPr="00072DE6">
        <w:rPr>
          <w:rFonts w:ascii="Calibri" w:hAnsi="Calibri" w:cs="Calibri"/>
          <w:sz w:val="20"/>
          <w:szCs w:val="20"/>
        </w:rPr>
        <w:t>孝</w:t>
      </w:r>
      <w:r w:rsidRPr="00072DE6">
        <w:rPr>
          <w:rFonts w:ascii="Calibri" w:hAnsi="Calibri" w:cs="Calibri"/>
          <w:sz w:val="20"/>
          <w:szCs w:val="20"/>
        </w:rPr>
        <w:t xml:space="preserve">, which is supposed to have significant civic and political implications, especially in ancient China. Thus, my view can support a modern development of </w:t>
      </w:r>
      <w:r w:rsidRPr="00072DE6">
        <w:rPr>
          <w:rFonts w:ascii="Calibri" w:hAnsi="Calibri" w:cs="Calibri"/>
          <w:i/>
          <w:iCs/>
          <w:sz w:val="20"/>
          <w:szCs w:val="20"/>
        </w:rPr>
        <w:t>xiao</w:t>
      </w:r>
      <w:r w:rsidRPr="00072DE6">
        <w:rPr>
          <w:rFonts w:ascii="Calibri" w:hAnsi="Calibri" w:cs="Calibri"/>
          <w:sz w:val="20"/>
          <w:szCs w:val="20"/>
        </w:rPr>
        <w:t xml:space="preserve"> </w:t>
      </w:r>
      <w:r w:rsidRPr="00072DE6">
        <w:rPr>
          <w:rFonts w:ascii="Calibri" w:hAnsi="Calibri" w:cs="Calibri"/>
          <w:sz w:val="20"/>
          <w:szCs w:val="20"/>
        </w:rPr>
        <w:t>孝</w:t>
      </w:r>
      <w:r w:rsidRPr="00072DE6">
        <w:rPr>
          <w:rFonts w:ascii="Calibri" w:hAnsi="Calibri" w:cs="Calibri"/>
          <w:sz w:val="20"/>
          <w:szCs w:val="20"/>
        </w:rPr>
        <w:t xml:space="preserve"> that focuses on the relationship between parents and child and takes away its now-irrelevant civic and political implications. </w:t>
      </w:r>
    </w:p>
  </w:footnote>
  <w:footnote w:id="122">
    <w:p w14:paraId="0DD086D0"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t>
      </w:r>
      <w:r w:rsidRPr="00072DE6">
        <w:rPr>
          <w:rFonts w:ascii="Calibri" w:hAnsi="Calibri" w:cs="Calibri"/>
          <w:sz w:val="20"/>
          <w:szCs w:val="20"/>
        </w:rPr>
        <w:fldChar w:fldCharType="begin"/>
      </w:r>
      <w:r w:rsidRPr="00072DE6">
        <w:rPr>
          <w:rFonts w:ascii="Calibri" w:hAnsi="Calibri" w:cs="Calibri"/>
          <w:sz w:val="20"/>
          <w:szCs w:val="20"/>
        </w:rPr>
        <w:instrText xml:space="preserve"> ADDIN ZOTERO_ITEM CSL_CITATION {"citationID":"zC3jpR21","properties":{"formattedCitation":"Christian B. Miller, \\uc0\\u8220{}Generosity: A Preliminary Account of a Surprisingly Neglected Virtue,\\uc0\\u8221{} {\\i{}Metaphilosophy} 49, no. 3 (April 2018): 231, https://doi.org/10.1111/meta.12298.","plainCitation":"Christian B. Miller, “Generosity: A Preliminary Account of a Surprisingly Neglected Virtue,” Metaphilosophy 49, no. 3 (April 2018): 231, https://doi.org/10.1111/meta.12298.","noteIndex":15},"citationItems":[{"id":1413,"uris":["http://zotero.org/users/4376360/items/KZACJBDZ"],"uri":["http://zotero.org/users/4376360/items/KZACJBDZ"],"itemData":{"id":1413,"type":"article-journal","abstract":"Abstract: There have only been three articles in mainstream philosophy journals going back at least to the 1970s on generosity. This paper hopes to draw attention to this neglected virtue. By building on what work has already been done, and trying to advance that discussion along several different dimensions, it hopes that others will take a closer look at this important and surprisingly complex virtue. More specifically, it formulates three important necessary conditions for what is involved in possessing the virtue of generosity, and considers other contenders as well. The necessary conditions have to do with whether what is given must be of value to the giver, whether the giver's primary motivation has to be altruistic, and whether the act of giving has to be supererogatory.","container-title":"Metaphilosophy","DOI":"10.1111/meta.12298","ISSN":"00261068","issue":"3","note":"publisher: Wiley-Blackwell","page":"216-245","source":"EBSCOhost","title":"Generosity: A Preliminary Account of a Surprisingly Neglected Virtue","title-short":"Generosity","volume":"49","author":[{"family":"Miller","given":"Christian B."}],"issued":{"date-parts":[["2018",4]]}},"locator":"231"}],"schema":"https://github.com/citation-style-language/schema/raw/master/csl-citation.json"} </w:instrText>
      </w:r>
      <w:r w:rsidRPr="00072DE6">
        <w:rPr>
          <w:rFonts w:ascii="Calibri" w:hAnsi="Calibri" w:cs="Calibri"/>
          <w:sz w:val="20"/>
          <w:szCs w:val="20"/>
        </w:rPr>
        <w:fldChar w:fldCharType="separate"/>
      </w:r>
      <w:r w:rsidRPr="00072DE6">
        <w:rPr>
          <w:rFonts w:ascii="Calibri" w:hAnsi="Calibri" w:cs="Calibri"/>
          <w:sz w:val="20"/>
          <w:szCs w:val="20"/>
        </w:rPr>
        <w:t xml:space="preserve">Christian B. Miller, “Generosity: A Preliminary Account of a Surprisingly Neglected Virtue,” </w:t>
      </w:r>
      <w:r w:rsidRPr="00072DE6">
        <w:rPr>
          <w:rFonts w:ascii="Calibri" w:hAnsi="Calibri" w:cs="Calibri"/>
          <w:i/>
          <w:iCs/>
          <w:sz w:val="20"/>
          <w:szCs w:val="20"/>
        </w:rPr>
        <w:t>Metaphilosophy</w:t>
      </w:r>
      <w:r w:rsidRPr="00072DE6">
        <w:rPr>
          <w:rFonts w:ascii="Calibri" w:hAnsi="Calibri" w:cs="Calibri"/>
          <w:sz w:val="20"/>
          <w:szCs w:val="20"/>
        </w:rPr>
        <w:t xml:space="preserve"> 49, no. 3 (April 2018): 231, https://doi.org/10.1111/meta.12298.</w:t>
      </w:r>
      <w:r w:rsidRPr="00072DE6">
        <w:rPr>
          <w:rFonts w:ascii="Calibri" w:hAnsi="Calibri" w:cs="Calibri"/>
          <w:sz w:val="20"/>
          <w:szCs w:val="20"/>
        </w:rPr>
        <w:fldChar w:fldCharType="end"/>
      </w:r>
    </w:p>
  </w:footnote>
  <w:footnote w:id="123">
    <w:p w14:paraId="13D0A505" w14:textId="77777777" w:rsidR="00EA5D45" w:rsidRPr="00072DE6" w:rsidRDefault="00EA5D45" w:rsidP="00EA5D45">
      <w:pPr>
        <w:pStyle w:val="FootnoteText"/>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There are numerous reports on clothes donation becoming landfills. See for instance https://www.abc.net.au/news/2021-08-12/fast-fashion-turning-parts-ghana-into-toxic-landfill/100358702</w:t>
      </w:r>
    </w:p>
  </w:footnote>
  <w:footnote w:id="124">
    <w:p w14:paraId="68A4D36F" w14:textId="77777777" w:rsidR="00EA5D45" w:rsidRPr="00072DE6" w:rsidRDefault="00EA5D45" w:rsidP="00912B60">
      <w:pPr>
        <w:rPr>
          <w:rFonts w:ascii="Calibri" w:hAnsi="Calibri" w:cs="Calibri"/>
          <w:sz w:val="20"/>
          <w:szCs w:val="20"/>
        </w:rPr>
      </w:pPr>
      <w:r w:rsidRPr="00072DE6">
        <w:rPr>
          <w:rStyle w:val="FootnoteReference"/>
          <w:rFonts w:ascii="Calibri" w:hAnsi="Calibri" w:cs="Calibri"/>
          <w:sz w:val="20"/>
          <w:szCs w:val="20"/>
        </w:rPr>
        <w:footnoteRef/>
      </w:r>
      <w:r w:rsidRPr="00072DE6">
        <w:rPr>
          <w:rFonts w:ascii="Calibri" w:hAnsi="Calibri" w:cs="Calibri"/>
          <w:sz w:val="20"/>
          <w:szCs w:val="20"/>
        </w:rPr>
        <w:t xml:space="preserve"> While this may seem contradictory at first, humans do seem capable of having contradictory emotions at the same time, such as being at once happy and sad. Thus, the project is </w:t>
      </w:r>
    </w:p>
    <w:p w14:paraId="16503214" w14:textId="77777777" w:rsidR="00EA5D45" w:rsidRPr="00072DE6" w:rsidRDefault="00EA5D45" w:rsidP="00EA5D45">
      <w:pPr>
        <w:rPr>
          <w:rFonts w:ascii="Calibri" w:hAnsi="Calibri" w:cs="Calibri"/>
          <w:sz w:val="20"/>
          <w:szCs w:val="20"/>
        </w:rPr>
      </w:pPr>
    </w:p>
    <w:p w14:paraId="1D9DDA32" w14:textId="77777777" w:rsidR="00EA5D45" w:rsidRPr="00072DE6" w:rsidRDefault="00EA5D45" w:rsidP="00EA5D45">
      <w:pPr>
        <w:pStyle w:val="FootnoteText"/>
        <w:rPr>
          <w:rFonts w:ascii="Calibri" w:hAnsi="Calibri" w:cs="Calibri"/>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EC07" w14:textId="77777777" w:rsidR="00AA5F86" w:rsidRDefault="00AA5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0EE6B" w14:textId="77777777" w:rsidR="00AA5F86" w:rsidRDefault="00AA5F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1C4D2" w14:textId="77777777" w:rsidR="00AA5F86" w:rsidRDefault="00AA5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3958"/>
    <w:multiLevelType w:val="hybridMultilevel"/>
    <w:tmpl w:val="8B6C4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9407D8"/>
    <w:multiLevelType w:val="hybridMultilevel"/>
    <w:tmpl w:val="72F8F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163F5"/>
    <w:multiLevelType w:val="hybridMultilevel"/>
    <w:tmpl w:val="CCE4E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1370192">
    <w:abstractNumId w:val="1"/>
  </w:num>
  <w:num w:numId="2" w16cid:durableId="1152647703">
    <w:abstractNumId w:val="0"/>
  </w:num>
  <w:num w:numId="3" w16cid:durableId="477766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66"/>
    <w:rsid w:val="0000317E"/>
    <w:rsid w:val="00011487"/>
    <w:rsid w:val="00041FC6"/>
    <w:rsid w:val="000649B2"/>
    <w:rsid w:val="00072DE6"/>
    <w:rsid w:val="000A202A"/>
    <w:rsid w:val="000F320F"/>
    <w:rsid w:val="0014303B"/>
    <w:rsid w:val="001821B4"/>
    <w:rsid w:val="00195F51"/>
    <w:rsid w:val="001B0B71"/>
    <w:rsid w:val="001B43F5"/>
    <w:rsid w:val="00200A8A"/>
    <w:rsid w:val="00200BA9"/>
    <w:rsid w:val="002156E7"/>
    <w:rsid w:val="002227EC"/>
    <w:rsid w:val="00224411"/>
    <w:rsid w:val="002B3C78"/>
    <w:rsid w:val="002C210B"/>
    <w:rsid w:val="002C2650"/>
    <w:rsid w:val="002C2FB7"/>
    <w:rsid w:val="002C4B5F"/>
    <w:rsid w:val="002D14A8"/>
    <w:rsid w:val="002D7BB6"/>
    <w:rsid w:val="002E328C"/>
    <w:rsid w:val="0030765C"/>
    <w:rsid w:val="00320E7B"/>
    <w:rsid w:val="00353D59"/>
    <w:rsid w:val="003C0314"/>
    <w:rsid w:val="004034D0"/>
    <w:rsid w:val="00410FDB"/>
    <w:rsid w:val="00433992"/>
    <w:rsid w:val="00441966"/>
    <w:rsid w:val="00457E67"/>
    <w:rsid w:val="004720FC"/>
    <w:rsid w:val="00472877"/>
    <w:rsid w:val="00485C36"/>
    <w:rsid w:val="004964F8"/>
    <w:rsid w:val="004B79A1"/>
    <w:rsid w:val="004D3433"/>
    <w:rsid w:val="004D75E6"/>
    <w:rsid w:val="00544413"/>
    <w:rsid w:val="0059378C"/>
    <w:rsid w:val="005D0005"/>
    <w:rsid w:val="005E7B9A"/>
    <w:rsid w:val="0064709E"/>
    <w:rsid w:val="00655F09"/>
    <w:rsid w:val="006A082C"/>
    <w:rsid w:val="006A2880"/>
    <w:rsid w:val="006E296A"/>
    <w:rsid w:val="006F11A1"/>
    <w:rsid w:val="0071394A"/>
    <w:rsid w:val="007140DE"/>
    <w:rsid w:val="00720318"/>
    <w:rsid w:val="007225F2"/>
    <w:rsid w:val="007C4A0F"/>
    <w:rsid w:val="007E6B69"/>
    <w:rsid w:val="007E7FDF"/>
    <w:rsid w:val="008072D6"/>
    <w:rsid w:val="00827322"/>
    <w:rsid w:val="00830739"/>
    <w:rsid w:val="0087182B"/>
    <w:rsid w:val="00887F2F"/>
    <w:rsid w:val="00896181"/>
    <w:rsid w:val="008A7A24"/>
    <w:rsid w:val="008C32E0"/>
    <w:rsid w:val="008F64AB"/>
    <w:rsid w:val="00912B60"/>
    <w:rsid w:val="0092467A"/>
    <w:rsid w:val="0095051A"/>
    <w:rsid w:val="009819CE"/>
    <w:rsid w:val="00995E75"/>
    <w:rsid w:val="009C707C"/>
    <w:rsid w:val="009E008D"/>
    <w:rsid w:val="009E2AA2"/>
    <w:rsid w:val="00A30E29"/>
    <w:rsid w:val="00A43A98"/>
    <w:rsid w:val="00A526D5"/>
    <w:rsid w:val="00A5551E"/>
    <w:rsid w:val="00A5783A"/>
    <w:rsid w:val="00A57956"/>
    <w:rsid w:val="00A72FD7"/>
    <w:rsid w:val="00AA5F86"/>
    <w:rsid w:val="00AB13A7"/>
    <w:rsid w:val="00AF2B81"/>
    <w:rsid w:val="00B23458"/>
    <w:rsid w:val="00B727F2"/>
    <w:rsid w:val="00BA6AC3"/>
    <w:rsid w:val="00BD273C"/>
    <w:rsid w:val="00C0058F"/>
    <w:rsid w:val="00C07D95"/>
    <w:rsid w:val="00C11E64"/>
    <w:rsid w:val="00C5133F"/>
    <w:rsid w:val="00C557B2"/>
    <w:rsid w:val="00CD7554"/>
    <w:rsid w:val="00CF3053"/>
    <w:rsid w:val="00D00D77"/>
    <w:rsid w:val="00D854E6"/>
    <w:rsid w:val="00D94D83"/>
    <w:rsid w:val="00DC096D"/>
    <w:rsid w:val="00DE34FB"/>
    <w:rsid w:val="00E0319A"/>
    <w:rsid w:val="00E03454"/>
    <w:rsid w:val="00E61738"/>
    <w:rsid w:val="00E61A1B"/>
    <w:rsid w:val="00E72896"/>
    <w:rsid w:val="00EA5D45"/>
    <w:rsid w:val="00ED049D"/>
    <w:rsid w:val="00ED7DCC"/>
    <w:rsid w:val="00F5722B"/>
    <w:rsid w:val="00F77249"/>
    <w:rsid w:val="00F82384"/>
    <w:rsid w:val="00F95139"/>
    <w:rsid w:val="00FD2DEF"/>
    <w:rsid w:val="00FD507E"/>
    <w:rsid w:val="00FE7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52DA7"/>
  <w15:docId w15:val="{29E3FFE2-B5CC-4E95-9D03-15356231E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739"/>
  </w:style>
  <w:style w:type="paragraph" w:styleId="Heading1">
    <w:name w:val="heading 1"/>
    <w:basedOn w:val="Normal"/>
    <w:next w:val="Normal"/>
    <w:link w:val="Heading1Char"/>
    <w:uiPriority w:val="9"/>
    <w:qFormat/>
    <w:rsid w:val="005444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0739"/>
    <w:pPr>
      <w:keepNext/>
      <w:keepLines/>
      <w:widowControl w:val="0"/>
      <w:spacing w:before="40" w:after="0" w:line="240" w:lineRule="auto"/>
      <w:jc w:val="both"/>
      <w:outlineLvl w:val="1"/>
    </w:pPr>
    <w:rPr>
      <w:rFonts w:eastAsiaTheme="majorEastAsia" w:cstheme="majorBidi"/>
      <w:color w:val="2F5496" w:themeColor="accent1" w:themeShade="BF"/>
      <w:kern w:val="2"/>
      <w:sz w:val="26"/>
      <w:szCs w:val="26"/>
      <w:lang w:eastAsia="zh-CN"/>
    </w:rPr>
  </w:style>
  <w:style w:type="paragraph" w:styleId="Heading3">
    <w:name w:val="heading 3"/>
    <w:basedOn w:val="Normal"/>
    <w:next w:val="Normal"/>
    <w:link w:val="Heading3Char"/>
    <w:uiPriority w:val="9"/>
    <w:unhideWhenUsed/>
    <w:qFormat/>
    <w:rsid w:val="009819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819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1966"/>
    <w:pPr>
      <w:widowControl w:val="0"/>
      <w:spacing w:after="0" w:line="240" w:lineRule="auto"/>
      <w:contextualSpacing/>
      <w:jc w:val="both"/>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441966"/>
    <w:rPr>
      <w:rFonts w:asciiTheme="majorHAnsi" w:eastAsiaTheme="majorEastAsia" w:hAnsiTheme="majorHAnsi" w:cstheme="majorBidi"/>
      <w:spacing w:val="-10"/>
      <w:kern w:val="28"/>
      <w:sz w:val="56"/>
      <w:szCs w:val="56"/>
      <w:lang w:eastAsia="zh-CN"/>
    </w:rPr>
  </w:style>
  <w:style w:type="character" w:customStyle="1" w:styleId="Heading1Char">
    <w:name w:val="Heading 1 Char"/>
    <w:basedOn w:val="DefaultParagraphFont"/>
    <w:link w:val="Heading1"/>
    <w:uiPriority w:val="9"/>
    <w:rsid w:val="0054441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44413"/>
    <w:pPr>
      <w:outlineLvl w:val="9"/>
    </w:pPr>
  </w:style>
  <w:style w:type="character" w:customStyle="1" w:styleId="Heading2Char">
    <w:name w:val="Heading 2 Char"/>
    <w:basedOn w:val="DefaultParagraphFont"/>
    <w:link w:val="Heading2"/>
    <w:uiPriority w:val="9"/>
    <w:rsid w:val="00830739"/>
    <w:rPr>
      <w:rFonts w:eastAsiaTheme="majorEastAsia" w:cstheme="majorBidi"/>
      <w:color w:val="2F5496" w:themeColor="accent1" w:themeShade="BF"/>
      <w:kern w:val="2"/>
      <w:sz w:val="26"/>
      <w:szCs w:val="26"/>
      <w:lang w:eastAsia="zh-CN"/>
    </w:rPr>
  </w:style>
  <w:style w:type="paragraph" w:styleId="FootnoteText">
    <w:name w:val="footnote text"/>
    <w:basedOn w:val="Normal"/>
    <w:link w:val="FootnoteTextChar"/>
    <w:uiPriority w:val="99"/>
    <w:semiHidden/>
    <w:unhideWhenUsed/>
    <w:rsid w:val="00830739"/>
    <w:pPr>
      <w:widowControl w:val="0"/>
      <w:snapToGrid w:val="0"/>
      <w:spacing w:after="0" w:line="240" w:lineRule="auto"/>
    </w:pPr>
    <w:rPr>
      <w:rFonts w:eastAsiaTheme="minorEastAsia"/>
      <w:kern w:val="2"/>
      <w:sz w:val="18"/>
      <w:szCs w:val="18"/>
      <w:lang w:eastAsia="zh-CN"/>
    </w:rPr>
  </w:style>
  <w:style w:type="character" w:customStyle="1" w:styleId="FootnoteTextChar">
    <w:name w:val="Footnote Text Char"/>
    <w:basedOn w:val="DefaultParagraphFont"/>
    <w:link w:val="FootnoteText"/>
    <w:uiPriority w:val="99"/>
    <w:semiHidden/>
    <w:rsid w:val="00830739"/>
    <w:rPr>
      <w:rFonts w:eastAsiaTheme="minorEastAsia"/>
      <w:kern w:val="2"/>
      <w:sz w:val="18"/>
      <w:szCs w:val="18"/>
      <w:lang w:eastAsia="zh-CN"/>
    </w:rPr>
  </w:style>
  <w:style w:type="character" w:styleId="FootnoteReference">
    <w:name w:val="footnote reference"/>
    <w:basedOn w:val="DefaultParagraphFont"/>
    <w:uiPriority w:val="99"/>
    <w:semiHidden/>
    <w:unhideWhenUsed/>
    <w:rsid w:val="00830739"/>
    <w:rPr>
      <w:vertAlign w:val="superscript"/>
    </w:rPr>
  </w:style>
  <w:style w:type="paragraph" w:styleId="Bibliography">
    <w:name w:val="Bibliography"/>
    <w:basedOn w:val="Normal"/>
    <w:next w:val="Normal"/>
    <w:uiPriority w:val="37"/>
    <w:semiHidden/>
    <w:unhideWhenUsed/>
    <w:rsid w:val="00830739"/>
  </w:style>
  <w:style w:type="character" w:styleId="Hyperlink">
    <w:name w:val="Hyperlink"/>
    <w:basedOn w:val="DefaultParagraphFont"/>
    <w:uiPriority w:val="99"/>
    <w:unhideWhenUsed/>
    <w:rsid w:val="00830739"/>
    <w:rPr>
      <w:color w:val="0000FF"/>
      <w:u w:val="single"/>
    </w:rPr>
  </w:style>
  <w:style w:type="character" w:customStyle="1" w:styleId="Heading3Char">
    <w:name w:val="Heading 3 Char"/>
    <w:basedOn w:val="DefaultParagraphFont"/>
    <w:link w:val="Heading3"/>
    <w:uiPriority w:val="9"/>
    <w:rsid w:val="009819C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819CE"/>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2C4B5F"/>
    <w:pPr>
      <w:spacing w:after="100"/>
    </w:pPr>
  </w:style>
  <w:style w:type="paragraph" w:styleId="TOC2">
    <w:name w:val="toc 2"/>
    <w:basedOn w:val="Normal"/>
    <w:next w:val="Normal"/>
    <w:autoRedefine/>
    <w:uiPriority w:val="39"/>
    <w:unhideWhenUsed/>
    <w:rsid w:val="002C4B5F"/>
    <w:pPr>
      <w:spacing w:after="100"/>
      <w:ind w:left="220"/>
    </w:pPr>
  </w:style>
  <w:style w:type="paragraph" w:styleId="TOC3">
    <w:name w:val="toc 3"/>
    <w:basedOn w:val="Normal"/>
    <w:next w:val="Normal"/>
    <w:autoRedefine/>
    <w:uiPriority w:val="39"/>
    <w:unhideWhenUsed/>
    <w:rsid w:val="002C4B5F"/>
    <w:pPr>
      <w:spacing w:after="100"/>
      <w:ind w:left="440"/>
    </w:pPr>
  </w:style>
  <w:style w:type="character" w:customStyle="1" w:styleId="fontstyle01">
    <w:name w:val="fontstyle01"/>
    <w:basedOn w:val="DefaultParagraphFont"/>
    <w:rsid w:val="00EA5D45"/>
    <w:rPr>
      <w:rFonts w:ascii="AdvPTimes" w:hAnsi="AdvPTimes" w:hint="default"/>
      <w:b w:val="0"/>
      <w:bCs w:val="0"/>
      <w:i w:val="0"/>
      <w:iCs w:val="0"/>
      <w:color w:val="000000"/>
      <w:sz w:val="20"/>
      <w:szCs w:val="20"/>
    </w:rPr>
  </w:style>
  <w:style w:type="paragraph" w:styleId="Header">
    <w:name w:val="header"/>
    <w:basedOn w:val="Normal"/>
    <w:link w:val="HeaderChar"/>
    <w:uiPriority w:val="99"/>
    <w:unhideWhenUsed/>
    <w:rsid w:val="00AA5F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F86"/>
  </w:style>
  <w:style w:type="paragraph" w:styleId="Footer">
    <w:name w:val="footer"/>
    <w:basedOn w:val="Normal"/>
    <w:link w:val="FooterChar"/>
    <w:uiPriority w:val="99"/>
    <w:unhideWhenUsed/>
    <w:rsid w:val="00AA5F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636995">
      <w:bodyDiv w:val="1"/>
      <w:marLeft w:val="0"/>
      <w:marRight w:val="0"/>
      <w:marTop w:val="0"/>
      <w:marBottom w:val="0"/>
      <w:divBdr>
        <w:top w:val="none" w:sz="0" w:space="0" w:color="auto"/>
        <w:left w:val="none" w:sz="0" w:space="0" w:color="auto"/>
        <w:bottom w:val="none" w:sz="0" w:space="0" w:color="auto"/>
        <w:right w:val="none" w:sz="0" w:space="0" w:color="auto"/>
      </w:divBdr>
    </w:div>
    <w:div w:id="958949566">
      <w:bodyDiv w:val="1"/>
      <w:marLeft w:val="0"/>
      <w:marRight w:val="0"/>
      <w:marTop w:val="0"/>
      <w:marBottom w:val="0"/>
      <w:divBdr>
        <w:top w:val="none" w:sz="0" w:space="0" w:color="auto"/>
        <w:left w:val="none" w:sz="0" w:space="0" w:color="auto"/>
        <w:bottom w:val="none" w:sz="0" w:space="0" w:color="auto"/>
        <w:right w:val="none" w:sz="0" w:space="0" w:color="auto"/>
      </w:divBdr>
    </w:div>
    <w:div w:id="1065840571">
      <w:bodyDiv w:val="1"/>
      <w:marLeft w:val="0"/>
      <w:marRight w:val="0"/>
      <w:marTop w:val="0"/>
      <w:marBottom w:val="0"/>
      <w:divBdr>
        <w:top w:val="none" w:sz="0" w:space="0" w:color="auto"/>
        <w:left w:val="none" w:sz="0" w:space="0" w:color="auto"/>
        <w:bottom w:val="none" w:sz="0" w:space="0" w:color="auto"/>
        <w:right w:val="none" w:sz="0" w:space="0" w:color="auto"/>
      </w:divBdr>
    </w:div>
    <w:div w:id="1575310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A0E1B-6B8E-4249-B184-901813BE3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118</Pages>
  <Words>31007</Words>
  <Characters>176742</Characters>
  <Application>Microsoft Office Word</Application>
  <DocSecurity>0</DocSecurity>
  <Lines>1472</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Hui</dc:creator>
  <cp:keywords/>
  <dc:description/>
  <cp:lastModifiedBy>Xie, Wen Hui</cp:lastModifiedBy>
  <cp:revision>11</cp:revision>
  <cp:lastPrinted>2022-05-11T15:30:00Z</cp:lastPrinted>
  <dcterms:created xsi:type="dcterms:W3CDTF">2022-05-06T19:21:00Z</dcterms:created>
  <dcterms:modified xsi:type="dcterms:W3CDTF">2022-05-12T13:23:00Z</dcterms:modified>
</cp:coreProperties>
</file>