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75C11" w14:textId="25EC88ED" w:rsidR="00A50007" w:rsidRPr="0008176F" w:rsidRDefault="74CFCC90" w:rsidP="005B2296">
      <w:pPr>
        <w:pStyle w:val="aa"/>
        <w:ind w:left="-432"/>
        <w:jc w:val="center"/>
      </w:pPr>
      <w:r>
        <w:t>UNIVERSITY OF OKLAHOMA</w:t>
      </w:r>
    </w:p>
    <w:p w14:paraId="57D3B325" w14:textId="77777777" w:rsidR="0008176F" w:rsidRPr="0008176F" w:rsidRDefault="0008176F" w:rsidP="005B2296">
      <w:pPr>
        <w:pStyle w:val="aa"/>
        <w:ind w:left="-432"/>
        <w:jc w:val="center"/>
      </w:pPr>
    </w:p>
    <w:p w14:paraId="6F8C6A68" w14:textId="5A4BFAC2" w:rsidR="0008176F" w:rsidRPr="0008176F" w:rsidRDefault="00357FA4" w:rsidP="005B2296">
      <w:pPr>
        <w:pStyle w:val="aa"/>
        <w:ind w:left="-432"/>
        <w:jc w:val="center"/>
      </w:pPr>
      <w:r>
        <w:t>GRADUATE COLLEGE</w:t>
      </w:r>
    </w:p>
    <w:p w14:paraId="78DAFB0F" w14:textId="77777777" w:rsidR="0008176F" w:rsidRPr="0008176F" w:rsidRDefault="0008176F" w:rsidP="005B2296">
      <w:pPr>
        <w:pStyle w:val="aa"/>
        <w:ind w:left="-432"/>
        <w:jc w:val="center"/>
      </w:pPr>
    </w:p>
    <w:p w14:paraId="03DE6238" w14:textId="77777777" w:rsidR="0008176F" w:rsidRPr="0008176F" w:rsidRDefault="0008176F" w:rsidP="005B2296">
      <w:pPr>
        <w:pStyle w:val="aa"/>
        <w:ind w:left="-432"/>
        <w:jc w:val="center"/>
      </w:pPr>
    </w:p>
    <w:p w14:paraId="056AA3E3" w14:textId="77777777" w:rsidR="0008176F" w:rsidRPr="0008176F" w:rsidRDefault="0008176F" w:rsidP="005B2296">
      <w:pPr>
        <w:pStyle w:val="aa"/>
        <w:ind w:left="-432"/>
        <w:jc w:val="center"/>
      </w:pPr>
    </w:p>
    <w:p w14:paraId="671DEF03" w14:textId="77777777" w:rsidR="0008176F" w:rsidRPr="0008176F" w:rsidRDefault="0008176F" w:rsidP="005B2296">
      <w:pPr>
        <w:pStyle w:val="aa"/>
        <w:ind w:left="-432"/>
        <w:jc w:val="center"/>
      </w:pPr>
    </w:p>
    <w:p w14:paraId="02674519" w14:textId="77777777" w:rsidR="0008176F" w:rsidRPr="0008176F" w:rsidRDefault="0008176F" w:rsidP="005B2296">
      <w:pPr>
        <w:pStyle w:val="aa"/>
        <w:ind w:left="-432"/>
        <w:jc w:val="center"/>
      </w:pPr>
    </w:p>
    <w:p w14:paraId="4ED27EFD" w14:textId="77777777" w:rsidR="0008176F" w:rsidRPr="0008176F" w:rsidRDefault="0008176F" w:rsidP="005B2296">
      <w:pPr>
        <w:pStyle w:val="aa"/>
        <w:ind w:left="-432"/>
        <w:jc w:val="center"/>
      </w:pPr>
    </w:p>
    <w:p w14:paraId="7C5E7E82" w14:textId="77777777" w:rsidR="0008176F" w:rsidRPr="0008176F" w:rsidRDefault="0008176F" w:rsidP="005B2296">
      <w:pPr>
        <w:pStyle w:val="aa"/>
        <w:ind w:left="-432"/>
        <w:jc w:val="center"/>
      </w:pPr>
    </w:p>
    <w:p w14:paraId="502846D3" w14:textId="08209300" w:rsidR="0008176F" w:rsidRPr="0009293D" w:rsidRDefault="00B52806" w:rsidP="005B2296">
      <w:pPr>
        <w:ind w:left="-432"/>
        <w:jc w:val="center"/>
        <w:rPr>
          <w:szCs w:val="32"/>
        </w:rPr>
      </w:pPr>
      <w:r>
        <w:rPr>
          <w:szCs w:val="32"/>
        </w:rPr>
        <w:t xml:space="preserve">SPATIAL-TEMPORAL ANALYSIS OF SUBSURFACE WATER CONTENT AND APPLICATIONS IN OKLAHOMA: WASTEWATER INJECTION INDUCED EARTHQUAKES AND </w:t>
      </w:r>
      <w:r w:rsidR="00057938">
        <w:rPr>
          <w:szCs w:val="32"/>
        </w:rPr>
        <w:t xml:space="preserve">A </w:t>
      </w:r>
      <w:r>
        <w:rPr>
          <w:szCs w:val="32"/>
        </w:rPr>
        <w:t>MULTI SENSOR SOIL MOISTURE PRODUCT</w:t>
      </w:r>
    </w:p>
    <w:p w14:paraId="3431E166" w14:textId="77777777" w:rsidR="0008176F" w:rsidRPr="0008176F" w:rsidRDefault="0008176F" w:rsidP="005B2296">
      <w:pPr>
        <w:pStyle w:val="aa"/>
        <w:ind w:left="-432"/>
        <w:jc w:val="center"/>
      </w:pPr>
    </w:p>
    <w:p w14:paraId="78A0CA3C" w14:textId="77777777" w:rsidR="0008176F" w:rsidRPr="0008176F" w:rsidRDefault="0008176F" w:rsidP="005B2296">
      <w:pPr>
        <w:pStyle w:val="aa"/>
        <w:ind w:left="-432"/>
        <w:jc w:val="center"/>
      </w:pPr>
    </w:p>
    <w:p w14:paraId="4B7B6B3D" w14:textId="77777777" w:rsidR="0008176F" w:rsidRPr="0008176F" w:rsidRDefault="0008176F" w:rsidP="005B2296">
      <w:pPr>
        <w:pStyle w:val="aa"/>
        <w:ind w:left="-432"/>
        <w:jc w:val="center"/>
      </w:pPr>
    </w:p>
    <w:p w14:paraId="58CDDE59" w14:textId="77777777" w:rsidR="0008176F" w:rsidRPr="0008176F" w:rsidRDefault="0008176F" w:rsidP="005B2296">
      <w:pPr>
        <w:pStyle w:val="aa"/>
        <w:ind w:left="-432"/>
        <w:jc w:val="center"/>
      </w:pPr>
    </w:p>
    <w:p w14:paraId="6CD7D857" w14:textId="77777777" w:rsidR="0008176F" w:rsidRPr="0008176F" w:rsidRDefault="0008176F" w:rsidP="005B2296">
      <w:pPr>
        <w:pStyle w:val="aa"/>
        <w:ind w:left="-432"/>
        <w:jc w:val="center"/>
      </w:pPr>
    </w:p>
    <w:p w14:paraId="2F9383E8" w14:textId="77777777" w:rsidR="0008176F" w:rsidRPr="0008176F" w:rsidRDefault="0008176F" w:rsidP="005B2296">
      <w:pPr>
        <w:pStyle w:val="aa"/>
        <w:ind w:left="-432"/>
        <w:jc w:val="center"/>
      </w:pPr>
    </w:p>
    <w:p w14:paraId="49383053" w14:textId="35F918C4" w:rsidR="0008176F" w:rsidRPr="0008176F" w:rsidRDefault="002B0E9A" w:rsidP="005B2296">
      <w:pPr>
        <w:pStyle w:val="aa"/>
        <w:ind w:left="-432"/>
        <w:jc w:val="center"/>
      </w:pPr>
      <w:r>
        <w:t xml:space="preserve">A </w:t>
      </w:r>
      <w:r w:rsidR="000A73B2">
        <w:t>DISSERTATION</w:t>
      </w:r>
    </w:p>
    <w:p w14:paraId="0BA2C037" w14:textId="77777777" w:rsidR="0008176F" w:rsidRPr="0008176F" w:rsidRDefault="0008176F" w:rsidP="005B2296">
      <w:pPr>
        <w:pStyle w:val="aa"/>
        <w:ind w:left="-432"/>
        <w:jc w:val="center"/>
      </w:pPr>
    </w:p>
    <w:p w14:paraId="7DB4AC35" w14:textId="4573BC8A" w:rsidR="0008176F" w:rsidRPr="0008176F" w:rsidRDefault="002B0E9A" w:rsidP="005B2296">
      <w:pPr>
        <w:pStyle w:val="aa"/>
        <w:ind w:left="-432"/>
        <w:jc w:val="center"/>
      </w:pPr>
      <w:r>
        <w:t>SUBMITTED TO THE GRADUATE FACULTY</w:t>
      </w:r>
    </w:p>
    <w:p w14:paraId="173F703B" w14:textId="77777777" w:rsidR="0008176F" w:rsidRDefault="0008176F" w:rsidP="005B2296">
      <w:pPr>
        <w:pStyle w:val="aa"/>
        <w:ind w:left="-432"/>
        <w:jc w:val="center"/>
      </w:pPr>
    </w:p>
    <w:p w14:paraId="77C14E63" w14:textId="77777777" w:rsidR="0008176F" w:rsidRDefault="0008176F" w:rsidP="005B2296">
      <w:pPr>
        <w:pStyle w:val="aa"/>
        <w:ind w:left="-432"/>
        <w:jc w:val="center"/>
      </w:pPr>
      <w:r>
        <w:t>in partial fulfillment of the requirements for the</w:t>
      </w:r>
    </w:p>
    <w:p w14:paraId="4DE92CB1" w14:textId="77777777" w:rsidR="0008176F" w:rsidRDefault="0008176F" w:rsidP="005B2296">
      <w:pPr>
        <w:pStyle w:val="aa"/>
        <w:ind w:left="-432"/>
        <w:jc w:val="center"/>
      </w:pPr>
    </w:p>
    <w:p w14:paraId="05645E8B" w14:textId="77777777" w:rsidR="0008176F" w:rsidRDefault="0008176F" w:rsidP="005B2296">
      <w:pPr>
        <w:pStyle w:val="aa"/>
        <w:ind w:left="-432"/>
        <w:jc w:val="center"/>
      </w:pPr>
      <w:r>
        <w:t>Degree of</w:t>
      </w:r>
    </w:p>
    <w:p w14:paraId="768B9E9C" w14:textId="77777777" w:rsidR="0008176F" w:rsidRDefault="0008176F" w:rsidP="005B2296">
      <w:pPr>
        <w:pStyle w:val="aa"/>
        <w:ind w:left="-432"/>
        <w:jc w:val="center"/>
      </w:pPr>
    </w:p>
    <w:p w14:paraId="6550B5A4" w14:textId="02E07AD7" w:rsidR="00746E16" w:rsidRDefault="00F96D07" w:rsidP="005B2296">
      <w:pPr>
        <w:pStyle w:val="aa"/>
        <w:ind w:left="-432"/>
        <w:jc w:val="center"/>
      </w:pPr>
      <w:r>
        <w:t>DOCTOR OF PHILOSOPHY</w:t>
      </w:r>
    </w:p>
    <w:p w14:paraId="64552EDD" w14:textId="77777777" w:rsidR="00730F0A" w:rsidRDefault="00730F0A" w:rsidP="005B2296">
      <w:pPr>
        <w:pStyle w:val="aa"/>
        <w:ind w:left="-432"/>
        <w:jc w:val="center"/>
      </w:pPr>
    </w:p>
    <w:p w14:paraId="32F3CFC5" w14:textId="77777777" w:rsidR="00730F0A" w:rsidRDefault="00730F0A" w:rsidP="005B2296">
      <w:pPr>
        <w:pStyle w:val="aa"/>
        <w:ind w:left="-432"/>
        <w:jc w:val="center"/>
      </w:pPr>
    </w:p>
    <w:p w14:paraId="4E76793B" w14:textId="77777777" w:rsidR="00730F0A" w:rsidRDefault="00730F0A" w:rsidP="005B2296">
      <w:pPr>
        <w:pStyle w:val="aa"/>
        <w:ind w:left="-432"/>
        <w:jc w:val="center"/>
      </w:pPr>
    </w:p>
    <w:p w14:paraId="32159CE8" w14:textId="77777777" w:rsidR="00730F0A" w:rsidRDefault="00730F0A" w:rsidP="005B2296">
      <w:pPr>
        <w:pStyle w:val="aa"/>
        <w:ind w:left="-432"/>
        <w:jc w:val="center"/>
      </w:pPr>
    </w:p>
    <w:p w14:paraId="791E25B9" w14:textId="77777777" w:rsidR="00730F0A" w:rsidRDefault="00730F0A" w:rsidP="005B2296">
      <w:pPr>
        <w:pStyle w:val="aa"/>
        <w:ind w:left="-432" w:firstLine="0"/>
      </w:pPr>
    </w:p>
    <w:p w14:paraId="149A18E1" w14:textId="77777777" w:rsidR="00730F0A" w:rsidRDefault="00730F0A" w:rsidP="005B2296">
      <w:pPr>
        <w:pStyle w:val="aa"/>
        <w:ind w:left="-432"/>
        <w:jc w:val="center"/>
      </w:pPr>
    </w:p>
    <w:p w14:paraId="76B92E27" w14:textId="77777777" w:rsidR="00730F0A" w:rsidRDefault="00730F0A" w:rsidP="005B2296">
      <w:pPr>
        <w:pStyle w:val="aa"/>
        <w:ind w:left="-432"/>
        <w:jc w:val="center"/>
      </w:pPr>
      <w:r>
        <w:t>By</w:t>
      </w:r>
    </w:p>
    <w:p w14:paraId="392C73C5" w14:textId="77777777" w:rsidR="00730F0A" w:rsidRDefault="00730F0A" w:rsidP="005B2296">
      <w:pPr>
        <w:pStyle w:val="aa"/>
        <w:ind w:left="-432"/>
        <w:jc w:val="center"/>
      </w:pPr>
    </w:p>
    <w:p w14:paraId="79623217" w14:textId="77777777" w:rsidR="00746E16" w:rsidRDefault="00684015" w:rsidP="005B2296">
      <w:pPr>
        <w:pStyle w:val="aa"/>
        <w:ind w:left="-432"/>
        <w:jc w:val="center"/>
      </w:pPr>
      <w:r>
        <w:t>ZHEN HONG</w:t>
      </w:r>
    </w:p>
    <w:p w14:paraId="4728A147" w14:textId="0B14CE32" w:rsidR="00730F0A" w:rsidRDefault="00730F0A" w:rsidP="005B2296">
      <w:pPr>
        <w:pStyle w:val="aa"/>
        <w:ind w:left="-432"/>
        <w:jc w:val="center"/>
      </w:pPr>
      <w:r>
        <w:t>Norman, Oklahoma</w:t>
      </w:r>
    </w:p>
    <w:p w14:paraId="041BC2E4" w14:textId="3163825B" w:rsidR="006B5C7A" w:rsidRDefault="00684015" w:rsidP="005B2296">
      <w:pPr>
        <w:pStyle w:val="aa"/>
        <w:ind w:left="-432"/>
        <w:jc w:val="center"/>
      </w:pPr>
      <w:r>
        <w:t>20</w:t>
      </w:r>
      <w:r w:rsidR="00F96D07">
        <w:t>21</w:t>
      </w:r>
    </w:p>
    <w:p w14:paraId="38105C33" w14:textId="77777777" w:rsidR="00C378FA" w:rsidRDefault="00C378FA" w:rsidP="005B2296">
      <w:pPr>
        <w:pStyle w:val="aa"/>
      </w:pPr>
    </w:p>
    <w:p w14:paraId="66ADF348" w14:textId="77777777" w:rsidR="00730F0A" w:rsidRDefault="00730F0A" w:rsidP="00211F4E">
      <w:pPr>
        <w:pStyle w:val="aa"/>
        <w:jc w:val="center"/>
      </w:pPr>
    </w:p>
    <w:p w14:paraId="2208D2F3" w14:textId="0D84BBA7" w:rsidR="00AC1364" w:rsidRDefault="00CE30D5" w:rsidP="005B2296">
      <w:pPr>
        <w:ind w:left="-432"/>
        <w:jc w:val="center"/>
        <w:rPr>
          <w:szCs w:val="32"/>
        </w:rPr>
      </w:pPr>
      <w:r>
        <w:rPr>
          <w:szCs w:val="32"/>
        </w:rPr>
        <w:lastRenderedPageBreak/>
        <w:t xml:space="preserve">SPATIAL-TEMPORAL ANALYSIS OF SUBSURFACE WATER CONTENT AND APPLICATIONS IN OKLAHOMA: WASTEWATER INJECTION INDUCED EARTHQUAKES AND </w:t>
      </w:r>
      <w:r w:rsidR="00057938">
        <w:rPr>
          <w:szCs w:val="32"/>
        </w:rPr>
        <w:t xml:space="preserve">A </w:t>
      </w:r>
      <w:r>
        <w:rPr>
          <w:szCs w:val="32"/>
        </w:rPr>
        <w:t>MULTI SENSOR SOIL MOISTURE PRODUCT</w:t>
      </w:r>
    </w:p>
    <w:p w14:paraId="4F462FAB" w14:textId="77777777" w:rsidR="00730F0A" w:rsidRPr="00730F0A" w:rsidRDefault="00730F0A" w:rsidP="005B2296">
      <w:pPr>
        <w:pStyle w:val="aa"/>
        <w:ind w:left="-432"/>
      </w:pPr>
    </w:p>
    <w:p w14:paraId="529F8791" w14:textId="77777777" w:rsidR="00730F0A" w:rsidRPr="00730F0A" w:rsidRDefault="00730F0A" w:rsidP="005B2296">
      <w:pPr>
        <w:pStyle w:val="aa"/>
        <w:ind w:left="-432"/>
        <w:jc w:val="center"/>
      </w:pPr>
    </w:p>
    <w:p w14:paraId="4D20945A" w14:textId="367979AC" w:rsidR="00730F0A" w:rsidRPr="00730F0A" w:rsidRDefault="00525321" w:rsidP="005B2296">
      <w:pPr>
        <w:pStyle w:val="aa"/>
        <w:ind w:left="-432"/>
        <w:jc w:val="center"/>
      </w:pPr>
      <w:r>
        <w:t xml:space="preserve">A </w:t>
      </w:r>
      <w:r w:rsidR="00A3453E">
        <w:t>DISSERTATION</w:t>
      </w:r>
      <w:r>
        <w:t xml:space="preserve"> APPROVED FOR THE</w:t>
      </w:r>
    </w:p>
    <w:p w14:paraId="75E80FE4" w14:textId="15DB5673" w:rsidR="00746E16" w:rsidRDefault="00A3453E" w:rsidP="005B2296">
      <w:pPr>
        <w:pStyle w:val="aa"/>
        <w:ind w:left="-432"/>
        <w:jc w:val="center"/>
        <w:rPr>
          <w:caps/>
        </w:rPr>
      </w:pPr>
      <w:r>
        <w:rPr>
          <w:rStyle w:val="afe"/>
          <w:color w:val="auto"/>
        </w:rPr>
        <w:t>DEPARTMENT OF GEOGRAPHY AND ENVIRONMENTAL SUSTAINABILITY</w:t>
      </w:r>
    </w:p>
    <w:p w14:paraId="62B69DCE" w14:textId="77777777" w:rsidR="00730F0A" w:rsidRPr="00730F0A" w:rsidRDefault="00730F0A" w:rsidP="005B2296">
      <w:pPr>
        <w:pStyle w:val="aa"/>
        <w:ind w:left="-432"/>
        <w:jc w:val="center"/>
      </w:pPr>
    </w:p>
    <w:p w14:paraId="12D0CAF8" w14:textId="77777777" w:rsidR="00730F0A" w:rsidRPr="00730F0A" w:rsidRDefault="00730F0A" w:rsidP="005B2296">
      <w:pPr>
        <w:pStyle w:val="aa"/>
        <w:ind w:left="-432"/>
        <w:jc w:val="center"/>
      </w:pPr>
    </w:p>
    <w:p w14:paraId="6F074B7B" w14:textId="77777777" w:rsidR="00730F0A" w:rsidRPr="00730F0A" w:rsidRDefault="00730F0A" w:rsidP="005B2296">
      <w:pPr>
        <w:pStyle w:val="aa"/>
        <w:ind w:left="-432"/>
        <w:jc w:val="center"/>
      </w:pPr>
    </w:p>
    <w:p w14:paraId="05E7A127" w14:textId="77777777" w:rsidR="00730F0A" w:rsidRDefault="00730F0A" w:rsidP="005B2296">
      <w:pPr>
        <w:pStyle w:val="aa"/>
        <w:ind w:left="-432"/>
        <w:jc w:val="center"/>
      </w:pPr>
    </w:p>
    <w:p w14:paraId="221E0533" w14:textId="77777777" w:rsidR="00730F0A" w:rsidRPr="00730F0A" w:rsidRDefault="00730F0A" w:rsidP="005B2296">
      <w:pPr>
        <w:pStyle w:val="aa"/>
        <w:ind w:left="-432"/>
        <w:jc w:val="center"/>
      </w:pPr>
    </w:p>
    <w:p w14:paraId="273F2075" w14:textId="77777777" w:rsidR="00730F0A" w:rsidRPr="00730F0A" w:rsidRDefault="00730F0A" w:rsidP="005B2296">
      <w:pPr>
        <w:pStyle w:val="aa"/>
        <w:ind w:left="-432" w:firstLine="0"/>
      </w:pPr>
    </w:p>
    <w:p w14:paraId="3BCCE592" w14:textId="77777777" w:rsidR="00730F0A" w:rsidRPr="00730F0A" w:rsidRDefault="00730F0A" w:rsidP="005B2296">
      <w:pPr>
        <w:pStyle w:val="aa"/>
        <w:ind w:left="-432"/>
        <w:jc w:val="center"/>
      </w:pPr>
    </w:p>
    <w:p w14:paraId="3E8FED4D" w14:textId="318F3D16" w:rsidR="00730F0A" w:rsidRPr="00730F0A" w:rsidRDefault="007B6B2F" w:rsidP="005B2296">
      <w:pPr>
        <w:pStyle w:val="aa"/>
        <w:ind w:left="-432"/>
        <w:jc w:val="center"/>
      </w:pPr>
      <w:r>
        <w:t>BY THE COMMITTEE CONSISTING OF</w:t>
      </w:r>
    </w:p>
    <w:p w14:paraId="328F85F4" w14:textId="5F27386D" w:rsidR="00730F0A" w:rsidRDefault="00730F0A" w:rsidP="005B2296">
      <w:pPr>
        <w:pStyle w:val="aa"/>
        <w:ind w:left="-432"/>
        <w:jc w:val="center"/>
      </w:pPr>
    </w:p>
    <w:p w14:paraId="7EAC99B7" w14:textId="3E9205CE" w:rsidR="007B6B2F" w:rsidRDefault="007B6B2F" w:rsidP="005B2296">
      <w:pPr>
        <w:pStyle w:val="aa"/>
        <w:ind w:left="-432"/>
        <w:jc w:val="center"/>
      </w:pPr>
    </w:p>
    <w:p w14:paraId="02F58149" w14:textId="1F6D9202" w:rsidR="007B6B2F" w:rsidRDefault="007B6B2F" w:rsidP="005B2296">
      <w:pPr>
        <w:pStyle w:val="aa"/>
        <w:ind w:left="-432"/>
        <w:jc w:val="center"/>
      </w:pPr>
    </w:p>
    <w:p w14:paraId="49870AF4" w14:textId="5CBC1445" w:rsidR="007B6B2F" w:rsidRDefault="007B6B2F" w:rsidP="005B2296">
      <w:pPr>
        <w:pStyle w:val="aa"/>
        <w:ind w:left="-432"/>
        <w:jc w:val="center"/>
      </w:pPr>
    </w:p>
    <w:p w14:paraId="36628EE8" w14:textId="7E112D13" w:rsidR="007B6B2F" w:rsidRDefault="007B6B2F" w:rsidP="005B2296">
      <w:pPr>
        <w:pStyle w:val="aa"/>
        <w:ind w:left="-432"/>
        <w:jc w:val="center"/>
      </w:pPr>
    </w:p>
    <w:p w14:paraId="73FB2716" w14:textId="05177A7F" w:rsidR="007B6B2F" w:rsidRDefault="007B6B2F" w:rsidP="005B2296">
      <w:pPr>
        <w:pStyle w:val="aa"/>
        <w:ind w:left="-432"/>
        <w:jc w:val="center"/>
      </w:pPr>
    </w:p>
    <w:p w14:paraId="4CCCAA52" w14:textId="18951E89" w:rsidR="00820020" w:rsidRDefault="007B6B2F" w:rsidP="005B2296">
      <w:pPr>
        <w:pStyle w:val="aa"/>
        <w:ind w:left="-432"/>
        <w:jc w:val="right"/>
      </w:pPr>
      <w:r>
        <w:t xml:space="preserve">Dr. </w:t>
      </w:r>
      <w:r w:rsidR="00820020">
        <w:t>John Greene, Chair</w:t>
      </w:r>
    </w:p>
    <w:p w14:paraId="79CE2B76" w14:textId="77777777" w:rsidR="005B2296" w:rsidRDefault="005B2296" w:rsidP="00B67399">
      <w:pPr>
        <w:pStyle w:val="aa"/>
        <w:ind w:right="480" w:firstLine="0"/>
      </w:pPr>
    </w:p>
    <w:p w14:paraId="160A9A9C" w14:textId="77777777" w:rsidR="00820020" w:rsidRDefault="00820020" w:rsidP="005B2296">
      <w:pPr>
        <w:pStyle w:val="aa"/>
        <w:ind w:left="-432"/>
        <w:jc w:val="right"/>
      </w:pPr>
    </w:p>
    <w:p w14:paraId="62AEEF24" w14:textId="2A02EC9F" w:rsidR="00820020" w:rsidRDefault="74CFCC90" w:rsidP="005B2296">
      <w:pPr>
        <w:pStyle w:val="aa"/>
        <w:ind w:left="-432"/>
        <w:jc w:val="right"/>
      </w:pPr>
      <w:r>
        <w:t>Dr. Hernan A. Moreno</w:t>
      </w:r>
    </w:p>
    <w:p w14:paraId="5A2AB17A" w14:textId="75664C6B" w:rsidR="00820020" w:rsidRDefault="00820020" w:rsidP="00B33036">
      <w:pPr>
        <w:pStyle w:val="aa"/>
        <w:ind w:right="480" w:firstLine="0"/>
      </w:pPr>
    </w:p>
    <w:p w14:paraId="708E9D21" w14:textId="77777777" w:rsidR="005B2296" w:rsidRDefault="005B2296" w:rsidP="005B2296">
      <w:pPr>
        <w:pStyle w:val="aa"/>
        <w:ind w:left="-432"/>
        <w:jc w:val="right"/>
      </w:pPr>
    </w:p>
    <w:p w14:paraId="6C1932BC" w14:textId="20BD755A" w:rsidR="00820020" w:rsidRDefault="00820020" w:rsidP="005B2296">
      <w:pPr>
        <w:pStyle w:val="aa"/>
        <w:ind w:left="-432"/>
        <w:jc w:val="right"/>
      </w:pPr>
      <w:r>
        <w:t>Dr. Yang Hong</w:t>
      </w:r>
    </w:p>
    <w:p w14:paraId="738F0A57" w14:textId="2A2EE95C" w:rsidR="00820020" w:rsidRDefault="00820020" w:rsidP="00B33036">
      <w:pPr>
        <w:pStyle w:val="aa"/>
        <w:ind w:right="480" w:firstLine="0"/>
      </w:pPr>
    </w:p>
    <w:p w14:paraId="64BB3753" w14:textId="77777777" w:rsidR="005B2296" w:rsidRDefault="005B2296" w:rsidP="005B2296">
      <w:pPr>
        <w:pStyle w:val="aa"/>
        <w:ind w:left="-432"/>
        <w:jc w:val="right"/>
      </w:pPr>
    </w:p>
    <w:p w14:paraId="1DBC3D67" w14:textId="3B0B9AC7" w:rsidR="00820020" w:rsidRDefault="00820020" w:rsidP="005B2296">
      <w:pPr>
        <w:pStyle w:val="aa"/>
        <w:ind w:left="-432"/>
        <w:jc w:val="right"/>
      </w:pPr>
      <w:r>
        <w:t>Dr. Renee McPherson</w:t>
      </w:r>
    </w:p>
    <w:p w14:paraId="473DA7CC" w14:textId="7D46613C" w:rsidR="005B2296" w:rsidRDefault="005B2296" w:rsidP="005B2296">
      <w:pPr>
        <w:pStyle w:val="aa"/>
        <w:ind w:left="-432"/>
        <w:jc w:val="right"/>
      </w:pPr>
    </w:p>
    <w:p w14:paraId="1A8B8E43" w14:textId="77777777" w:rsidR="00820020" w:rsidRDefault="00820020" w:rsidP="00B33036">
      <w:pPr>
        <w:pStyle w:val="aa"/>
        <w:ind w:right="480" w:firstLine="0"/>
      </w:pPr>
    </w:p>
    <w:p w14:paraId="70C30538" w14:textId="347987FA" w:rsidR="007B6B2F" w:rsidRDefault="00820020" w:rsidP="005B2296">
      <w:pPr>
        <w:pStyle w:val="aa"/>
        <w:ind w:left="-432"/>
        <w:jc w:val="right"/>
      </w:pPr>
      <w:r>
        <w:t>Dr. Thomas Neeson</w:t>
      </w:r>
    </w:p>
    <w:p w14:paraId="4712B975" w14:textId="77777777" w:rsidR="00730F0A" w:rsidRDefault="00730F0A" w:rsidP="005B2296">
      <w:pPr>
        <w:pStyle w:val="aa"/>
        <w:ind w:left="-432"/>
        <w:jc w:val="center"/>
      </w:pPr>
    </w:p>
    <w:p w14:paraId="346192D9" w14:textId="77777777" w:rsidR="00730F0A" w:rsidRDefault="00730F0A" w:rsidP="005B2296">
      <w:pPr>
        <w:pStyle w:val="aa"/>
        <w:ind w:left="-432"/>
        <w:jc w:val="center"/>
      </w:pPr>
    </w:p>
    <w:p w14:paraId="795B6BF3" w14:textId="4AEE8CD2" w:rsidR="00730F0A" w:rsidRDefault="00730F0A" w:rsidP="007B6B2F">
      <w:pPr>
        <w:pStyle w:val="aa"/>
        <w:ind w:right="120"/>
        <w:jc w:val="right"/>
      </w:pPr>
    </w:p>
    <w:p w14:paraId="43493C4B" w14:textId="77777777" w:rsidR="00730F0A" w:rsidRDefault="00730F0A" w:rsidP="00FE21C6">
      <w:pPr>
        <w:pStyle w:val="aa"/>
      </w:pPr>
    </w:p>
    <w:p w14:paraId="306DC4D6" w14:textId="77777777" w:rsidR="008E1C26" w:rsidRDefault="008E1C26" w:rsidP="0057769C">
      <w:pPr>
        <w:pStyle w:val="aa"/>
        <w:ind w:firstLine="0"/>
      </w:pPr>
    </w:p>
    <w:p w14:paraId="43310881" w14:textId="77777777" w:rsidR="00B33036" w:rsidRDefault="00B33036" w:rsidP="0057769C">
      <w:pPr>
        <w:pStyle w:val="aa"/>
        <w:ind w:firstLine="0"/>
      </w:pPr>
    </w:p>
    <w:p w14:paraId="2872D04E" w14:textId="77777777" w:rsidR="00B33036" w:rsidRDefault="00B33036" w:rsidP="0057769C">
      <w:pPr>
        <w:pStyle w:val="aa"/>
        <w:ind w:firstLine="0"/>
      </w:pPr>
    </w:p>
    <w:p w14:paraId="4D34C1C3" w14:textId="77777777" w:rsidR="00B33036" w:rsidRDefault="00B33036" w:rsidP="0057769C">
      <w:pPr>
        <w:pStyle w:val="aa"/>
        <w:ind w:firstLine="0"/>
      </w:pPr>
    </w:p>
    <w:p w14:paraId="46B686E2" w14:textId="77777777" w:rsidR="00B33036" w:rsidRDefault="00B33036" w:rsidP="0057769C">
      <w:pPr>
        <w:pStyle w:val="aa"/>
        <w:ind w:firstLine="0"/>
      </w:pPr>
    </w:p>
    <w:p w14:paraId="70DE7199" w14:textId="77777777" w:rsidR="00B12441" w:rsidRDefault="00B12441" w:rsidP="000E5886">
      <w:pPr>
        <w:pStyle w:val="aa"/>
        <w:ind w:firstLine="0"/>
        <w:jc w:val="center"/>
        <w:rPr>
          <w:b/>
          <w:bCs/>
        </w:rPr>
      </w:pPr>
    </w:p>
    <w:p w14:paraId="707D252A" w14:textId="77777777" w:rsidR="00B12441" w:rsidRDefault="00B12441" w:rsidP="000E5886">
      <w:pPr>
        <w:pStyle w:val="aa"/>
        <w:ind w:firstLine="0"/>
        <w:jc w:val="center"/>
        <w:rPr>
          <w:b/>
          <w:bCs/>
        </w:rPr>
      </w:pPr>
    </w:p>
    <w:p w14:paraId="1E5D3D7C" w14:textId="77777777" w:rsidR="00B12441" w:rsidRDefault="00B12441" w:rsidP="000E5886">
      <w:pPr>
        <w:pStyle w:val="aa"/>
        <w:ind w:firstLine="0"/>
        <w:jc w:val="center"/>
        <w:rPr>
          <w:b/>
          <w:bCs/>
        </w:rPr>
      </w:pPr>
    </w:p>
    <w:p w14:paraId="4AC50F58" w14:textId="77777777" w:rsidR="00B12441" w:rsidRDefault="00B12441" w:rsidP="000E5886">
      <w:pPr>
        <w:pStyle w:val="aa"/>
        <w:ind w:firstLine="0"/>
        <w:jc w:val="center"/>
        <w:rPr>
          <w:b/>
          <w:bCs/>
        </w:rPr>
      </w:pPr>
    </w:p>
    <w:p w14:paraId="30CEB960" w14:textId="77777777" w:rsidR="00B12441" w:rsidRDefault="00B12441" w:rsidP="000E5886">
      <w:pPr>
        <w:pStyle w:val="aa"/>
        <w:ind w:firstLine="0"/>
        <w:jc w:val="center"/>
        <w:rPr>
          <w:b/>
          <w:bCs/>
        </w:rPr>
      </w:pPr>
    </w:p>
    <w:p w14:paraId="7501E05C" w14:textId="77777777" w:rsidR="00B12441" w:rsidRDefault="00B12441" w:rsidP="000E5886">
      <w:pPr>
        <w:pStyle w:val="aa"/>
        <w:ind w:firstLine="0"/>
        <w:jc w:val="center"/>
        <w:rPr>
          <w:b/>
          <w:bCs/>
        </w:rPr>
      </w:pPr>
    </w:p>
    <w:p w14:paraId="4C4A0AFF" w14:textId="77777777" w:rsidR="00B12441" w:rsidRDefault="00B12441" w:rsidP="000E5886">
      <w:pPr>
        <w:pStyle w:val="aa"/>
        <w:ind w:firstLine="0"/>
        <w:jc w:val="center"/>
        <w:rPr>
          <w:b/>
          <w:bCs/>
        </w:rPr>
      </w:pPr>
    </w:p>
    <w:p w14:paraId="15CF2CA9" w14:textId="77777777" w:rsidR="00B12441" w:rsidRDefault="00B12441" w:rsidP="000E5886">
      <w:pPr>
        <w:pStyle w:val="aa"/>
        <w:ind w:firstLine="0"/>
        <w:jc w:val="center"/>
        <w:rPr>
          <w:b/>
          <w:bCs/>
        </w:rPr>
      </w:pPr>
    </w:p>
    <w:p w14:paraId="05190A67" w14:textId="77777777" w:rsidR="00B12441" w:rsidRDefault="00B12441" w:rsidP="000E5886">
      <w:pPr>
        <w:pStyle w:val="aa"/>
        <w:ind w:firstLine="0"/>
        <w:jc w:val="center"/>
        <w:rPr>
          <w:b/>
          <w:bCs/>
        </w:rPr>
      </w:pPr>
    </w:p>
    <w:p w14:paraId="133F4539" w14:textId="77777777" w:rsidR="00B12441" w:rsidRDefault="00B12441" w:rsidP="000E5886">
      <w:pPr>
        <w:pStyle w:val="aa"/>
        <w:ind w:firstLine="0"/>
        <w:jc w:val="center"/>
        <w:rPr>
          <w:b/>
          <w:bCs/>
        </w:rPr>
      </w:pPr>
    </w:p>
    <w:p w14:paraId="661C3590" w14:textId="77777777" w:rsidR="00B12441" w:rsidRDefault="00B12441" w:rsidP="000E5886">
      <w:pPr>
        <w:pStyle w:val="aa"/>
        <w:ind w:firstLine="0"/>
        <w:jc w:val="center"/>
        <w:rPr>
          <w:b/>
          <w:bCs/>
        </w:rPr>
      </w:pPr>
    </w:p>
    <w:p w14:paraId="21EC4644" w14:textId="77777777" w:rsidR="00B12441" w:rsidRDefault="00B12441" w:rsidP="000E5886">
      <w:pPr>
        <w:pStyle w:val="aa"/>
        <w:ind w:firstLine="0"/>
        <w:jc w:val="center"/>
        <w:rPr>
          <w:b/>
          <w:bCs/>
        </w:rPr>
      </w:pPr>
    </w:p>
    <w:p w14:paraId="283354EE" w14:textId="77777777" w:rsidR="00B12441" w:rsidRDefault="00B12441" w:rsidP="000E5886">
      <w:pPr>
        <w:pStyle w:val="aa"/>
        <w:ind w:firstLine="0"/>
        <w:jc w:val="center"/>
        <w:rPr>
          <w:b/>
          <w:bCs/>
        </w:rPr>
      </w:pPr>
    </w:p>
    <w:p w14:paraId="50061903" w14:textId="77777777" w:rsidR="00B12441" w:rsidRDefault="00B12441" w:rsidP="000E5886">
      <w:pPr>
        <w:pStyle w:val="aa"/>
        <w:ind w:firstLine="0"/>
        <w:jc w:val="center"/>
        <w:rPr>
          <w:b/>
          <w:bCs/>
        </w:rPr>
      </w:pPr>
    </w:p>
    <w:p w14:paraId="685D0D29" w14:textId="77777777" w:rsidR="00B12441" w:rsidRDefault="00B12441" w:rsidP="000E5886">
      <w:pPr>
        <w:pStyle w:val="aa"/>
        <w:ind w:firstLine="0"/>
        <w:jc w:val="center"/>
        <w:rPr>
          <w:b/>
          <w:bCs/>
        </w:rPr>
      </w:pPr>
    </w:p>
    <w:p w14:paraId="1C179A31" w14:textId="77777777" w:rsidR="00B12441" w:rsidRDefault="00B12441" w:rsidP="000E5886">
      <w:pPr>
        <w:pStyle w:val="aa"/>
        <w:ind w:firstLine="0"/>
        <w:jc w:val="center"/>
        <w:rPr>
          <w:b/>
          <w:bCs/>
        </w:rPr>
      </w:pPr>
    </w:p>
    <w:p w14:paraId="4EA84288" w14:textId="77777777" w:rsidR="00B12441" w:rsidRDefault="00B12441" w:rsidP="000E5886">
      <w:pPr>
        <w:pStyle w:val="aa"/>
        <w:ind w:firstLine="0"/>
        <w:jc w:val="center"/>
        <w:rPr>
          <w:b/>
          <w:bCs/>
        </w:rPr>
      </w:pPr>
    </w:p>
    <w:p w14:paraId="1C8451C9" w14:textId="77777777" w:rsidR="00B12441" w:rsidRDefault="00B12441" w:rsidP="000E5886">
      <w:pPr>
        <w:pStyle w:val="aa"/>
        <w:ind w:firstLine="0"/>
        <w:jc w:val="center"/>
        <w:rPr>
          <w:b/>
          <w:bCs/>
        </w:rPr>
      </w:pPr>
    </w:p>
    <w:p w14:paraId="5C2B0786" w14:textId="77777777" w:rsidR="00B12441" w:rsidRDefault="00B12441" w:rsidP="000E5886">
      <w:pPr>
        <w:pStyle w:val="aa"/>
        <w:ind w:firstLine="0"/>
        <w:jc w:val="center"/>
        <w:rPr>
          <w:b/>
          <w:bCs/>
        </w:rPr>
      </w:pPr>
    </w:p>
    <w:p w14:paraId="3891C49F" w14:textId="77777777" w:rsidR="00B12441" w:rsidRDefault="00B12441" w:rsidP="000E5886">
      <w:pPr>
        <w:pStyle w:val="aa"/>
        <w:ind w:firstLine="0"/>
        <w:jc w:val="center"/>
        <w:rPr>
          <w:b/>
          <w:bCs/>
        </w:rPr>
      </w:pPr>
    </w:p>
    <w:p w14:paraId="2C37AF09" w14:textId="77777777" w:rsidR="00B12441" w:rsidRDefault="00B12441" w:rsidP="000E5886">
      <w:pPr>
        <w:pStyle w:val="aa"/>
        <w:ind w:firstLine="0"/>
        <w:jc w:val="center"/>
        <w:rPr>
          <w:b/>
          <w:bCs/>
        </w:rPr>
      </w:pPr>
    </w:p>
    <w:p w14:paraId="6BB1E024" w14:textId="77777777" w:rsidR="00B12441" w:rsidRDefault="00B12441" w:rsidP="000E5886">
      <w:pPr>
        <w:pStyle w:val="aa"/>
        <w:ind w:firstLine="0"/>
        <w:jc w:val="center"/>
        <w:rPr>
          <w:b/>
          <w:bCs/>
        </w:rPr>
      </w:pPr>
    </w:p>
    <w:p w14:paraId="299CD1A2" w14:textId="77777777" w:rsidR="00B12441" w:rsidRDefault="00B12441" w:rsidP="000E5886">
      <w:pPr>
        <w:pStyle w:val="aa"/>
        <w:ind w:firstLine="0"/>
        <w:jc w:val="center"/>
        <w:rPr>
          <w:b/>
          <w:bCs/>
        </w:rPr>
      </w:pPr>
    </w:p>
    <w:p w14:paraId="59F6C64F" w14:textId="77777777" w:rsidR="00B12441" w:rsidRDefault="00B12441" w:rsidP="000E5886">
      <w:pPr>
        <w:pStyle w:val="aa"/>
        <w:ind w:firstLine="0"/>
        <w:jc w:val="center"/>
        <w:rPr>
          <w:b/>
          <w:bCs/>
        </w:rPr>
      </w:pPr>
    </w:p>
    <w:p w14:paraId="2E4224FD" w14:textId="77777777" w:rsidR="00B12441" w:rsidRDefault="00B12441" w:rsidP="000E5886">
      <w:pPr>
        <w:pStyle w:val="aa"/>
        <w:ind w:firstLine="0"/>
        <w:jc w:val="center"/>
        <w:rPr>
          <w:b/>
          <w:bCs/>
        </w:rPr>
      </w:pPr>
    </w:p>
    <w:p w14:paraId="0614C930" w14:textId="77777777" w:rsidR="00B12441" w:rsidRDefault="00B12441" w:rsidP="000E5886">
      <w:pPr>
        <w:pStyle w:val="aa"/>
        <w:ind w:firstLine="0"/>
        <w:jc w:val="center"/>
        <w:rPr>
          <w:b/>
          <w:bCs/>
        </w:rPr>
      </w:pPr>
    </w:p>
    <w:p w14:paraId="7A5D4EA9" w14:textId="77777777" w:rsidR="00B12441" w:rsidRDefault="00B12441" w:rsidP="000E5886">
      <w:pPr>
        <w:pStyle w:val="aa"/>
        <w:ind w:firstLine="0"/>
        <w:jc w:val="center"/>
        <w:rPr>
          <w:b/>
          <w:bCs/>
        </w:rPr>
      </w:pPr>
    </w:p>
    <w:p w14:paraId="4F03B24C" w14:textId="77777777" w:rsidR="00B12441" w:rsidRDefault="00B12441" w:rsidP="000E5886">
      <w:pPr>
        <w:pStyle w:val="aa"/>
        <w:ind w:firstLine="0"/>
        <w:jc w:val="center"/>
        <w:rPr>
          <w:b/>
          <w:bCs/>
        </w:rPr>
      </w:pPr>
    </w:p>
    <w:p w14:paraId="1CFAA795" w14:textId="77777777" w:rsidR="00B12441" w:rsidRDefault="00B12441" w:rsidP="000E5886">
      <w:pPr>
        <w:pStyle w:val="aa"/>
        <w:ind w:firstLine="0"/>
        <w:jc w:val="center"/>
        <w:rPr>
          <w:b/>
          <w:bCs/>
        </w:rPr>
      </w:pPr>
    </w:p>
    <w:p w14:paraId="1432F120" w14:textId="77777777" w:rsidR="00B12441" w:rsidRDefault="00B12441" w:rsidP="000E5886">
      <w:pPr>
        <w:pStyle w:val="aa"/>
        <w:ind w:firstLine="0"/>
        <w:jc w:val="center"/>
        <w:rPr>
          <w:b/>
          <w:bCs/>
        </w:rPr>
      </w:pPr>
    </w:p>
    <w:p w14:paraId="52571A6A" w14:textId="77777777" w:rsidR="00B12441" w:rsidRDefault="00B12441" w:rsidP="000E5886">
      <w:pPr>
        <w:pStyle w:val="aa"/>
        <w:ind w:firstLine="0"/>
        <w:jc w:val="center"/>
        <w:rPr>
          <w:b/>
          <w:bCs/>
        </w:rPr>
      </w:pPr>
    </w:p>
    <w:p w14:paraId="15BCAA4E" w14:textId="77777777" w:rsidR="00B12441" w:rsidRDefault="00B12441" w:rsidP="000E5886">
      <w:pPr>
        <w:pStyle w:val="aa"/>
        <w:ind w:firstLine="0"/>
        <w:jc w:val="center"/>
        <w:rPr>
          <w:b/>
          <w:bCs/>
        </w:rPr>
      </w:pPr>
    </w:p>
    <w:p w14:paraId="41BC757A" w14:textId="77777777" w:rsidR="00B12441" w:rsidRDefault="00B12441" w:rsidP="000E5886">
      <w:pPr>
        <w:pStyle w:val="aa"/>
        <w:ind w:firstLine="0"/>
        <w:jc w:val="center"/>
        <w:rPr>
          <w:b/>
          <w:bCs/>
        </w:rPr>
      </w:pPr>
    </w:p>
    <w:p w14:paraId="1ECD0450" w14:textId="77777777" w:rsidR="00B12441" w:rsidRDefault="00B12441" w:rsidP="000E5886">
      <w:pPr>
        <w:pStyle w:val="aa"/>
        <w:ind w:firstLine="0"/>
        <w:jc w:val="center"/>
        <w:rPr>
          <w:b/>
          <w:bCs/>
        </w:rPr>
      </w:pPr>
    </w:p>
    <w:p w14:paraId="273EF01D" w14:textId="77777777" w:rsidR="00B12441" w:rsidRDefault="00B12441" w:rsidP="000E5886">
      <w:pPr>
        <w:pStyle w:val="aa"/>
        <w:ind w:firstLine="0"/>
        <w:jc w:val="center"/>
        <w:rPr>
          <w:b/>
          <w:bCs/>
        </w:rPr>
      </w:pPr>
    </w:p>
    <w:p w14:paraId="51953A42" w14:textId="77777777" w:rsidR="00B12441" w:rsidRDefault="00B12441" w:rsidP="000E5886">
      <w:pPr>
        <w:pStyle w:val="aa"/>
        <w:ind w:firstLine="0"/>
        <w:jc w:val="center"/>
        <w:rPr>
          <w:b/>
          <w:bCs/>
        </w:rPr>
      </w:pPr>
    </w:p>
    <w:p w14:paraId="542E42F0" w14:textId="77777777" w:rsidR="00B12441" w:rsidRDefault="00B12441" w:rsidP="000E5886">
      <w:pPr>
        <w:pStyle w:val="aa"/>
        <w:ind w:firstLine="0"/>
        <w:jc w:val="center"/>
        <w:rPr>
          <w:b/>
          <w:bCs/>
        </w:rPr>
      </w:pPr>
    </w:p>
    <w:p w14:paraId="3BA73181" w14:textId="77777777" w:rsidR="00B12441" w:rsidRDefault="00B12441" w:rsidP="000E5886">
      <w:pPr>
        <w:pStyle w:val="aa"/>
        <w:ind w:firstLine="0"/>
        <w:jc w:val="center"/>
        <w:rPr>
          <w:b/>
          <w:bCs/>
        </w:rPr>
      </w:pPr>
    </w:p>
    <w:p w14:paraId="0F478F46" w14:textId="77777777" w:rsidR="00B12441" w:rsidRDefault="00B12441" w:rsidP="000E5886">
      <w:pPr>
        <w:pStyle w:val="aa"/>
        <w:ind w:firstLine="0"/>
        <w:jc w:val="center"/>
        <w:rPr>
          <w:b/>
          <w:bCs/>
        </w:rPr>
      </w:pPr>
    </w:p>
    <w:p w14:paraId="6BF964DC" w14:textId="77777777" w:rsidR="00B12441" w:rsidRDefault="00B12441" w:rsidP="000E5886">
      <w:pPr>
        <w:pStyle w:val="aa"/>
        <w:ind w:firstLine="0"/>
        <w:jc w:val="center"/>
        <w:rPr>
          <w:b/>
          <w:bCs/>
        </w:rPr>
      </w:pPr>
    </w:p>
    <w:p w14:paraId="4D6C4E10" w14:textId="77777777" w:rsidR="00B12441" w:rsidRDefault="00B12441" w:rsidP="000E5886">
      <w:pPr>
        <w:pStyle w:val="aa"/>
        <w:ind w:firstLine="0"/>
        <w:jc w:val="center"/>
        <w:rPr>
          <w:b/>
          <w:bCs/>
        </w:rPr>
      </w:pPr>
    </w:p>
    <w:p w14:paraId="26B701AD" w14:textId="77777777" w:rsidR="00B12441" w:rsidRDefault="00B12441" w:rsidP="000E5886">
      <w:pPr>
        <w:pStyle w:val="aa"/>
        <w:ind w:firstLine="0"/>
        <w:jc w:val="center"/>
        <w:rPr>
          <w:b/>
          <w:bCs/>
        </w:rPr>
      </w:pPr>
    </w:p>
    <w:p w14:paraId="7633F4F7" w14:textId="77777777" w:rsidR="00B12441" w:rsidRDefault="00B12441" w:rsidP="000E5886">
      <w:pPr>
        <w:pStyle w:val="aa"/>
        <w:ind w:firstLine="0"/>
        <w:jc w:val="center"/>
        <w:rPr>
          <w:b/>
          <w:bCs/>
        </w:rPr>
      </w:pPr>
    </w:p>
    <w:p w14:paraId="041C1604" w14:textId="21438150" w:rsidR="000E5886" w:rsidRPr="00B12441" w:rsidRDefault="000E5886" w:rsidP="000E5886">
      <w:pPr>
        <w:pStyle w:val="aa"/>
        <w:ind w:firstLine="0"/>
        <w:jc w:val="center"/>
        <w:rPr>
          <w:b/>
          <w:bCs/>
        </w:rPr>
      </w:pPr>
      <w:r w:rsidRPr="00B12441">
        <w:rPr>
          <w:b/>
          <w:bCs/>
        </w:rPr>
        <w:t>© Copyright by ZHEN HONG 2021</w:t>
      </w:r>
    </w:p>
    <w:p w14:paraId="7B3DF255" w14:textId="44853A25" w:rsidR="00B33036" w:rsidRPr="00B12441" w:rsidRDefault="000E5886" w:rsidP="000E5886">
      <w:pPr>
        <w:pStyle w:val="aa"/>
        <w:ind w:firstLine="0"/>
        <w:jc w:val="center"/>
        <w:rPr>
          <w:b/>
          <w:bCs/>
        </w:rPr>
        <w:sectPr w:rsidR="00B33036" w:rsidRPr="00B12441" w:rsidSect="00F20995">
          <w:pgSz w:w="12240" w:h="15840" w:code="1"/>
          <w:pgMar w:top="1440" w:right="1872" w:bottom="1440" w:left="2304" w:header="720" w:footer="720" w:gutter="0"/>
          <w:cols w:space="720"/>
          <w:docGrid w:linePitch="360"/>
        </w:sectPr>
      </w:pPr>
      <w:r w:rsidRPr="00B12441">
        <w:rPr>
          <w:b/>
          <w:bCs/>
        </w:rPr>
        <w:t>All Rights Reserved.</w:t>
      </w:r>
    </w:p>
    <w:p w14:paraId="3FA516EB" w14:textId="5DD50ABE" w:rsidR="00DB1A9E" w:rsidRDefault="00DB1A9E" w:rsidP="00F837AF">
      <w:pPr>
        <w:pStyle w:val="2"/>
      </w:pPr>
      <w:bookmarkStart w:id="0" w:name="_Toc75939807"/>
      <w:r>
        <w:lastRenderedPageBreak/>
        <w:t>Acknowledgment</w:t>
      </w:r>
      <w:r w:rsidR="00057938">
        <w:t>s</w:t>
      </w:r>
      <w:bookmarkEnd w:id="0"/>
    </w:p>
    <w:p w14:paraId="3FB56B69" w14:textId="4C701550" w:rsidR="006C2392" w:rsidRDefault="5E4FB5CC" w:rsidP="00A55BDD">
      <w:r>
        <w:t xml:space="preserve">I am extremely grateful to all the support, help and guidance I have received during my Ph.D. education. First, I would like to express my deepest appreciation and gratitude to my advisors, Dr. Aondover Tarhule, Dr. Hernan Moreno, and Dr. </w:t>
      </w:r>
      <w:bookmarkStart w:id="1" w:name="_Hlk75912049"/>
      <w:r>
        <w:t>John Greene</w:t>
      </w:r>
      <w:bookmarkEnd w:id="1"/>
      <w:r>
        <w:t xml:space="preserve">. In the first two years of my Ph.D. education, I  received tremendous assistance and support from Dr. Aondover Tarhule. In the following years, Dr. Hernan Moreno provided great patience and endless opportunities to help me find my interests and my value in research. Under his supervision, I learned how to define a research problem, find a solution to it, and finally publish the results. The successful completion of this dissertation would not have been possible without his mentorship. Without his active guidance and support during year 2019 and 2020, when my difficult pregnancy and baby caring hindered my research progress, I would not have finished this program. At the last year of my Ph.D. education, Dr. John Greene provided thought-provoking suggestions, generous and prompt support, and continual encouragement to me. </w:t>
      </w:r>
    </w:p>
    <w:p w14:paraId="1DC1300B" w14:textId="77777777" w:rsidR="00FA31FB" w:rsidRDefault="00FA31FB" w:rsidP="00A55BDD">
      <w:r>
        <w:t xml:space="preserve">Second, </w:t>
      </w:r>
      <w:r w:rsidR="006C2392">
        <w:t xml:space="preserve">I would also like to extend my sincere thanks to my committee member and co-advisor, Dr. Yang Hong, </w:t>
      </w:r>
      <w:r w:rsidR="006C2392" w:rsidRPr="006C2392">
        <w:t xml:space="preserve">for providing me the precious </w:t>
      </w:r>
      <w:r w:rsidR="006C2392">
        <w:t>research assistant</w:t>
      </w:r>
      <w:r w:rsidR="006C2392" w:rsidRPr="006C2392">
        <w:t xml:space="preserve"> opportunities.</w:t>
      </w:r>
      <w:r w:rsidR="006C2392">
        <w:t xml:space="preserve"> He </w:t>
      </w:r>
      <w:r w:rsidR="006C2392" w:rsidRPr="006C2392">
        <w:t>has provided me extensive personal and professional guidance and taught me a great deal about scientific research, class teaching and life in general.</w:t>
      </w:r>
    </w:p>
    <w:p w14:paraId="5E1AF87E" w14:textId="29E2A267" w:rsidR="00F21850" w:rsidRDefault="00FA31FB" w:rsidP="00A55BDD">
      <w:r>
        <w:t>Third,</w:t>
      </w:r>
      <w:r w:rsidR="006C2392">
        <w:t xml:space="preserve"> </w:t>
      </w:r>
      <w:r w:rsidR="0033187D">
        <w:t xml:space="preserve">I am thankful to my members of committee, </w:t>
      </w:r>
      <w:r w:rsidR="0033187D" w:rsidRPr="0033187D">
        <w:t>Dr. Renee McPherson</w:t>
      </w:r>
      <w:r w:rsidR="0033187D">
        <w:t xml:space="preserve">, and </w:t>
      </w:r>
      <w:r w:rsidR="0033187D" w:rsidRPr="0033187D">
        <w:t>Dr. Thomas Neeson</w:t>
      </w:r>
      <w:r w:rsidR="0033187D">
        <w:t xml:space="preserve">, for </w:t>
      </w:r>
      <w:r w:rsidR="0033187D" w:rsidRPr="0033187D">
        <w:t xml:space="preserve">all the advice and insights </w:t>
      </w:r>
      <w:r w:rsidR="0033187D">
        <w:t xml:space="preserve">on my research. </w:t>
      </w:r>
      <w:r w:rsidR="0033187D" w:rsidRPr="0033187D">
        <w:t>Also special thanks to</w:t>
      </w:r>
      <w:r w:rsidR="00C04B01">
        <w:t xml:space="preserve"> Dr. Laurel Smith and Ms. Abby Young for </w:t>
      </w:r>
      <w:r w:rsidR="0033187D">
        <w:t xml:space="preserve">helping me keep track of my </w:t>
      </w:r>
      <w:r w:rsidR="0033187D">
        <w:lastRenderedPageBreak/>
        <w:t>Ph</w:t>
      </w:r>
      <w:r w:rsidR="00C04B01">
        <w:t xml:space="preserve">D </w:t>
      </w:r>
      <w:r w:rsidR="0033187D">
        <w:t xml:space="preserve">progress. </w:t>
      </w:r>
      <w:r w:rsidR="00D7247B" w:rsidRPr="00D7247B">
        <w:t xml:space="preserve">I would </w:t>
      </w:r>
      <w:r w:rsidR="00D7247B">
        <w:t xml:space="preserve">also </w:t>
      </w:r>
      <w:r w:rsidR="00D7247B" w:rsidRPr="00D7247B">
        <w:t>like to thank all my colleagues in the HyDROS lab</w:t>
      </w:r>
      <w:r w:rsidR="00D7247B">
        <w:t xml:space="preserve"> and my friends, without whom I could not have gone so far in my field of research</w:t>
      </w:r>
      <w:r>
        <w:t>.</w:t>
      </w:r>
    </w:p>
    <w:p w14:paraId="5109FA55" w14:textId="036A8463" w:rsidR="0057769C" w:rsidRDefault="00FA31FB" w:rsidP="00A55BDD">
      <w:r>
        <w:t xml:space="preserve">Finally, </w:t>
      </w:r>
      <w:r w:rsidRPr="00FA31FB">
        <w:t xml:space="preserve">I want to thank my family </w:t>
      </w:r>
      <w:r w:rsidR="00D27443" w:rsidRPr="00D27443">
        <w:t>and my friends for the vast amounts of love, laughs and relentless support they gave me.</w:t>
      </w:r>
      <w:r w:rsidR="0033187D">
        <w:cr/>
      </w:r>
    </w:p>
    <w:p w14:paraId="6DA75A85" w14:textId="77777777" w:rsidR="0033187D" w:rsidRPr="0057769C" w:rsidRDefault="0033187D" w:rsidP="006C2392"/>
    <w:p w14:paraId="4D3D87D8" w14:textId="4C914A47" w:rsidR="008C1D9C" w:rsidRDefault="008C1D9C" w:rsidP="008C1D9C"/>
    <w:p w14:paraId="7CDB5357" w14:textId="051930BD" w:rsidR="008C1D9C" w:rsidRDefault="008C1D9C" w:rsidP="008C1D9C"/>
    <w:p w14:paraId="326F6727" w14:textId="76D50840" w:rsidR="008C1D9C" w:rsidRDefault="008C1D9C" w:rsidP="008C1D9C"/>
    <w:p w14:paraId="65AA6B38" w14:textId="55E039CE" w:rsidR="008C1D9C" w:rsidRDefault="008C1D9C" w:rsidP="008C1D9C"/>
    <w:p w14:paraId="16167459" w14:textId="767A2C02" w:rsidR="008C1D9C" w:rsidRDefault="008C1D9C" w:rsidP="008C1D9C"/>
    <w:p w14:paraId="47F732FA" w14:textId="716B6A2C" w:rsidR="008C1D9C" w:rsidRDefault="008C1D9C" w:rsidP="008C1D9C"/>
    <w:p w14:paraId="40D51385" w14:textId="495AA0C5" w:rsidR="008C1D9C" w:rsidRDefault="008C1D9C" w:rsidP="008C1D9C"/>
    <w:p w14:paraId="34D67C09" w14:textId="23613046" w:rsidR="008C1D9C" w:rsidRDefault="008C1D9C" w:rsidP="008C1D9C"/>
    <w:p w14:paraId="6285C073" w14:textId="4034DF82" w:rsidR="008C1D9C" w:rsidRDefault="008C1D9C" w:rsidP="008C1D9C"/>
    <w:p w14:paraId="476F4F00" w14:textId="14368580" w:rsidR="008C1D9C" w:rsidRDefault="008C1D9C" w:rsidP="008C1D9C"/>
    <w:p w14:paraId="0AAC3274" w14:textId="0B185367" w:rsidR="008C1D9C" w:rsidRDefault="008C1D9C" w:rsidP="008C1D9C"/>
    <w:p w14:paraId="3F443FEE" w14:textId="38555910" w:rsidR="008C1D9C" w:rsidRDefault="008C1D9C" w:rsidP="008C1D9C"/>
    <w:p w14:paraId="3D469F38" w14:textId="5956EA1B" w:rsidR="008C1D9C" w:rsidRDefault="008C1D9C" w:rsidP="008C1D9C"/>
    <w:p w14:paraId="765FE193" w14:textId="575DC773" w:rsidR="008C1D9C" w:rsidRDefault="008C1D9C" w:rsidP="008C1D9C"/>
    <w:p w14:paraId="43B97B24" w14:textId="3DB5F14A" w:rsidR="008C1D9C" w:rsidRDefault="008C1D9C" w:rsidP="008C1D9C"/>
    <w:p w14:paraId="07F67C3A" w14:textId="16087678" w:rsidR="008C1D9C" w:rsidRDefault="008C1D9C" w:rsidP="008C1D9C"/>
    <w:p w14:paraId="79BC9F2F" w14:textId="5433D53E" w:rsidR="008C1D9C" w:rsidRDefault="008C1D9C" w:rsidP="003453C8">
      <w:pPr>
        <w:ind w:firstLine="0"/>
      </w:pPr>
    </w:p>
    <w:p w14:paraId="63889F70" w14:textId="1269EDA0" w:rsidR="008C1D9C" w:rsidRDefault="008C1D9C" w:rsidP="008C1D9C">
      <w:pPr>
        <w:pStyle w:val="2"/>
      </w:pPr>
      <w:bookmarkStart w:id="2" w:name="_Toc75939808"/>
      <w:r>
        <w:lastRenderedPageBreak/>
        <w:t>Abstract</w:t>
      </w:r>
      <w:bookmarkEnd w:id="2"/>
    </w:p>
    <w:p w14:paraId="04CDC422" w14:textId="61F4E8DB" w:rsidR="00FD1A3E" w:rsidRPr="00FD1A3E" w:rsidRDefault="5E4FB5CC" w:rsidP="00FD1A3E">
      <w:r>
        <w:t>Subsurface water is liquid water found below the ground surface, including soil water above the water table and ground water below the water table, but does not include water chemically bound to minerals or organic matter. Two important contents of subsurface water in Oklahoma have aroused the interest of more and more scientists: the wastewater injected into the ground during the oil and gas production and the surface soil moisture. This dissertation aims to develop contributions to two important topics for the sustainability of Oklahoma that are related to earthquakes and water resources: (1) the effects of deep underground waste-water injection on triggering regional seismicity and (2) the quantification of state-wide shallow-soil water content as a new tool for multiple applications in reservoir management, water resources, agriculture, natural hazards, and water management. The results of this study could help in setting sustainable limits for the oil and gas extraction industry in order to minimize the expected number and magnitude of induced quakes, thus avoiding future human and property losses.  The results of this study also provide a new perspective for comparatively assessing multi-source soil moisture products, as well as a basis for objective data merging to capitalize on the strengths of multi-sensor multiplatform soil moisture products. Moreover, the new merged soil moisture product will be beneficial for multiple applications in water resources management, agriculture, and natural hazards.</w:t>
      </w:r>
    </w:p>
    <w:p w14:paraId="54197E2A" w14:textId="77777777" w:rsidR="008C1D9C" w:rsidRPr="008C1D9C" w:rsidRDefault="008C1D9C" w:rsidP="008C1D9C"/>
    <w:p w14:paraId="6B471036" w14:textId="77777777" w:rsidR="008C1D9C" w:rsidRPr="008C1D9C" w:rsidRDefault="008C1D9C" w:rsidP="008C1D9C"/>
    <w:p w14:paraId="4CE1D395" w14:textId="77777777" w:rsidR="00DB1A9E" w:rsidRDefault="00DB1A9E" w:rsidP="008215D2">
      <w:pPr>
        <w:pStyle w:val="BlockQuotation"/>
        <w:ind w:left="0"/>
        <w:rPr>
          <w:b/>
          <w:sz w:val="28"/>
          <w:szCs w:val="28"/>
        </w:rPr>
      </w:pPr>
    </w:p>
    <w:p w14:paraId="36C936C1" w14:textId="0E7EE994" w:rsidR="00775701" w:rsidRPr="00801E19" w:rsidRDefault="00775701" w:rsidP="00D54F3B">
      <w:pPr>
        <w:pStyle w:val="BlockQuotation"/>
        <w:ind w:left="0"/>
        <w:jc w:val="center"/>
        <w:rPr>
          <w:b/>
          <w:sz w:val="28"/>
          <w:szCs w:val="28"/>
        </w:rPr>
      </w:pPr>
      <w:r w:rsidRPr="00801E19">
        <w:rPr>
          <w:b/>
          <w:sz w:val="28"/>
          <w:szCs w:val="28"/>
        </w:rPr>
        <w:lastRenderedPageBreak/>
        <w:t>Table of Contents</w:t>
      </w:r>
    </w:p>
    <w:p w14:paraId="53AB86C4" w14:textId="77777777" w:rsidR="007D41D1" w:rsidRDefault="00C92079" w:rsidP="006D1EE5">
      <w:pPr>
        <w:jc w:val="left"/>
        <w:rPr>
          <w:noProof/>
        </w:rPr>
      </w:pPr>
      <w:r>
        <w:t xml:space="preserve"> </w:t>
      </w:r>
      <w:r w:rsidR="00823F5D">
        <w:fldChar w:fldCharType="begin"/>
      </w:r>
      <w:r w:rsidR="00823F5D">
        <w:instrText xml:space="preserve"> TOC \o "1-3" </w:instrText>
      </w:r>
      <w:r w:rsidR="00823F5D">
        <w:fldChar w:fldCharType="separate"/>
      </w:r>
    </w:p>
    <w:p w14:paraId="765DFBB8" w14:textId="155CCE97" w:rsidR="007D41D1" w:rsidRDefault="007D41D1">
      <w:pPr>
        <w:pStyle w:val="TOC2"/>
        <w:rPr>
          <w:rFonts w:asciiTheme="minorHAnsi" w:eastAsiaTheme="minorEastAsia" w:hAnsiTheme="minorHAnsi" w:cstheme="minorBidi"/>
          <w:noProof/>
          <w:sz w:val="22"/>
          <w:szCs w:val="22"/>
          <w:lang w:eastAsia="zh-CN" w:bidi="ar-SA"/>
        </w:rPr>
      </w:pPr>
      <w:r>
        <w:rPr>
          <w:noProof/>
        </w:rPr>
        <w:t>Acknowledgments</w:t>
      </w:r>
      <w:r>
        <w:rPr>
          <w:noProof/>
        </w:rPr>
        <w:tab/>
      </w:r>
      <w:r>
        <w:rPr>
          <w:noProof/>
        </w:rPr>
        <w:fldChar w:fldCharType="begin"/>
      </w:r>
      <w:r>
        <w:rPr>
          <w:noProof/>
        </w:rPr>
        <w:instrText xml:space="preserve"> PAGEREF _Toc75939807 \h </w:instrText>
      </w:r>
      <w:r>
        <w:rPr>
          <w:noProof/>
        </w:rPr>
      </w:r>
      <w:r>
        <w:rPr>
          <w:noProof/>
        </w:rPr>
        <w:fldChar w:fldCharType="separate"/>
      </w:r>
      <w:r w:rsidR="00492676">
        <w:rPr>
          <w:noProof/>
        </w:rPr>
        <w:t>iv</w:t>
      </w:r>
      <w:r>
        <w:rPr>
          <w:noProof/>
        </w:rPr>
        <w:fldChar w:fldCharType="end"/>
      </w:r>
    </w:p>
    <w:p w14:paraId="0E8EBEFA" w14:textId="306C3B49" w:rsidR="007D41D1" w:rsidRDefault="007D41D1">
      <w:pPr>
        <w:pStyle w:val="TOC2"/>
        <w:rPr>
          <w:rFonts w:asciiTheme="minorHAnsi" w:eastAsiaTheme="minorEastAsia" w:hAnsiTheme="minorHAnsi" w:cstheme="minorBidi"/>
          <w:noProof/>
          <w:sz w:val="22"/>
          <w:szCs w:val="22"/>
          <w:lang w:eastAsia="zh-CN" w:bidi="ar-SA"/>
        </w:rPr>
      </w:pPr>
      <w:r>
        <w:rPr>
          <w:noProof/>
        </w:rPr>
        <w:t>Abstract</w:t>
      </w:r>
      <w:r>
        <w:rPr>
          <w:noProof/>
        </w:rPr>
        <w:tab/>
      </w:r>
      <w:r>
        <w:rPr>
          <w:noProof/>
        </w:rPr>
        <w:fldChar w:fldCharType="begin"/>
      </w:r>
      <w:r>
        <w:rPr>
          <w:noProof/>
        </w:rPr>
        <w:instrText xml:space="preserve"> PAGEREF _Toc75939808 \h </w:instrText>
      </w:r>
      <w:r>
        <w:rPr>
          <w:noProof/>
        </w:rPr>
      </w:r>
      <w:r>
        <w:rPr>
          <w:noProof/>
        </w:rPr>
        <w:fldChar w:fldCharType="separate"/>
      </w:r>
      <w:r w:rsidR="00492676">
        <w:rPr>
          <w:noProof/>
        </w:rPr>
        <w:t>vi</w:t>
      </w:r>
      <w:r>
        <w:rPr>
          <w:noProof/>
        </w:rPr>
        <w:fldChar w:fldCharType="end"/>
      </w:r>
    </w:p>
    <w:p w14:paraId="15413D7D" w14:textId="6BB7766E" w:rsidR="007D41D1" w:rsidRDefault="007D41D1">
      <w:pPr>
        <w:pStyle w:val="TOC2"/>
        <w:rPr>
          <w:rFonts w:asciiTheme="minorHAnsi" w:eastAsiaTheme="minorEastAsia" w:hAnsiTheme="minorHAnsi" w:cstheme="minorBidi"/>
          <w:noProof/>
          <w:sz w:val="22"/>
          <w:szCs w:val="22"/>
          <w:lang w:eastAsia="zh-CN" w:bidi="ar-SA"/>
        </w:rPr>
      </w:pPr>
      <w:r>
        <w:rPr>
          <w:noProof/>
        </w:rPr>
        <w:t>List of Figures</w:t>
      </w:r>
      <w:r>
        <w:rPr>
          <w:noProof/>
        </w:rPr>
        <w:tab/>
      </w:r>
      <w:r>
        <w:rPr>
          <w:noProof/>
        </w:rPr>
        <w:fldChar w:fldCharType="begin"/>
      </w:r>
      <w:r>
        <w:rPr>
          <w:noProof/>
        </w:rPr>
        <w:instrText xml:space="preserve"> PAGEREF _Toc75939809 \h </w:instrText>
      </w:r>
      <w:r>
        <w:rPr>
          <w:noProof/>
        </w:rPr>
      </w:r>
      <w:r>
        <w:rPr>
          <w:noProof/>
        </w:rPr>
        <w:fldChar w:fldCharType="separate"/>
      </w:r>
      <w:r w:rsidR="00492676">
        <w:rPr>
          <w:noProof/>
        </w:rPr>
        <w:t>xi</w:t>
      </w:r>
      <w:r>
        <w:rPr>
          <w:noProof/>
        </w:rPr>
        <w:fldChar w:fldCharType="end"/>
      </w:r>
    </w:p>
    <w:p w14:paraId="02E08E86" w14:textId="600DE076" w:rsidR="007D41D1" w:rsidRDefault="007D41D1">
      <w:pPr>
        <w:pStyle w:val="TOC2"/>
        <w:rPr>
          <w:rFonts w:asciiTheme="minorHAnsi" w:eastAsiaTheme="minorEastAsia" w:hAnsiTheme="minorHAnsi" w:cstheme="minorBidi"/>
          <w:noProof/>
          <w:sz w:val="22"/>
          <w:szCs w:val="22"/>
          <w:lang w:eastAsia="zh-CN" w:bidi="ar-SA"/>
        </w:rPr>
      </w:pPr>
      <w:r>
        <w:rPr>
          <w:noProof/>
        </w:rPr>
        <w:t>List of Tables</w:t>
      </w:r>
      <w:r>
        <w:rPr>
          <w:noProof/>
        </w:rPr>
        <w:tab/>
      </w:r>
      <w:r>
        <w:rPr>
          <w:noProof/>
        </w:rPr>
        <w:fldChar w:fldCharType="begin"/>
      </w:r>
      <w:r>
        <w:rPr>
          <w:noProof/>
        </w:rPr>
        <w:instrText xml:space="preserve"> PAGEREF _Toc75939810 \h </w:instrText>
      </w:r>
      <w:r>
        <w:rPr>
          <w:noProof/>
        </w:rPr>
      </w:r>
      <w:r>
        <w:rPr>
          <w:noProof/>
        </w:rPr>
        <w:fldChar w:fldCharType="separate"/>
      </w:r>
      <w:r w:rsidR="00492676">
        <w:rPr>
          <w:noProof/>
        </w:rPr>
        <w:t>xvii</w:t>
      </w:r>
      <w:r>
        <w:rPr>
          <w:noProof/>
        </w:rPr>
        <w:fldChar w:fldCharType="end"/>
      </w:r>
    </w:p>
    <w:p w14:paraId="7BC8614D" w14:textId="4777B0A2" w:rsidR="007D41D1" w:rsidRDefault="007D41D1">
      <w:pPr>
        <w:pStyle w:val="TOC1"/>
        <w:rPr>
          <w:rFonts w:asciiTheme="minorHAnsi" w:eastAsiaTheme="minorEastAsia" w:hAnsiTheme="minorHAnsi" w:cstheme="minorBidi"/>
          <w:b w:val="0"/>
          <w:bCs w:val="0"/>
          <w:sz w:val="22"/>
          <w:szCs w:val="22"/>
          <w:lang w:eastAsia="zh-CN" w:bidi="ar-SA"/>
        </w:rPr>
      </w:pPr>
      <w:r>
        <w:t>Chapter 1 Introduction</w:t>
      </w:r>
      <w:r>
        <w:tab/>
      </w:r>
      <w:r>
        <w:fldChar w:fldCharType="begin"/>
      </w:r>
      <w:r>
        <w:instrText xml:space="preserve"> PAGEREF _Toc75939811 \h </w:instrText>
      </w:r>
      <w:r>
        <w:fldChar w:fldCharType="separate"/>
      </w:r>
      <w:r w:rsidR="00492676">
        <w:t>1</w:t>
      </w:r>
      <w:r>
        <w:fldChar w:fldCharType="end"/>
      </w:r>
    </w:p>
    <w:p w14:paraId="5149B0C6" w14:textId="427B7CEC" w:rsidR="007D41D1" w:rsidRDefault="007D41D1">
      <w:pPr>
        <w:pStyle w:val="TOC2"/>
        <w:rPr>
          <w:rFonts w:asciiTheme="minorHAnsi" w:eastAsiaTheme="minorEastAsia" w:hAnsiTheme="minorHAnsi" w:cstheme="minorBidi"/>
          <w:noProof/>
          <w:sz w:val="22"/>
          <w:szCs w:val="22"/>
          <w:lang w:eastAsia="zh-CN" w:bidi="ar-SA"/>
        </w:rPr>
      </w:pPr>
      <w:r>
        <w:rPr>
          <w:noProof/>
        </w:rPr>
        <w:t>1.1 Background</w:t>
      </w:r>
      <w:r>
        <w:rPr>
          <w:noProof/>
        </w:rPr>
        <w:tab/>
      </w:r>
      <w:r>
        <w:rPr>
          <w:noProof/>
        </w:rPr>
        <w:fldChar w:fldCharType="begin"/>
      </w:r>
      <w:r>
        <w:rPr>
          <w:noProof/>
        </w:rPr>
        <w:instrText xml:space="preserve"> PAGEREF _Toc75939812 \h </w:instrText>
      </w:r>
      <w:r>
        <w:rPr>
          <w:noProof/>
        </w:rPr>
      </w:r>
      <w:r>
        <w:rPr>
          <w:noProof/>
        </w:rPr>
        <w:fldChar w:fldCharType="separate"/>
      </w:r>
      <w:r w:rsidR="00492676">
        <w:rPr>
          <w:noProof/>
        </w:rPr>
        <w:t>1</w:t>
      </w:r>
      <w:r>
        <w:rPr>
          <w:noProof/>
        </w:rPr>
        <w:fldChar w:fldCharType="end"/>
      </w:r>
    </w:p>
    <w:p w14:paraId="130F78C5" w14:textId="07901636" w:rsidR="007D41D1" w:rsidRDefault="007D41D1">
      <w:pPr>
        <w:pStyle w:val="TOC3"/>
        <w:rPr>
          <w:rFonts w:asciiTheme="minorHAnsi" w:eastAsiaTheme="minorEastAsia" w:hAnsiTheme="minorHAnsi" w:cstheme="minorBidi"/>
          <w:noProof/>
          <w:sz w:val="22"/>
          <w:szCs w:val="22"/>
          <w:lang w:eastAsia="zh-CN" w:bidi="ar-SA"/>
        </w:rPr>
      </w:pPr>
      <w:r>
        <w:rPr>
          <w:noProof/>
        </w:rPr>
        <w:t>1.1.1 Underground Injection Control (UIC) Wells</w:t>
      </w:r>
      <w:r>
        <w:rPr>
          <w:noProof/>
        </w:rPr>
        <w:tab/>
      </w:r>
      <w:r>
        <w:rPr>
          <w:noProof/>
        </w:rPr>
        <w:fldChar w:fldCharType="begin"/>
      </w:r>
      <w:r>
        <w:rPr>
          <w:noProof/>
        </w:rPr>
        <w:instrText xml:space="preserve"> PAGEREF _Toc75939813 \h </w:instrText>
      </w:r>
      <w:r>
        <w:rPr>
          <w:noProof/>
        </w:rPr>
      </w:r>
      <w:r>
        <w:rPr>
          <w:noProof/>
        </w:rPr>
        <w:fldChar w:fldCharType="separate"/>
      </w:r>
      <w:r w:rsidR="00492676">
        <w:rPr>
          <w:noProof/>
        </w:rPr>
        <w:t>1</w:t>
      </w:r>
      <w:r>
        <w:rPr>
          <w:noProof/>
        </w:rPr>
        <w:fldChar w:fldCharType="end"/>
      </w:r>
    </w:p>
    <w:p w14:paraId="5398D310" w14:textId="45050E06" w:rsidR="007D41D1" w:rsidRDefault="007D41D1">
      <w:pPr>
        <w:pStyle w:val="TOC3"/>
        <w:rPr>
          <w:rFonts w:asciiTheme="minorHAnsi" w:eastAsiaTheme="minorEastAsia" w:hAnsiTheme="minorHAnsi" w:cstheme="minorBidi"/>
          <w:noProof/>
          <w:sz w:val="22"/>
          <w:szCs w:val="22"/>
          <w:lang w:eastAsia="zh-CN" w:bidi="ar-SA"/>
        </w:rPr>
      </w:pPr>
      <w:r>
        <w:rPr>
          <w:noProof/>
        </w:rPr>
        <w:t>1.1.2 Potential for Induced Seismicity from Fluid Injection</w:t>
      </w:r>
      <w:r>
        <w:rPr>
          <w:noProof/>
        </w:rPr>
        <w:tab/>
      </w:r>
      <w:r>
        <w:rPr>
          <w:noProof/>
        </w:rPr>
        <w:fldChar w:fldCharType="begin"/>
      </w:r>
      <w:r>
        <w:rPr>
          <w:noProof/>
        </w:rPr>
        <w:instrText xml:space="preserve"> PAGEREF _Toc75939814 \h </w:instrText>
      </w:r>
      <w:r>
        <w:rPr>
          <w:noProof/>
        </w:rPr>
      </w:r>
      <w:r>
        <w:rPr>
          <w:noProof/>
        </w:rPr>
        <w:fldChar w:fldCharType="separate"/>
      </w:r>
      <w:r w:rsidR="00492676">
        <w:rPr>
          <w:noProof/>
        </w:rPr>
        <w:t>2</w:t>
      </w:r>
      <w:r>
        <w:rPr>
          <w:noProof/>
        </w:rPr>
        <w:fldChar w:fldCharType="end"/>
      </w:r>
    </w:p>
    <w:p w14:paraId="28E6012E" w14:textId="596CBD62" w:rsidR="007D41D1" w:rsidRDefault="007D41D1">
      <w:pPr>
        <w:pStyle w:val="TOC3"/>
        <w:rPr>
          <w:rFonts w:asciiTheme="minorHAnsi" w:eastAsiaTheme="minorEastAsia" w:hAnsiTheme="minorHAnsi" w:cstheme="minorBidi"/>
          <w:noProof/>
          <w:sz w:val="22"/>
          <w:szCs w:val="22"/>
          <w:lang w:eastAsia="zh-CN" w:bidi="ar-SA"/>
        </w:rPr>
      </w:pPr>
      <w:r>
        <w:rPr>
          <w:noProof/>
        </w:rPr>
        <w:t>1.1.3 Earthquakes Induced by Fluid Injection in Oklahoma</w:t>
      </w:r>
      <w:r>
        <w:rPr>
          <w:noProof/>
        </w:rPr>
        <w:tab/>
      </w:r>
      <w:r>
        <w:rPr>
          <w:noProof/>
        </w:rPr>
        <w:fldChar w:fldCharType="begin"/>
      </w:r>
      <w:r>
        <w:rPr>
          <w:noProof/>
        </w:rPr>
        <w:instrText xml:space="preserve"> PAGEREF _Toc75939815 \h </w:instrText>
      </w:r>
      <w:r>
        <w:rPr>
          <w:noProof/>
        </w:rPr>
      </w:r>
      <w:r>
        <w:rPr>
          <w:noProof/>
        </w:rPr>
        <w:fldChar w:fldCharType="separate"/>
      </w:r>
      <w:r w:rsidR="00492676">
        <w:rPr>
          <w:noProof/>
        </w:rPr>
        <w:t>4</w:t>
      </w:r>
      <w:r>
        <w:rPr>
          <w:noProof/>
        </w:rPr>
        <w:fldChar w:fldCharType="end"/>
      </w:r>
    </w:p>
    <w:p w14:paraId="1AC7F890" w14:textId="0B18EDD4" w:rsidR="007D41D1" w:rsidRDefault="007D41D1">
      <w:pPr>
        <w:pStyle w:val="TOC3"/>
        <w:rPr>
          <w:rFonts w:asciiTheme="minorHAnsi" w:eastAsiaTheme="minorEastAsia" w:hAnsiTheme="minorHAnsi" w:cstheme="minorBidi"/>
          <w:noProof/>
          <w:sz w:val="22"/>
          <w:szCs w:val="22"/>
          <w:lang w:eastAsia="zh-CN" w:bidi="ar-SA"/>
        </w:rPr>
      </w:pPr>
      <w:r>
        <w:rPr>
          <w:noProof/>
        </w:rPr>
        <w:t>1.1.4 Significance of Soil Moisture within a Hydrological Cycle</w:t>
      </w:r>
      <w:r>
        <w:rPr>
          <w:noProof/>
        </w:rPr>
        <w:tab/>
      </w:r>
      <w:r>
        <w:rPr>
          <w:noProof/>
        </w:rPr>
        <w:fldChar w:fldCharType="begin"/>
      </w:r>
      <w:r>
        <w:rPr>
          <w:noProof/>
        </w:rPr>
        <w:instrText xml:space="preserve"> PAGEREF _Toc75939816 \h </w:instrText>
      </w:r>
      <w:r>
        <w:rPr>
          <w:noProof/>
        </w:rPr>
      </w:r>
      <w:r>
        <w:rPr>
          <w:noProof/>
        </w:rPr>
        <w:fldChar w:fldCharType="separate"/>
      </w:r>
      <w:r w:rsidR="00492676">
        <w:rPr>
          <w:noProof/>
        </w:rPr>
        <w:t>5</w:t>
      </w:r>
      <w:r>
        <w:rPr>
          <w:noProof/>
        </w:rPr>
        <w:fldChar w:fldCharType="end"/>
      </w:r>
    </w:p>
    <w:p w14:paraId="04975E4B" w14:textId="07E3FAF2" w:rsidR="007D41D1" w:rsidRDefault="007D41D1">
      <w:pPr>
        <w:pStyle w:val="TOC3"/>
        <w:rPr>
          <w:rFonts w:asciiTheme="minorHAnsi" w:eastAsiaTheme="minorEastAsia" w:hAnsiTheme="minorHAnsi" w:cstheme="minorBidi"/>
          <w:noProof/>
          <w:sz w:val="22"/>
          <w:szCs w:val="22"/>
          <w:lang w:eastAsia="zh-CN" w:bidi="ar-SA"/>
        </w:rPr>
      </w:pPr>
      <w:r>
        <w:rPr>
          <w:noProof/>
        </w:rPr>
        <w:t>1.1.5 In Situ Soil Moisture Measurements</w:t>
      </w:r>
      <w:r>
        <w:rPr>
          <w:noProof/>
        </w:rPr>
        <w:tab/>
      </w:r>
      <w:r>
        <w:rPr>
          <w:noProof/>
        </w:rPr>
        <w:fldChar w:fldCharType="begin"/>
      </w:r>
      <w:r>
        <w:rPr>
          <w:noProof/>
        </w:rPr>
        <w:instrText xml:space="preserve"> PAGEREF _Toc75939817 \h </w:instrText>
      </w:r>
      <w:r>
        <w:rPr>
          <w:noProof/>
        </w:rPr>
      </w:r>
      <w:r>
        <w:rPr>
          <w:noProof/>
        </w:rPr>
        <w:fldChar w:fldCharType="separate"/>
      </w:r>
      <w:r w:rsidR="00492676">
        <w:rPr>
          <w:noProof/>
        </w:rPr>
        <w:t>6</w:t>
      </w:r>
      <w:r>
        <w:rPr>
          <w:noProof/>
        </w:rPr>
        <w:fldChar w:fldCharType="end"/>
      </w:r>
    </w:p>
    <w:p w14:paraId="3E091CA4" w14:textId="472F5DDD" w:rsidR="007D41D1" w:rsidRDefault="007D41D1">
      <w:pPr>
        <w:pStyle w:val="TOC3"/>
        <w:rPr>
          <w:rFonts w:asciiTheme="minorHAnsi" w:eastAsiaTheme="minorEastAsia" w:hAnsiTheme="minorHAnsi" w:cstheme="minorBidi"/>
          <w:noProof/>
          <w:sz w:val="22"/>
          <w:szCs w:val="22"/>
          <w:lang w:eastAsia="zh-CN" w:bidi="ar-SA"/>
        </w:rPr>
      </w:pPr>
      <w:r>
        <w:rPr>
          <w:noProof/>
        </w:rPr>
        <w:t>1.1.6 Model-simulated Soil Moisture</w:t>
      </w:r>
      <w:r>
        <w:rPr>
          <w:noProof/>
        </w:rPr>
        <w:tab/>
      </w:r>
      <w:r>
        <w:rPr>
          <w:noProof/>
        </w:rPr>
        <w:fldChar w:fldCharType="begin"/>
      </w:r>
      <w:r>
        <w:rPr>
          <w:noProof/>
        </w:rPr>
        <w:instrText xml:space="preserve"> PAGEREF _Toc75939818 \h </w:instrText>
      </w:r>
      <w:r>
        <w:rPr>
          <w:noProof/>
        </w:rPr>
      </w:r>
      <w:r>
        <w:rPr>
          <w:noProof/>
        </w:rPr>
        <w:fldChar w:fldCharType="separate"/>
      </w:r>
      <w:r w:rsidR="00492676">
        <w:rPr>
          <w:noProof/>
        </w:rPr>
        <w:t>7</w:t>
      </w:r>
      <w:r>
        <w:rPr>
          <w:noProof/>
        </w:rPr>
        <w:fldChar w:fldCharType="end"/>
      </w:r>
    </w:p>
    <w:p w14:paraId="7E9C9EA9" w14:textId="0C7EF986" w:rsidR="007D41D1" w:rsidRDefault="007D41D1">
      <w:pPr>
        <w:pStyle w:val="TOC3"/>
        <w:rPr>
          <w:rFonts w:asciiTheme="minorHAnsi" w:eastAsiaTheme="minorEastAsia" w:hAnsiTheme="minorHAnsi" w:cstheme="minorBidi"/>
          <w:noProof/>
          <w:sz w:val="22"/>
          <w:szCs w:val="22"/>
          <w:lang w:eastAsia="zh-CN" w:bidi="ar-SA"/>
        </w:rPr>
      </w:pPr>
      <w:r>
        <w:rPr>
          <w:noProof/>
        </w:rPr>
        <w:t>1.1.7 Remotely Sensed Soil Moisture Estimations</w:t>
      </w:r>
      <w:r>
        <w:rPr>
          <w:noProof/>
        </w:rPr>
        <w:tab/>
      </w:r>
      <w:r>
        <w:rPr>
          <w:noProof/>
        </w:rPr>
        <w:fldChar w:fldCharType="begin"/>
      </w:r>
      <w:r>
        <w:rPr>
          <w:noProof/>
        </w:rPr>
        <w:instrText xml:space="preserve"> PAGEREF _Toc75939819 \h </w:instrText>
      </w:r>
      <w:r>
        <w:rPr>
          <w:noProof/>
        </w:rPr>
      </w:r>
      <w:r>
        <w:rPr>
          <w:noProof/>
        </w:rPr>
        <w:fldChar w:fldCharType="separate"/>
      </w:r>
      <w:r w:rsidR="00492676">
        <w:rPr>
          <w:noProof/>
        </w:rPr>
        <w:t>8</w:t>
      </w:r>
      <w:r>
        <w:rPr>
          <w:noProof/>
        </w:rPr>
        <w:fldChar w:fldCharType="end"/>
      </w:r>
    </w:p>
    <w:p w14:paraId="597FA67D" w14:textId="2A2BE272" w:rsidR="007D41D1" w:rsidRDefault="007D41D1">
      <w:pPr>
        <w:pStyle w:val="TOC3"/>
        <w:rPr>
          <w:rFonts w:asciiTheme="minorHAnsi" w:eastAsiaTheme="minorEastAsia" w:hAnsiTheme="minorHAnsi" w:cstheme="minorBidi"/>
          <w:noProof/>
          <w:sz w:val="22"/>
          <w:szCs w:val="22"/>
          <w:lang w:eastAsia="zh-CN" w:bidi="ar-SA"/>
        </w:rPr>
      </w:pPr>
      <w:r>
        <w:rPr>
          <w:noProof/>
        </w:rPr>
        <w:t>1.1.8 Soil Moisture Measurements in Oklahoma</w:t>
      </w:r>
      <w:r>
        <w:rPr>
          <w:noProof/>
        </w:rPr>
        <w:tab/>
      </w:r>
      <w:r>
        <w:rPr>
          <w:noProof/>
        </w:rPr>
        <w:fldChar w:fldCharType="begin"/>
      </w:r>
      <w:r>
        <w:rPr>
          <w:noProof/>
        </w:rPr>
        <w:instrText xml:space="preserve"> PAGEREF _Toc75939820 \h </w:instrText>
      </w:r>
      <w:r>
        <w:rPr>
          <w:noProof/>
        </w:rPr>
      </w:r>
      <w:r>
        <w:rPr>
          <w:noProof/>
        </w:rPr>
        <w:fldChar w:fldCharType="separate"/>
      </w:r>
      <w:r w:rsidR="00492676">
        <w:rPr>
          <w:noProof/>
        </w:rPr>
        <w:t>9</w:t>
      </w:r>
      <w:r>
        <w:rPr>
          <w:noProof/>
        </w:rPr>
        <w:fldChar w:fldCharType="end"/>
      </w:r>
    </w:p>
    <w:p w14:paraId="1122F53C" w14:textId="017D90D0" w:rsidR="007D41D1" w:rsidRDefault="007D41D1">
      <w:pPr>
        <w:pStyle w:val="TOC2"/>
        <w:rPr>
          <w:rFonts w:asciiTheme="minorHAnsi" w:eastAsiaTheme="minorEastAsia" w:hAnsiTheme="minorHAnsi" w:cstheme="minorBidi"/>
          <w:noProof/>
          <w:sz w:val="22"/>
          <w:szCs w:val="22"/>
          <w:lang w:eastAsia="zh-CN" w:bidi="ar-SA"/>
        </w:rPr>
      </w:pPr>
      <w:r>
        <w:rPr>
          <w:noProof/>
          <w:lang w:eastAsia="zh-CN"/>
        </w:rPr>
        <w:t>1.2 Research Goal and Objectives</w:t>
      </w:r>
      <w:r>
        <w:rPr>
          <w:noProof/>
        </w:rPr>
        <w:tab/>
      </w:r>
      <w:r>
        <w:rPr>
          <w:noProof/>
        </w:rPr>
        <w:fldChar w:fldCharType="begin"/>
      </w:r>
      <w:r>
        <w:rPr>
          <w:noProof/>
        </w:rPr>
        <w:instrText xml:space="preserve"> PAGEREF _Toc75939821 \h </w:instrText>
      </w:r>
      <w:r>
        <w:rPr>
          <w:noProof/>
        </w:rPr>
      </w:r>
      <w:r>
        <w:rPr>
          <w:noProof/>
        </w:rPr>
        <w:fldChar w:fldCharType="separate"/>
      </w:r>
      <w:r w:rsidR="00492676">
        <w:rPr>
          <w:noProof/>
        </w:rPr>
        <w:t>10</w:t>
      </w:r>
      <w:r>
        <w:rPr>
          <w:noProof/>
        </w:rPr>
        <w:fldChar w:fldCharType="end"/>
      </w:r>
    </w:p>
    <w:p w14:paraId="0526C0E3" w14:textId="4D8552B8" w:rsidR="007D41D1" w:rsidRDefault="007D41D1">
      <w:pPr>
        <w:pStyle w:val="TOC2"/>
        <w:rPr>
          <w:rFonts w:asciiTheme="minorHAnsi" w:eastAsiaTheme="minorEastAsia" w:hAnsiTheme="minorHAnsi" w:cstheme="minorBidi"/>
          <w:noProof/>
          <w:sz w:val="22"/>
          <w:szCs w:val="22"/>
          <w:lang w:eastAsia="zh-CN" w:bidi="ar-SA"/>
        </w:rPr>
      </w:pPr>
      <w:r>
        <w:rPr>
          <w:noProof/>
        </w:rPr>
        <w:t>1.3 Organization of Dissertation</w:t>
      </w:r>
      <w:r>
        <w:rPr>
          <w:noProof/>
        </w:rPr>
        <w:tab/>
      </w:r>
      <w:r>
        <w:rPr>
          <w:noProof/>
        </w:rPr>
        <w:fldChar w:fldCharType="begin"/>
      </w:r>
      <w:r>
        <w:rPr>
          <w:noProof/>
        </w:rPr>
        <w:instrText xml:space="preserve"> PAGEREF _Toc75939822 \h </w:instrText>
      </w:r>
      <w:r>
        <w:rPr>
          <w:noProof/>
        </w:rPr>
      </w:r>
      <w:r>
        <w:rPr>
          <w:noProof/>
        </w:rPr>
        <w:fldChar w:fldCharType="separate"/>
      </w:r>
      <w:r w:rsidR="00492676">
        <w:rPr>
          <w:noProof/>
        </w:rPr>
        <w:t>12</w:t>
      </w:r>
      <w:r>
        <w:rPr>
          <w:noProof/>
        </w:rPr>
        <w:fldChar w:fldCharType="end"/>
      </w:r>
    </w:p>
    <w:p w14:paraId="3AC27FE2" w14:textId="703B5E95" w:rsidR="007D41D1" w:rsidRDefault="007D41D1">
      <w:pPr>
        <w:pStyle w:val="TOC2"/>
        <w:rPr>
          <w:rFonts w:asciiTheme="minorHAnsi" w:eastAsiaTheme="minorEastAsia" w:hAnsiTheme="minorHAnsi" w:cstheme="minorBidi"/>
          <w:noProof/>
          <w:sz w:val="22"/>
          <w:szCs w:val="22"/>
          <w:lang w:eastAsia="zh-CN" w:bidi="ar-SA"/>
        </w:rPr>
      </w:pPr>
      <w:r>
        <w:rPr>
          <w:noProof/>
        </w:rPr>
        <w:t>References</w:t>
      </w:r>
      <w:r>
        <w:rPr>
          <w:noProof/>
        </w:rPr>
        <w:tab/>
      </w:r>
      <w:r>
        <w:rPr>
          <w:noProof/>
        </w:rPr>
        <w:fldChar w:fldCharType="begin"/>
      </w:r>
      <w:r>
        <w:rPr>
          <w:noProof/>
        </w:rPr>
        <w:instrText xml:space="preserve"> PAGEREF _Toc75939823 \h </w:instrText>
      </w:r>
      <w:r>
        <w:rPr>
          <w:noProof/>
        </w:rPr>
      </w:r>
      <w:r>
        <w:rPr>
          <w:noProof/>
        </w:rPr>
        <w:fldChar w:fldCharType="separate"/>
      </w:r>
      <w:r w:rsidR="00492676">
        <w:rPr>
          <w:noProof/>
        </w:rPr>
        <w:t>12</w:t>
      </w:r>
      <w:r>
        <w:rPr>
          <w:noProof/>
        </w:rPr>
        <w:fldChar w:fldCharType="end"/>
      </w:r>
    </w:p>
    <w:p w14:paraId="52B0DC83" w14:textId="48C35390" w:rsidR="007D41D1" w:rsidRDefault="007D41D1">
      <w:pPr>
        <w:pStyle w:val="TOC1"/>
        <w:rPr>
          <w:rFonts w:asciiTheme="minorHAnsi" w:eastAsiaTheme="minorEastAsia" w:hAnsiTheme="minorHAnsi" w:cstheme="minorBidi"/>
          <w:b w:val="0"/>
          <w:bCs w:val="0"/>
          <w:sz w:val="22"/>
          <w:szCs w:val="22"/>
          <w:lang w:eastAsia="zh-CN" w:bidi="ar-SA"/>
        </w:rPr>
      </w:pPr>
      <w:r>
        <w:t>Chapter 2 Spatiotemporal Assessment of Induced Seismicity in Oklahoma: Foreseeable Fewer Earthquakes for Sustainable Oil and Gas Extraction?</w:t>
      </w:r>
      <w:r>
        <w:tab/>
      </w:r>
      <w:r>
        <w:fldChar w:fldCharType="begin"/>
      </w:r>
      <w:r>
        <w:instrText xml:space="preserve"> PAGEREF _Toc75939824 \h </w:instrText>
      </w:r>
      <w:r>
        <w:fldChar w:fldCharType="separate"/>
      </w:r>
      <w:r w:rsidR="00492676">
        <w:t>22</w:t>
      </w:r>
      <w:r>
        <w:fldChar w:fldCharType="end"/>
      </w:r>
    </w:p>
    <w:p w14:paraId="66087E81" w14:textId="5446F974" w:rsidR="007D41D1" w:rsidRDefault="007D41D1">
      <w:pPr>
        <w:pStyle w:val="TOC2"/>
        <w:rPr>
          <w:rFonts w:asciiTheme="minorHAnsi" w:eastAsiaTheme="minorEastAsia" w:hAnsiTheme="minorHAnsi" w:cstheme="minorBidi"/>
          <w:noProof/>
          <w:sz w:val="22"/>
          <w:szCs w:val="22"/>
          <w:lang w:eastAsia="zh-CN" w:bidi="ar-SA"/>
        </w:rPr>
      </w:pPr>
      <w:r>
        <w:rPr>
          <w:noProof/>
        </w:rPr>
        <w:t>Abstract</w:t>
      </w:r>
      <w:r>
        <w:rPr>
          <w:noProof/>
        </w:rPr>
        <w:tab/>
      </w:r>
      <w:r>
        <w:rPr>
          <w:noProof/>
        </w:rPr>
        <w:fldChar w:fldCharType="begin"/>
      </w:r>
      <w:r>
        <w:rPr>
          <w:noProof/>
        </w:rPr>
        <w:instrText xml:space="preserve"> PAGEREF _Toc75939825 \h </w:instrText>
      </w:r>
      <w:r>
        <w:rPr>
          <w:noProof/>
        </w:rPr>
      </w:r>
      <w:r>
        <w:rPr>
          <w:noProof/>
        </w:rPr>
        <w:fldChar w:fldCharType="separate"/>
      </w:r>
      <w:r w:rsidR="00492676">
        <w:rPr>
          <w:noProof/>
        </w:rPr>
        <w:t>22</w:t>
      </w:r>
      <w:r>
        <w:rPr>
          <w:noProof/>
        </w:rPr>
        <w:fldChar w:fldCharType="end"/>
      </w:r>
    </w:p>
    <w:p w14:paraId="6EEA10CC" w14:textId="4B393673" w:rsidR="007D41D1" w:rsidRDefault="007D41D1">
      <w:pPr>
        <w:pStyle w:val="TOC2"/>
        <w:rPr>
          <w:rFonts w:asciiTheme="minorHAnsi" w:eastAsiaTheme="minorEastAsia" w:hAnsiTheme="minorHAnsi" w:cstheme="minorBidi"/>
          <w:noProof/>
          <w:sz w:val="22"/>
          <w:szCs w:val="22"/>
          <w:lang w:eastAsia="zh-CN" w:bidi="ar-SA"/>
        </w:rPr>
      </w:pPr>
      <w:r>
        <w:rPr>
          <w:noProof/>
        </w:rPr>
        <w:lastRenderedPageBreak/>
        <w:t>2.1 Introduction</w:t>
      </w:r>
      <w:r>
        <w:rPr>
          <w:noProof/>
        </w:rPr>
        <w:tab/>
      </w:r>
      <w:r>
        <w:rPr>
          <w:noProof/>
        </w:rPr>
        <w:fldChar w:fldCharType="begin"/>
      </w:r>
      <w:r>
        <w:rPr>
          <w:noProof/>
        </w:rPr>
        <w:instrText xml:space="preserve"> PAGEREF _Toc75939826 \h </w:instrText>
      </w:r>
      <w:r>
        <w:rPr>
          <w:noProof/>
        </w:rPr>
      </w:r>
      <w:r>
        <w:rPr>
          <w:noProof/>
        </w:rPr>
        <w:fldChar w:fldCharType="separate"/>
      </w:r>
      <w:r w:rsidR="00492676">
        <w:rPr>
          <w:noProof/>
        </w:rPr>
        <w:t>22</w:t>
      </w:r>
      <w:r>
        <w:rPr>
          <w:noProof/>
        </w:rPr>
        <w:fldChar w:fldCharType="end"/>
      </w:r>
    </w:p>
    <w:p w14:paraId="24935E91" w14:textId="030225B0" w:rsidR="007D41D1" w:rsidRDefault="007D41D1">
      <w:pPr>
        <w:pStyle w:val="TOC2"/>
        <w:rPr>
          <w:rFonts w:asciiTheme="minorHAnsi" w:eastAsiaTheme="minorEastAsia" w:hAnsiTheme="minorHAnsi" w:cstheme="minorBidi"/>
          <w:noProof/>
          <w:sz w:val="22"/>
          <w:szCs w:val="22"/>
          <w:lang w:eastAsia="zh-CN" w:bidi="ar-SA"/>
        </w:rPr>
      </w:pPr>
      <w:r>
        <w:rPr>
          <w:noProof/>
        </w:rPr>
        <w:t>2.2 Data Sources</w:t>
      </w:r>
      <w:r>
        <w:rPr>
          <w:noProof/>
        </w:rPr>
        <w:tab/>
      </w:r>
      <w:r>
        <w:rPr>
          <w:noProof/>
        </w:rPr>
        <w:fldChar w:fldCharType="begin"/>
      </w:r>
      <w:r>
        <w:rPr>
          <w:noProof/>
        </w:rPr>
        <w:instrText xml:space="preserve"> PAGEREF _Toc75939827 \h </w:instrText>
      </w:r>
      <w:r>
        <w:rPr>
          <w:noProof/>
        </w:rPr>
      </w:r>
      <w:r>
        <w:rPr>
          <w:noProof/>
        </w:rPr>
        <w:fldChar w:fldCharType="separate"/>
      </w:r>
      <w:r w:rsidR="00492676">
        <w:rPr>
          <w:noProof/>
        </w:rPr>
        <w:t>25</w:t>
      </w:r>
      <w:r>
        <w:rPr>
          <w:noProof/>
        </w:rPr>
        <w:fldChar w:fldCharType="end"/>
      </w:r>
    </w:p>
    <w:p w14:paraId="449FAF47" w14:textId="5037FE2B" w:rsidR="007D41D1" w:rsidRDefault="007D41D1">
      <w:pPr>
        <w:pStyle w:val="TOC2"/>
        <w:rPr>
          <w:rFonts w:asciiTheme="minorHAnsi" w:eastAsiaTheme="minorEastAsia" w:hAnsiTheme="minorHAnsi" w:cstheme="minorBidi"/>
          <w:noProof/>
          <w:sz w:val="22"/>
          <w:szCs w:val="22"/>
          <w:lang w:eastAsia="zh-CN" w:bidi="ar-SA"/>
        </w:rPr>
      </w:pPr>
      <w:r>
        <w:rPr>
          <w:noProof/>
        </w:rPr>
        <w:t>2.3 Earthquake Unit Homogenization and Data Completeness</w:t>
      </w:r>
      <w:r>
        <w:rPr>
          <w:noProof/>
        </w:rPr>
        <w:tab/>
      </w:r>
      <w:r>
        <w:rPr>
          <w:noProof/>
        </w:rPr>
        <w:fldChar w:fldCharType="begin"/>
      </w:r>
      <w:r>
        <w:rPr>
          <w:noProof/>
        </w:rPr>
        <w:instrText xml:space="preserve"> PAGEREF _Toc75939828 \h </w:instrText>
      </w:r>
      <w:r>
        <w:rPr>
          <w:noProof/>
        </w:rPr>
      </w:r>
      <w:r>
        <w:rPr>
          <w:noProof/>
        </w:rPr>
        <w:fldChar w:fldCharType="separate"/>
      </w:r>
      <w:r w:rsidR="00492676">
        <w:rPr>
          <w:noProof/>
        </w:rPr>
        <w:t>26</w:t>
      </w:r>
      <w:r>
        <w:rPr>
          <w:noProof/>
        </w:rPr>
        <w:fldChar w:fldCharType="end"/>
      </w:r>
    </w:p>
    <w:p w14:paraId="3D13FF06" w14:textId="21E17B7D" w:rsidR="007D41D1" w:rsidRDefault="007D41D1">
      <w:pPr>
        <w:pStyle w:val="TOC3"/>
        <w:rPr>
          <w:rFonts w:asciiTheme="minorHAnsi" w:eastAsiaTheme="minorEastAsia" w:hAnsiTheme="minorHAnsi" w:cstheme="minorBidi"/>
          <w:noProof/>
          <w:sz w:val="22"/>
          <w:szCs w:val="22"/>
          <w:lang w:eastAsia="zh-CN" w:bidi="ar-SA"/>
        </w:rPr>
      </w:pPr>
      <w:r>
        <w:rPr>
          <w:noProof/>
        </w:rPr>
        <w:t>2.3.1 Magnitude Unit Homogenization</w:t>
      </w:r>
      <w:r>
        <w:rPr>
          <w:noProof/>
        </w:rPr>
        <w:tab/>
      </w:r>
      <w:r>
        <w:rPr>
          <w:noProof/>
        </w:rPr>
        <w:fldChar w:fldCharType="begin"/>
      </w:r>
      <w:r>
        <w:rPr>
          <w:noProof/>
        </w:rPr>
        <w:instrText xml:space="preserve"> PAGEREF _Toc75939829 \h </w:instrText>
      </w:r>
      <w:r>
        <w:rPr>
          <w:noProof/>
        </w:rPr>
      </w:r>
      <w:r>
        <w:rPr>
          <w:noProof/>
        </w:rPr>
        <w:fldChar w:fldCharType="separate"/>
      </w:r>
      <w:r w:rsidR="00492676">
        <w:rPr>
          <w:noProof/>
        </w:rPr>
        <w:t>26</w:t>
      </w:r>
      <w:r>
        <w:rPr>
          <w:noProof/>
        </w:rPr>
        <w:fldChar w:fldCharType="end"/>
      </w:r>
    </w:p>
    <w:p w14:paraId="432B66EA" w14:textId="77F4318E" w:rsidR="007D41D1" w:rsidRDefault="007D41D1">
      <w:pPr>
        <w:pStyle w:val="TOC3"/>
        <w:rPr>
          <w:rFonts w:asciiTheme="minorHAnsi" w:eastAsiaTheme="minorEastAsia" w:hAnsiTheme="minorHAnsi" w:cstheme="minorBidi"/>
          <w:noProof/>
          <w:sz w:val="22"/>
          <w:szCs w:val="22"/>
          <w:lang w:eastAsia="zh-CN" w:bidi="ar-SA"/>
        </w:rPr>
      </w:pPr>
      <w:r>
        <w:rPr>
          <w:noProof/>
        </w:rPr>
        <w:t>2.3.2 Earthquake Magnitude of Completeness</w:t>
      </w:r>
      <w:r>
        <w:rPr>
          <w:noProof/>
        </w:rPr>
        <w:tab/>
      </w:r>
      <w:r>
        <w:rPr>
          <w:noProof/>
        </w:rPr>
        <w:fldChar w:fldCharType="begin"/>
      </w:r>
      <w:r>
        <w:rPr>
          <w:noProof/>
        </w:rPr>
        <w:instrText xml:space="preserve"> PAGEREF _Toc75939830 \h </w:instrText>
      </w:r>
      <w:r>
        <w:rPr>
          <w:noProof/>
        </w:rPr>
      </w:r>
      <w:r>
        <w:rPr>
          <w:noProof/>
        </w:rPr>
        <w:fldChar w:fldCharType="separate"/>
      </w:r>
      <w:r w:rsidR="00492676">
        <w:rPr>
          <w:noProof/>
        </w:rPr>
        <w:t>28</w:t>
      </w:r>
      <w:r>
        <w:rPr>
          <w:noProof/>
        </w:rPr>
        <w:fldChar w:fldCharType="end"/>
      </w:r>
    </w:p>
    <w:p w14:paraId="731801C3" w14:textId="11640E7A" w:rsidR="007D41D1" w:rsidRDefault="007D41D1">
      <w:pPr>
        <w:pStyle w:val="TOC2"/>
        <w:rPr>
          <w:rFonts w:asciiTheme="minorHAnsi" w:eastAsiaTheme="minorEastAsia" w:hAnsiTheme="minorHAnsi" w:cstheme="minorBidi"/>
          <w:noProof/>
          <w:sz w:val="22"/>
          <w:szCs w:val="22"/>
          <w:lang w:eastAsia="zh-CN" w:bidi="ar-SA"/>
        </w:rPr>
      </w:pPr>
      <w:r>
        <w:rPr>
          <w:noProof/>
        </w:rPr>
        <w:t>2.4 Interannual Seismicity and Wastewater Injection Activity in Oklahoma</w:t>
      </w:r>
      <w:r>
        <w:rPr>
          <w:noProof/>
        </w:rPr>
        <w:tab/>
      </w:r>
      <w:r>
        <w:rPr>
          <w:noProof/>
        </w:rPr>
        <w:fldChar w:fldCharType="begin"/>
      </w:r>
      <w:r>
        <w:rPr>
          <w:noProof/>
        </w:rPr>
        <w:instrText xml:space="preserve"> PAGEREF _Toc75939831 \h </w:instrText>
      </w:r>
      <w:r>
        <w:rPr>
          <w:noProof/>
        </w:rPr>
      </w:r>
      <w:r>
        <w:rPr>
          <w:noProof/>
        </w:rPr>
        <w:fldChar w:fldCharType="separate"/>
      </w:r>
      <w:r w:rsidR="00492676">
        <w:rPr>
          <w:noProof/>
        </w:rPr>
        <w:t>29</w:t>
      </w:r>
      <w:r>
        <w:rPr>
          <w:noProof/>
        </w:rPr>
        <w:fldChar w:fldCharType="end"/>
      </w:r>
    </w:p>
    <w:p w14:paraId="7B087F1C" w14:textId="08A478FD" w:rsidR="007D41D1" w:rsidRDefault="007D41D1">
      <w:pPr>
        <w:pStyle w:val="TOC2"/>
        <w:rPr>
          <w:rFonts w:asciiTheme="minorHAnsi" w:eastAsiaTheme="minorEastAsia" w:hAnsiTheme="minorHAnsi" w:cstheme="minorBidi"/>
          <w:noProof/>
          <w:sz w:val="22"/>
          <w:szCs w:val="22"/>
          <w:lang w:eastAsia="zh-CN" w:bidi="ar-SA"/>
        </w:rPr>
      </w:pPr>
      <w:r>
        <w:rPr>
          <w:noProof/>
        </w:rPr>
        <w:t>2.5 Regional Migration Pattern of Epicenters and Wastewater Injection Activity</w:t>
      </w:r>
      <w:r>
        <w:rPr>
          <w:noProof/>
        </w:rPr>
        <w:tab/>
      </w:r>
      <w:r>
        <w:rPr>
          <w:noProof/>
        </w:rPr>
        <w:fldChar w:fldCharType="begin"/>
      </w:r>
      <w:r>
        <w:rPr>
          <w:noProof/>
        </w:rPr>
        <w:instrText xml:space="preserve"> PAGEREF _Toc75939832 \h </w:instrText>
      </w:r>
      <w:r>
        <w:rPr>
          <w:noProof/>
        </w:rPr>
      </w:r>
      <w:r>
        <w:rPr>
          <w:noProof/>
        </w:rPr>
        <w:fldChar w:fldCharType="separate"/>
      </w:r>
      <w:r w:rsidR="00492676">
        <w:rPr>
          <w:noProof/>
        </w:rPr>
        <w:t>33</w:t>
      </w:r>
      <w:r>
        <w:rPr>
          <w:noProof/>
        </w:rPr>
        <w:fldChar w:fldCharType="end"/>
      </w:r>
    </w:p>
    <w:p w14:paraId="10015D52" w14:textId="3ECE99E5" w:rsidR="007D41D1" w:rsidRDefault="007D41D1">
      <w:pPr>
        <w:pStyle w:val="TOC2"/>
        <w:rPr>
          <w:rFonts w:asciiTheme="minorHAnsi" w:eastAsiaTheme="minorEastAsia" w:hAnsiTheme="minorHAnsi" w:cstheme="minorBidi"/>
          <w:noProof/>
          <w:sz w:val="22"/>
          <w:szCs w:val="22"/>
          <w:lang w:eastAsia="zh-CN" w:bidi="ar-SA"/>
        </w:rPr>
      </w:pPr>
      <w:r>
        <w:rPr>
          <w:noProof/>
        </w:rPr>
        <w:t>2.6 A Parsimonious Model of Seismicity.</w:t>
      </w:r>
      <w:r>
        <w:rPr>
          <w:noProof/>
        </w:rPr>
        <w:tab/>
      </w:r>
      <w:r>
        <w:rPr>
          <w:noProof/>
        </w:rPr>
        <w:fldChar w:fldCharType="begin"/>
      </w:r>
      <w:r>
        <w:rPr>
          <w:noProof/>
        </w:rPr>
        <w:instrText xml:space="preserve"> PAGEREF _Toc75939833 \h </w:instrText>
      </w:r>
      <w:r>
        <w:rPr>
          <w:noProof/>
        </w:rPr>
      </w:r>
      <w:r>
        <w:rPr>
          <w:noProof/>
        </w:rPr>
        <w:fldChar w:fldCharType="separate"/>
      </w:r>
      <w:r w:rsidR="00492676">
        <w:rPr>
          <w:noProof/>
        </w:rPr>
        <w:t>36</w:t>
      </w:r>
      <w:r>
        <w:rPr>
          <w:noProof/>
        </w:rPr>
        <w:fldChar w:fldCharType="end"/>
      </w:r>
    </w:p>
    <w:p w14:paraId="1F65C7EA" w14:textId="784255A5" w:rsidR="007D41D1" w:rsidRDefault="007D41D1">
      <w:pPr>
        <w:pStyle w:val="TOC2"/>
        <w:rPr>
          <w:rFonts w:asciiTheme="minorHAnsi" w:eastAsiaTheme="minorEastAsia" w:hAnsiTheme="minorHAnsi" w:cstheme="minorBidi"/>
          <w:noProof/>
          <w:sz w:val="22"/>
          <w:szCs w:val="22"/>
          <w:lang w:eastAsia="zh-CN" w:bidi="ar-SA"/>
        </w:rPr>
      </w:pPr>
      <w:r>
        <w:rPr>
          <w:noProof/>
        </w:rPr>
        <w:t>2.7 Model Output Intercomparison</w:t>
      </w:r>
      <w:r>
        <w:rPr>
          <w:noProof/>
        </w:rPr>
        <w:tab/>
      </w:r>
      <w:r>
        <w:rPr>
          <w:noProof/>
        </w:rPr>
        <w:fldChar w:fldCharType="begin"/>
      </w:r>
      <w:r>
        <w:rPr>
          <w:noProof/>
        </w:rPr>
        <w:instrText xml:space="preserve"> PAGEREF _Toc75939834 \h </w:instrText>
      </w:r>
      <w:r>
        <w:rPr>
          <w:noProof/>
        </w:rPr>
      </w:r>
      <w:r>
        <w:rPr>
          <w:noProof/>
        </w:rPr>
        <w:fldChar w:fldCharType="separate"/>
      </w:r>
      <w:r w:rsidR="00492676">
        <w:rPr>
          <w:noProof/>
        </w:rPr>
        <w:t>41</w:t>
      </w:r>
      <w:r>
        <w:rPr>
          <w:noProof/>
        </w:rPr>
        <w:fldChar w:fldCharType="end"/>
      </w:r>
    </w:p>
    <w:p w14:paraId="1EB32D88" w14:textId="622FE110" w:rsidR="007D41D1" w:rsidRDefault="007D41D1">
      <w:pPr>
        <w:pStyle w:val="TOC2"/>
        <w:rPr>
          <w:rFonts w:asciiTheme="minorHAnsi" w:eastAsiaTheme="minorEastAsia" w:hAnsiTheme="minorHAnsi" w:cstheme="minorBidi"/>
          <w:noProof/>
          <w:sz w:val="22"/>
          <w:szCs w:val="22"/>
          <w:lang w:eastAsia="zh-CN" w:bidi="ar-SA"/>
        </w:rPr>
      </w:pPr>
      <w:r>
        <w:rPr>
          <w:noProof/>
        </w:rPr>
        <w:t>2.8 Discussion</w:t>
      </w:r>
      <w:r>
        <w:rPr>
          <w:noProof/>
        </w:rPr>
        <w:tab/>
      </w:r>
      <w:r>
        <w:rPr>
          <w:noProof/>
        </w:rPr>
        <w:fldChar w:fldCharType="begin"/>
      </w:r>
      <w:r>
        <w:rPr>
          <w:noProof/>
        </w:rPr>
        <w:instrText xml:space="preserve"> PAGEREF _Toc75939835 \h </w:instrText>
      </w:r>
      <w:r>
        <w:rPr>
          <w:noProof/>
        </w:rPr>
      </w:r>
      <w:r>
        <w:rPr>
          <w:noProof/>
        </w:rPr>
        <w:fldChar w:fldCharType="separate"/>
      </w:r>
      <w:r w:rsidR="00492676">
        <w:rPr>
          <w:noProof/>
        </w:rPr>
        <w:t>43</w:t>
      </w:r>
      <w:r>
        <w:rPr>
          <w:noProof/>
        </w:rPr>
        <w:fldChar w:fldCharType="end"/>
      </w:r>
    </w:p>
    <w:p w14:paraId="5AE685DC" w14:textId="081986A8" w:rsidR="007D41D1" w:rsidRDefault="007D41D1">
      <w:pPr>
        <w:pStyle w:val="TOC3"/>
        <w:rPr>
          <w:rFonts w:asciiTheme="minorHAnsi" w:eastAsiaTheme="minorEastAsia" w:hAnsiTheme="minorHAnsi" w:cstheme="minorBidi"/>
          <w:noProof/>
          <w:sz w:val="22"/>
          <w:szCs w:val="22"/>
          <w:lang w:eastAsia="zh-CN" w:bidi="ar-SA"/>
        </w:rPr>
      </w:pPr>
      <w:r>
        <w:rPr>
          <w:noProof/>
        </w:rPr>
        <w:t>2.8.1 Acknowledging Methological Limitations</w:t>
      </w:r>
      <w:r>
        <w:rPr>
          <w:noProof/>
        </w:rPr>
        <w:tab/>
      </w:r>
      <w:r>
        <w:rPr>
          <w:noProof/>
        </w:rPr>
        <w:fldChar w:fldCharType="begin"/>
      </w:r>
      <w:r>
        <w:rPr>
          <w:noProof/>
        </w:rPr>
        <w:instrText xml:space="preserve"> PAGEREF _Toc75939836 \h </w:instrText>
      </w:r>
      <w:r>
        <w:rPr>
          <w:noProof/>
        </w:rPr>
      </w:r>
      <w:r>
        <w:rPr>
          <w:noProof/>
        </w:rPr>
        <w:fldChar w:fldCharType="separate"/>
      </w:r>
      <w:r w:rsidR="00492676">
        <w:rPr>
          <w:noProof/>
        </w:rPr>
        <w:t>43</w:t>
      </w:r>
      <w:r>
        <w:rPr>
          <w:noProof/>
        </w:rPr>
        <w:fldChar w:fldCharType="end"/>
      </w:r>
    </w:p>
    <w:p w14:paraId="58AA1F63" w14:textId="43A81395" w:rsidR="007D41D1" w:rsidRDefault="007D41D1">
      <w:pPr>
        <w:pStyle w:val="TOC3"/>
        <w:rPr>
          <w:rFonts w:asciiTheme="minorHAnsi" w:eastAsiaTheme="minorEastAsia" w:hAnsiTheme="minorHAnsi" w:cstheme="minorBidi"/>
          <w:noProof/>
          <w:sz w:val="22"/>
          <w:szCs w:val="22"/>
          <w:lang w:eastAsia="zh-CN" w:bidi="ar-SA"/>
        </w:rPr>
      </w:pPr>
      <w:r>
        <w:rPr>
          <w:noProof/>
        </w:rPr>
        <w:t>2.8.2 Contributions to State-of-the-Art</w:t>
      </w:r>
      <w:r>
        <w:rPr>
          <w:noProof/>
        </w:rPr>
        <w:tab/>
      </w:r>
      <w:r>
        <w:rPr>
          <w:noProof/>
        </w:rPr>
        <w:fldChar w:fldCharType="begin"/>
      </w:r>
      <w:r>
        <w:rPr>
          <w:noProof/>
        </w:rPr>
        <w:instrText xml:space="preserve"> PAGEREF _Toc75939837 \h </w:instrText>
      </w:r>
      <w:r>
        <w:rPr>
          <w:noProof/>
        </w:rPr>
      </w:r>
      <w:r>
        <w:rPr>
          <w:noProof/>
        </w:rPr>
        <w:fldChar w:fldCharType="separate"/>
      </w:r>
      <w:r w:rsidR="00492676">
        <w:rPr>
          <w:noProof/>
        </w:rPr>
        <w:t>43</w:t>
      </w:r>
      <w:r>
        <w:rPr>
          <w:noProof/>
        </w:rPr>
        <w:fldChar w:fldCharType="end"/>
      </w:r>
    </w:p>
    <w:p w14:paraId="11830A56" w14:textId="10C229FC" w:rsidR="007D41D1" w:rsidRDefault="007D41D1">
      <w:pPr>
        <w:pStyle w:val="TOC3"/>
        <w:rPr>
          <w:rFonts w:asciiTheme="minorHAnsi" w:eastAsiaTheme="minorEastAsia" w:hAnsiTheme="minorHAnsi" w:cstheme="minorBidi"/>
          <w:noProof/>
          <w:sz w:val="22"/>
          <w:szCs w:val="22"/>
          <w:lang w:eastAsia="zh-CN" w:bidi="ar-SA"/>
        </w:rPr>
      </w:pPr>
      <w:r>
        <w:rPr>
          <w:noProof/>
        </w:rPr>
        <w:t>2.8.3 Contributions to Sustainable Extraction and Decision Making: What are Sustainable Limits?</w:t>
      </w:r>
      <w:r>
        <w:rPr>
          <w:noProof/>
        </w:rPr>
        <w:tab/>
      </w:r>
      <w:r>
        <w:rPr>
          <w:noProof/>
        </w:rPr>
        <w:fldChar w:fldCharType="begin"/>
      </w:r>
      <w:r>
        <w:rPr>
          <w:noProof/>
        </w:rPr>
        <w:instrText xml:space="preserve"> PAGEREF _Toc75939838 \h </w:instrText>
      </w:r>
      <w:r>
        <w:rPr>
          <w:noProof/>
        </w:rPr>
      </w:r>
      <w:r>
        <w:rPr>
          <w:noProof/>
        </w:rPr>
        <w:fldChar w:fldCharType="separate"/>
      </w:r>
      <w:r w:rsidR="00492676">
        <w:rPr>
          <w:noProof/>
        </w:rPr>
        <w:t>45</w:t>
      </w:r>
      <w:r>
        <w:rPr>
          <w:noProof/>
        </w:rPr>
        <w:fldChar w:fldCharType="end"/>
      </w:r>
    </w:p>
    <w:p w14:paraId="6B3031E6" w14:textId="147EA46E" w:rsidR="007D41D1" w:rsidRDefault="007D41D1">
      <w:pPr>
        <w:pStyle w:val="TOC2"/>
        <w:rPr>
          <w:rFonts w:asciiTheme="minorHAnsi" w:eastAsiaTheme="minorEastAsia" w:hAnsiTheme="minorHAnsi" w:cstheme="minorBidi"/>
          <w:noProof/>
          <w:sz w:val="22"/>
          <w:szCs w:val="22"/>
          <w:lang w:eastAsia="zh-CN" w:bidi="ar-SA"/>
        </w:rPr>
      </w:pPr>
      <w:r>
        <w:rPr>
          <w:noProof/>
        </w:rPr>
        <w:t>2.9 Conclusions</w:t>
      </w:r>
      <w:r>
        <w:rPr>
          <w:noProof/>
        </w:rPr>
        <w:tab/>
      </w:r>
      <w:r>
        <w:rPr>
          <w:noProof/>
        </w:rPr>
        <w:fldChar w:fldCharType="begin"/>
      </w:r>
      <w:r>
        <w:rPr>
          <w:noProof/>
        </w:rPr>
        <w:instrText xml:space="preserve"> PAGEREF _Toc75939839 \h </w:instrText>
      </w:r>
      <w:r>
        <w:rPr>
          <w:noProof/>
        </w:rPr>
      </w:r>
      <w:r>
        <w:rPr>
          <w:noProof/>
        </w:rPr>
        <w:fldChar w:fldCharType="separate"/>
      </w:r>
      <w:r w:rsidR="00492676">
        <w:rPr>
          <w:noProof/>
        </w:rPr>
        <w:t>46</w:t>
      </w:r>
      <w:r>
        <w:rPr>
          <w:noProof/>
        </w:rPr>
        <w:fldChar w:fldCharType="end"/>
      </w:r>
    </w:p>
    <w:p w14:paraId="32F72849" w14:textId="3B8AD8FD" w:rsidR="007D41D1" w:rsidRDefault="007D41D1">
      <w:pPr>
        <w:pStyle w:val="TOC2"/>
        <w:rPr>
          <w:rFonts w:asciiTheme="minorHAnsi" w:eastAsiaTheme="minorEastAsia" w:hAnsiTheme="minorHAnsi" w:cstheme="minorBidi"/>
          <w:noProof/>
          <w:sz w:val="22"/>
          <w:szCs w:val="22"/>
          <w:lang w:eastAsia="zh-CN" w:bidi="ar-SA"/>
        </w:rPr>
      </w:pPr>
      <w:r>
        <w:rPr>
          <w:noProof/>
        </w:rPr>
        <w:t>References</w:t>
      </w:r>
      <w:r>
        <w:rPr>
          <w:noProof/>
        </w:rPr>
        <w:tab/>
      </w:r>
      <w:r>
        <w:rPr>
          <w:noProof/>
        </w:rPr>
        <w:fldChar w:fldCharType="begin"/>
      </w:r>
      <w:r>
        <w:rPr>
          <w:noProof/>
        </w:rPr>
        <w:instrText xml:space="preserve"> PAGEREF _Toc75939840 \h </w:instrText>
      </w:r>
      <w:r>
        <w:rPr>
          <w:noProof/>
        </w:rPr>
      </w:r>
      <w:r>
        <w:rPr>
          <w:noProof/>
        </w:rPr>
        <w:fldChar w:fldCharType="separate"/>
      </w:r>
      <w:r w:rsidR="00492676">
        <w:rPr>
          <w:noProof/>
        </w:rPr>
        <w:t>47</w:t>
      </w:r>
      <w:r>
        <w:rPr>
          <w:noProof/>
        </w:rPr>
        <w:fldChar w:fldCharType="end"/>
      </w:r>
    </w:p>
    <w:p w14:paraId="4ED1495E" w14:textId="70E810D2" w:rsidR="007D41D1" w:rsidRDefault="007D41D1">
      <w:pPr>
        <w:pStyle w:val="TOC1"/>
        <w:rPr>
          <w:rFonts w:asciiTheme="minorHAnsi" w:eastAsiaTheme="minorEastAsia" w:hAnsiTheme="minorHAnsi" w:cstheme="minorBidi"/>
          <w:b w:val="0"/>
          <w:bCs w:val="0"/>
          <w:sz w:val="22"/>
          <w:szCs w:val="22"/>
          <w:lang w:eastAsia="zh-CN" w:bidi="ar-SA"/>
        </w:rPr>
      </w:pPr>
      <w:r>
        <w:t>Chapter 3 Cross-evaluation of Ground-based, Satellite and Land Surface Model Soil Moisture Products through the Triple Collocation Method across Oklahoma</w:t>
      </w:r>
      <w:r>
        <w:tab/>
      </w:r>
      <w:r>
        <w:fldChar w:fldCharType="begin"/>
      </w:r>
      <w:r>
        <w:instrText xml:space="preserve"> PAGEREF _Toc75939841 \h </w:instrText>
      </w:r>
      <w:r>
        <w:fldChar w:fldCharType="separate"/>
      </w:r>
      <w:r w:rsidR="00492676">
        <w:t>51</w:t>
      </w:r>
      <w:r>
        <w:fldChar w:fldCharType="end"/>
      </w:r>
    </w:p>
    <w:p w14:paraId="4DF8749D" w14:textId="7E63B835" w:rsidR="007D41D1" w:rsidRDefault="007D41D1">
      <w:pPr>
        <w:pStyle w:val="TOC2"/>
        <w:rPr>
          <w:rFonts w:asciiTheme="minorHAnsi" w:eastAsiaTheme="minorEastAsia" w:hAnsiTheme="minorHAnsi" w:cstheme="minorBidi"/>
          <w:noProof/>
          <w:sz w:val="22"/>
          <w:szCs w:val="22"/>
          <w:lang w:eastAsia="zh-CN" w:bidi="ar-SA"/>
        </w:rPr>
      </w:pPr>
      <w:r>
        <w:rPr>
          <w:noProof/>
        </w:rPr>
        <w:t>Abstract</w:t>
      </w:r>
      <w:r>
        <w:rPr>
          <w:noProof/>
        </w:rPr>
        <w:tab/>
      </w:r>
      <w:r>
        <w:rPr>
          <w:noProof/>
        </w:rPr>
        <w:fldChar w:fldCharType="begin"/>
      </w:r>
      <w:r>
        <w:rPr>
          <w:noProof/>
        </w:rPr>
        <w:instrText xml:space="preserve"> PAGEREF _Toc75939842 \h </w:instrText>
      </w:r>
      <w:r>
        <w:rPr>
          <w:noProof/>
        </w:rPr>
      </w:r>
      <w:r>
        <w:rPr>
          <w:noProof/>
        </w:rPr>
        <w:fldChar w:fldCharType="separate"/>
      </w:r>
      <w:r w:rsidR="00492676">
        <w:rPr>
          <w:noProof/>
        </w:rPr>
        <w:t>51</w:t>
      </w:r>
      <w:r>
        <w:rPr>
          <w:noProof/>
        </w:rPr>
        <w:fldChar w:fldCharType="end"/>
      </w:r>
    </w:p>
    <w:p w14:paraId="4F9E803A" w14:textId="3260EB48" w:rsidR="007D41D1" w:rsidRDefault="007D41D1">
      <w:pPr>
        <w:pStyle w:val="TOC2"/>
        <w:rPr>
          <w:rFonts w:asciiTheme="minorHAnsi" w:eastAsiaTheme="minorEastAsia" w:hAnsiTheme="minorHAnsi" w:cstheme="minorBidi"/>
          <w:noProof/>
          <w:sz w:val="22"/>
          <w:szCs w:val="22"/>
          <w:lang w:eastAsia="zh-CN" w:bidi="ar-SA"/>
        </w:rPr>
      </w:pPr>
      <w:r>
        <w:rPr>
          <w:noProof/>
        </w:rPr>
        <w:t>3.1 Introduction</w:t>
      </w:r>
      <w:r>
        <w:rPr>
          <w:noProof/>
        </w:rPr>
        <w:tab/>
      </w:r>
      <w:r>
        <w:rPr>
          <w:noProof/>
        </w:rPr>
        <w:fldChar w:fldCharType="begin"/>
      </w:r>
      <w:r>
        <w:rPr>
          <w:noProof/>
        </w:rPr>
        <w:instrText xml:space="preserve"> PAGEREF _Toc75939843 \h </w:instrText>
      </w:r>
      <w:r>
        <w:rPr>
          <w:noProof/>
        </w:rPr>
      </w:r>
      <w:r>
        <w:rPr>
          <w:noProof/>
        </w:rPr>
        <w:fldChar w:fldCharType="separate"/>
      </w:r>
      <w:r w:rsidR="00492676">
        <w:rPr>
          <w:noProof/>
        </w:rPr>
        <w:t>52</w:t>
      </w:r>
      <w:r>
        <w:rPr>
          <w:noProof/>
        </w:rPr>
        <w:fldChar w:fldCharType="end"/>
      </w:r>
    </w:p>
    <w:p w14:paraId="0EAA1F12" w14:textId="63DAF618" w:rsidR="007D41D1" w:rsidRDefault="007D41D1">
      <w:pPr>
        <w:pStyle w:val="TOC2"/>
        <w:rPr>
          <w:rFonts w:asciiTheme="minorHAnsi" w:eastAsiaTheme="minorEastAsia" w:hAnsiTheme="minorHAnsi" w:cstheme="minorBidi"/>
          <w:noProof/>
          <w:sz w:val="22"/>
          <w:szCs w:val="22"/>
          <w:lang w:eastAsia="zh-CN" w:bidi="ar-SA"/>
        </w:rPr>
      </w:pPr>
      <w:r>
        <w:rPr>
          <w:noProof/>
        </w:rPr>
        <w:t>3.2 Data Sources</w:t>
      </w:r>
      <w:r>
        <w:rPr>
          <w:noProof/>
        </w:rPr>
        <w:tab/>
      </w:r>
      <w:r>
        <w:rPr>
          <w:noProof/>
        </w:rPr>
        <w:fldChar w:fldCharType="begin"/>
      </w:r>
      <w:r>
        <w:rPr>
          <w:noProof/>
        </w:rPr>
        <w:instrText xml:space="preserve"> PAGEREF _Toc75939844 \h </w:instrText>
      </w:r>
      <w:r>
        <w:rPr>
          <w:noProof/>
        </w:rPr>
      </w:r>
      <w:r>
        <w:rPr>
          <w:noProof/>
        </w:rPr>
        <w:fldChar w:fldCharType="separate"/>
      </w:r>
      <w:r w:rsidR="00492676">
        <w:rPr>
          <w:noProof/>
        </w:rPr>
        <w:t>55</w:t>
      </w:r>
      <w:r>
        <w:rPr>
          <w:noProof/>
        </w:rPr>
        <w:fldChar w:fldCharType="end"/>
      </w:r>
    </w:p>
    <w:p w14:paraId="2F769B87" w14:textId="7C00938E" w:rsidR="007D41D1" w:rsidRDefault="007D41D1">
      <w:pPr>
        <w:pStyle w:val="TOC3"/>
        <w:rPr>
          <w:rFonts w:asciiTheme="minorHAnsi" w:eastAsiaTheme="minorEastAsia" w:hAnsiTheme="minorHAnsi" w:cstheme="minorBidi"/>
          <w:noProof/>
          <w:sz w:val="22"/>
          <w:szCs w:val="22"/>
          <w:lang w:eastAsia="zh-CN" w:bidi="ar-SA"/>
        </w:rPr>
      </w:pPr>
      <w:r>
        <w:rPr>
          <w:noProof/>
        </w:rPr>
        <w:lastRenderedPageBreak/>
        <w:t>3.2.1 Satellite soil moisture product: SMAP L3_SM_P_E</w:t>
      </w:r>
      <w:r>
        <w:rPr>
          <w:noProof/>
        </w:rPr>
        <w:tab/>
      </w:r>
      <w:r>
        <w:rPr>
          <w:noProof/>
        </w:rPr>
        <w:fldChar w:fldCharType="begin"/>
      </w:r>
      <w:r>
        <w:rPr>
          <w:noProof/>
        </w:rPr>
        <w:instrText xml:space="preserve"> PAGEREF _Toc75939845 \h </w:instrText>
      </w:r>
      <w:r>
        <w:rPr>
          <w:noProof/>
        </w:rPr>
      </w:r>
      <w:r>
        <w:rPr>
          <w:noProof/>
        </w:rPr>
        <w:fldChar w:fldCharType="separate"/>
      </w:r>
      <w:r w:rsidR="00492676">
        <w:rPr>
          <w:noProof/>
        </w:rPr>
        <w:t>55</w:t>
      </w:r>
      <w:r>
        <w:rPr>
          <w:noProof/>
        </w:rPr>
        <w:fldChar w:fldCharType="end"/>
      </w:r>
    </w:p>
    <w:p w14:paraId="74396767" w14:textId="0149028C" w:rsidR="007D41D1" w:rsidRDefault="007D41D1">
      <w:pPr>
        <w:pStyle w:val="TOC3"/>
        <w:rPr>
          <w:rFonts w:asciiTheme="minorHAnsi" w:eastAsiaTheme="minorEastAsia" w:hAnsiTheme="minorHAnsi" w:cstheme="minorBidi"/>
          <w:noProof/>
          <w:sz w:val="22"/>
          <w:szCs w:val="22"/>
          <w:lang w:eastAsia="zh-CN" w:bidi="ar-SA"/>
        </w:rPr>
      </w:pPr>
      <w:r>
        <w:rPr>
          <w:noProof/>
        </w:rPr>
        <w:t>3.2.2 Model-based soil moisture product: NLDAS_NOAH0125_H</w:t>
      </w:r>
      <w:r>
        <w:rPr>
          <w:noProof/>
        </w:rPr>
        <w:tab/>
      </w:r>
      <w:r>
        <w:rPr>
          <w:noProof/>
        </w:rPr>
        <w:fldChar w:fldCharType="begin"/>
      </w:r>
      <w:r>
        <w:rPr>
          <w:noProof/>
        </w:rPr>
        <w:instrText xml:space="preserve"> PAGEREF _Toc75939846 \h </w:instrText>
      </w:r>
      <w:r>
        <w:rPr>
          <w:noProof/>
        </w:rPr>
      </w:r>
      <w:r>
        <w:rPr>
          <w:noProof/>
        </w:rPr>
        <w:fldChar w:fldCharType="separate"/>
      </w:r>
      <w:r w:rsidR="00492676">
        <w:rPr>
          <w:noProof/>
        </w:rPr>
        <w:t>56</w:t>
      </w:r>
      <w:r>
        <w:rPr>
          <w:noProof/>
        </w:rPr>
        <w:fldChar w:fldCharType="end"/>
      </w:r>
    </w:p>
    <w:p w14:paraId="5940C0B2" w14:textId="5D6697DF" w:rsidR="007D41D1" w:rsidRDefault="007D41D1">
      <w:pPr>
        <w:pStyle w:val="TOC3"/>
        <w:rPr>
          <w:rFonts w:asciiTheme="minorHAnsi" w:eastAsiaTheme="minorEastAsia" w:hAnsiTheme="minorHAnsi" w:cstheme="minorBidi"/>
          <w:noProof/>
          <w:sz w:val="22"/>
          <w:szCs w:val="22"/>
          <w:lang w:eastAsia="zh-CN" w:bidi="ar-SA"/>
        </w:rPr>
      </w:pPr>
      <w:r>
        <w:rPr>
          <w:noProof/>
        </w:rPr>
        <w:t>3.2.3 In situ soil moisture product: the Oklahoma Mesonet</w:t>
      </w:r>
      <w:r>
        <w:rPr>
          <w:noProof/>
        </w:rPr>
        <w:tab/>
      </w:r>
      <w:r>
        <w:rPr>
          <w:noProof/>
        </w:rPr>
        <w:fldChar w:fldCharType="begin"/>
      </w:r>
      <w:r>
        <w:rPr>
          <w:noProof/>
        </w:rPr>
        <w:instrText xml:space="preserve"> PAGEREF _Toc75939847 \h </w:instrText>
      </w:r>
      <w:r>
        <w:rPr>
          <w:noProof/>
        </w:rPr>
      </w:r>
      <w:r>
        <w:rPr>
          <w:noProof/>
        </w:rPr>
        <w:fldChar w:fldCharType="separate"/>
      </w:r>
      <w:r w:rsidR="00492676">
        <w:rPr>
          <w:noProof/>
        </w:rPr>
        <w:t>57</w:t>
      </w:r>
      <w:r>
        <w:rPr>
          <w:noProof/>
        </w:rPr>
        <w:fldChar w:fldCharType="end"/>
      </w:r>
    </w:p>
    <w:p w14:paraId="242D4442" w14:textId="15AB7967" w:rsidR="007D41D1" w:rsidRDefault="007D41D1">
      <w:pPr>
        <w:pStyle w:val="TOC3"/>
        <w:rPr>
          <w:rFonts w:asciiTheme="minorHAnsi" w:eastAsiaTheme="minorEastAsia" w:hAnsiTheme="minorHAnsi" w:cstheme="minorBidi"/>
          <w:noProof/>
          <w:sz w:val="22"/>
          <w:szCs w:val="22"/>
          <w:lang w:eastAsia="zh-CN" w:bidi="ar-SA"/>
        </w:rPr>
      </w:pPr>
      <w:r>
        <w:rPr>
          <w:noProof/>
        </w:rPr>
        <w:t>3.2.4 Auxiliary Data</w:t>
      </w:r>
      <w:r>
        <w:rPr>
          <w:noProof/>
        </w:rPr>
        <w:tab/>
      </w:r>
      <w:r>
        <w:rPr>
          <w:noProof/>
        </w:rPr>
        <w:fldChar w:fldCharType="begin"/>
      </w:r>
      <w:r>
        <w:rPr>
          <w:noProof/>
        </w:rPr>
        <w:instrText xml:space="preserve"> PAGEREF _Toc75939848 \h </w:instrText>
      </w:r>
      <w:r>
        <w:rPr>
          <w:noProof/>
        </w:rPr>
      </w:r>
      <w:r>
        <w:rPr>
          <w:noProof/>
        </w:rPr>
        <w:fldChar w:fldCharType="separate"/>
      </w:r>
      <w:r w:rsidR="00492676">
        <w:rPr>
          <w:noProof/>
        </w:rPr>
        <w:t>58</w:t>
      </w:r>
      <w:r>
        <w:rPr>
          <w:noProof/>
        </w:rPr>
        <w:fldChar w:fldCharType="end"/>
      </w:r>
    </w:p>
    <w:p w14:paraId="77A05869" w14:textId="07F6D500" w:rsidR="007D41D1" w:rsidRDefault="007D41D1">
      <w:pPr>
        <w:pStyle w:val="TOC2"/>
        <w:rPr>
          <w:rFonts w:asciiTheme="minorHAnsi" w:eastAsiaTheme="minorEastAsia" w:hAnsiTheme="minorHAnsi" w:cstheme="minorBidi"/>
          <w:noProof/>
          <w:sz w:val="22"/>
          <w:szCs w:val="22"/>
          <w:lang w:eastAsia="zh-CN" w:bidi="ar-SA"/>
        </w:rPr>
      </w:pPr>
      <w:r>
        <w:rPr>
          <w:noProof/>
        </w:rPr>
        <w:t>3.3 Data Processing and the Triple Collocation Method</w:t>
      </w:r>
      <w:r>
        <w:rPr>
          <w:noProof/>
        </w:rPr>
        <w:tab/>
      </w:r>
      <w:r>
        <w:rPr>
          <w:noProof/>
        </w:rPr>
        <w:fldChar w:fldCharType="begin"/>
      </w:r>
      <w:r>
        <w:rPr>
          <w:noProof/>
        </w:rPr>
        <w:instrText xml:space="preserve"> PAGEREF _Toc75939849 \h </w:instrText>
      </w:r>
      <w:r>
        <w:rPr>
          <w:noProof/>
        </w:rPr>
      </w:r>
      <w:r>
        <w:rPr>
          <w:noProof/>
        </w:rPr>
        <w:fldChar w:fldCharType="separate"/>
      </w:r>
      <w:r w:rsidR="00492676">
        <w:rPr>
          <w:noProof/>
        </w:rPr>
        <w:t>60</w:t>
      </w:r>
      <w:r>
        <w:rPr>
          <w:noProof/>
        </w:rPr>
        <w:fldChar w:fldCharType="end"/>
      </w:r>
    </w:p>
    <w:p w14:paraId="5D6CBC70" w14:textId="38A15AE4" w:rsidR="007D41D1" w:rsidRDefault="007D41D1">
      <w:pPr>
        <w:pStyle w:val="TOC3"/>
        <w:rPr>
          <w:rFonts w:asciiTheme="minorHAnsi" w:eastAsiaTheme="minorEastAsia" w:hAnsiTheme="minorHAnsi" w:cstheme="minorBidi"/>
          <w:noProof/>
          <w:sz w:val="22"/>
          <w:szCs w:val="22"/>
          <w:lang w:eastAsia="zh-CN" w:bidi="ar-SA"/>
        </w:rPr>
      </w:pPr>
      <w:r>
        <w:rPr>
          <w:noProof/>
        </w:rPr>
        <w:t>3.3.1 Data processing</w:t>
      </w:r>
      <w:r>
        <w:rPr>
          <w:noProof/>
        </w:rPr>
        <w:tab/>
      </w:r>
      <w:r>
        <w:rPr>
          <w:noProof/>
        </w:rPr>
        <w:fldChar w:fldCharType="begin"/>
      </w:r>
      <w:r>
        <w:rPr>
          <w:noProof/>
        </w:rPr>
        <w:instrText xml:space="preserve"> PAGEREF _Toc75939850 \h </w:instrText>
      </w:r>
      <w:r>
        <w:rPr>
          <w:noProof/>
        </w:rPr>
      </w:r>
      <w:r>
        <w:rPr>
          <w:noProof/>
        </w:rPr>
        <w:fldChar w:fldCharType="separate"/>
      </w:r>
      <w:r w:rsidR="00492676">
        <w:rPr>
          <w:noProof/>
        </w:rPr>
        <w:t>60</w:t>
      </w:r>
      <w:r>
        <w:rPr>
          <w:noProof/>
        </w:rPr>
        <w:fldChar w:fldCharType="end"/>
      </w:r>
    </w:p>
    <w:p w14:paraId="2F85FE1D" w14:textId="2E9076DA" w:rsidR="007D41D1" w:rsidRDefault="007D41D1">
      <w:pPr>
        <w:pStyle w:val="TOC3"/>
        <w:rPr>
          <w:rFonts w:asciiTheme="minorHAnsi" w:eastAsiaTheme="minorEastAsia" w:hAnsiTheme="minorHAnsi" w:cstheme="minorBidi"/>
          <w:noProof/>
          <w:sz w:val="22"/>
          <w:szCs w:val="22"/>
          <w:lang w:eastAsia="zh-CN" w:bidi="ar-SA"/>
        </w:rPr>
      </w:pPr>
      <w:r>
        <w:rPr>
          <w:noProof/>
        </w:rPr>
        <w:t>3.3.2 Classical Triple Collocation</w:t>
      </w:r>
      <w:r>
        <w:rPr>
          <w:noProof/>
        </w:rPr>
        <w:tab/>
      </w:r>
      <w:r>
        <w:rPr>
          <w:noProof/>
        </w:rPr>
        <w:fldChar w:fldCharType="begin"/>
      </w:r>
      <w:r>
        <w:rPr>
          <w:noProof/>
        </w:rPr>
        <w:instrText xml:space="preserve"> PAGEREF _Toc75939851 \h </w:instrText>
      </w:r>
      <w:r>
        <w:rPr>
          <w:noProof/>
        </w:rPr>
      </w:r>
      <w:r>
        <w:rPr>
          <w:noProof/>
        </w:rPr>
        <w:fldChar w:fldCharType="separate"/>
      </w:r>
      <w:r w:rsidR="00492676">
        <w:rPr>
          <w:noProof/>
        </w:rPr>
        <w:t>61</w:t>
      </w:r>
      <w:r>
        <w:rPr>
          <w:noProof/>
        </w:rPr>
        <w:fldChar w:fldCharType="end"/>
      </w:r>
    </w:p>
    <w:p w14:paraId="427267D1" w14:textId="7998C7B4" w:rsidR="007D41D1" w:rsidRDefault="007D41D1">
      <w:pPr>
        <w:pStyle w:val="TOC3"/>
        <w:rPr>
          <w:rFonts w:asciiTheme="minorHAnsi" w:eastAsiaTheme="minorEastAsia" w:hAnsiTheme="minorHAnsi" w:cstheme="minorBidi"/>
          <w:noProof/>
          <w:sz w:val="22"/>
          <w:szCs w:val="22"/>
          <w:lang w:eastAsia="zh-CN" w:bidi="ar-SA"/>
        </w:rPr>
      </w:pPr>
      <w:r>
        <w:rPr>
          <w:noProof/>
        </w:rPr>
        <w:t>3.3.3 Extended Triple Collocation</w:t>
      </w:r>
      <w:r>
        <w:rPr>
          <w:noProof/>
        </w:rPr>
        <w:tab/>
      </w:r>
      <w:r>
        <w:rPr>
          <w:noProof/>
        </w:rPr>
        <w:fldChar w:fldCharType="begin"/>
      </w:r>
      <w:r>
        <w:rPr>
          <w:noProof/>
        </w:rPr>
        <w:instrText xml:space="preserve"> PAGEREF _Toc75939852 \h </w:instrText>
      </w:r>
      <w:r>
        <w:rPr>
          <w:noProof/>
        </w:rPr>
      </w:r>
      <w:r>
        <w:rPr>
          <w:noProof/>
        </w:rPr>
        <w:fldChar w:fldCharType="separate"/>
      </w:r>
      <w:r w:rsidR="00492676">
        <w:rPr>
          <w:noProof/>
        </w:rPr>
        <w:t>64</w:t>
      </w:r>
      <w:r>
        <w:rPr>
          <w:noProof/>
        </w:rPr>
        <w:fldChar w:fldCharType="end"/>
      </w:r>
    </w:p>
    <w:p w14:paraId="3A058921" w14:textId="20CF7763" w:rsidR="007D41D1" w:rsidRDefault="007D41D1">
      <w:pPr>
        <w:pStyle w:val="TOC3"/>
        <w:rPr>
          <w:rFonts w:asciiTheme="minorHAnsi" w:eastAsiaTheme="minorEastAsia" w:hAnsiTheme="minorHAnsi" w:cstheme="minorBidi"/>
          <w:noProof/>
          <w:sz w:val="22"/>
          <w:szCs w:val="22"/>
          <w:lang w:eastAsia="zh-CN" w:bidi="ar-SA"/>
        </w:rPr>
      </w:pPr>
      <w:r>
        <w:rPr>
          <w:noProof/>
        </w:rPr>
        <w:t>3.3.4 Use of the Classical and Extended Triple Collocation for the Three Testing Products</w:t>
      </w:r>
      <w:r>
        <w:rPr>
          <w:noProof/>
        </w:rPr>
        <w:tab/>
      </w:r>
      <w:r>
        <w:rPr>
          <w:noProof/>
        </w:rPr>
        <w:fldChar w:fldCharType="begin"/>
      </w:r>
      <w:r>
        <w:rPr>
          <w:noProof/>
        </w:rPr>
        <w:instrText xml:space="preserve"> PAGEREF _Toc75939853 \h </w:instrText>
      </w:r>
      <w:r>
        <w:rPr>
          <w:noProof/>
        </w:rPr>
      </w:r>
      <w:r>
        <w:rPr>
          <w:noProof/>
        </w:rPr>
        <w:fldChar w:fldCharType="separate"/>
      </w:r>
      <w:r w:rsidR="00492676">
        <w:rPr>
          <w:noProof/>
        </w:rPr>
        <w:t>64</w:t>
      </w:r>
      <w:r>
        <w:rPr>
          <w:noProof/>
        </w:rPr>
        <w:fldChar w:fldCharType="end"/>
      </w:r>
    </w:p>
    <w:p w14:paraId="016A866B" w14:textId="4389D9D3" w:rsidR="007D41D1" w:rsidRDefault="007D41D1">
      <w:pPr>
        <w:pStyle w:val="TOC2"/>
        <w:rPr>
          <w:rFonts w:asciiTheme="minorHAnsi" w:eastAsiaTheme="minorEastAsia" w:hAnsiTheme="minorHAnsi" w:cstheme="minorBidi"/>
          <w:noProof/>
          <w:sz w:val="22"/>
          <w:szCs w:val="22"/>
          <w:lang w:eastAsia="zh-CN" w:bidi="ar-SA"/>
        </w:rPr>
      </w:pPr>
      <w:r>
        <w:rPr>
          <w:noProof/>
        </w:rPr>
        <w:t>3.4 Results</w:t>
      </w:r>
      <w:r>
        <w:rPr>
          <w:noProof/>
        </w:rPr>
        <w:tab/>
      </w:r>
      <w:r>
        <w:rPr>
          <w:noProof/>
        </w:rPr>
        <w:fldChar w:fldCharType="begin"/>
      </w:r>
      <w:r>
        <w:rPr>
          <w:noProof/>
        </w:rPr>
        <w:instrText xml:space="preserve"> PAGEREF _Toc75939854 \h </w:instrText>
      </w:r>
      <w:r>
        <w:rPr>
          <w:noProof/>
        </w:rPr>
      </w:r>
      <w:r>
        <w:rPr>
          <w:noProof/>
        </w:rPr>
        <w:fldChar w:fldCharType="separate"/>
      </w:r>
      <w:r w:rsidR="00492676">
        <w:rPr>
          <w:noProof/>
        </w:rPr>
        <w:t>66</w:t>
      </w:r>
      <w:r>
        <w:rPr>
          <w:noProof/>
        </w:rPr>
        <w:fldChar w:fldCharType="end"/>
      </w:r>
    </w:p>
    <w:p w14:paraId="6EB358A9" w14:textId="457C83FC" w:rsidR="007D41D1" w:rsidRDefault="007D41D1">
      <w:pPr>
        <w:pStyle w:val="TOC3"/>
        <w:rPr>
          <w:rFonts w:asciiTheme="minorHAnsi" w:eastAsiaTheme="minorEastAsia" w:hAnsiTheme="minorHAnsi" w:cstheme="minorBidi"/>
          <w:noProof/>
          <w:sz w:val="22"/>
          <w:szCs w:val="22"/>
          <w:lang w:eastAsia="zh-CN" w:bidi="ar-SA"/>
        </w:rPr>
      </w:pPr>
      <w:r>
        <w:rPr>
          <w:noProof/>
        </w:rPr>
        <w:t>3.4.1 Sub-daily Product Inter-comparison of Soil Moisture Values</w:t>
      </w:r>
      <w:r>
        <w:rPr>
          <w:noProof/>
        </w:rPr>
        <w:tab/>
      </w:r>
      <w:r>
        <w:rPr>
          <w:noProof/>
        </w:rPr>
        <w:fldChar w:fldCharType="begin"/>
      </w:r>
      <w:r>
        <w:rPr>
          <w:noProof/>
        </w:rPr>
        <w:instrText xml:space="preserve"> PAGEREF _Toc75939855 \h </w:instrText>
      </w:r>
      <w:r>
        <w:rPr>
          <w:noProof/>
        </w:rPr>
      </w:r>
      <w:r>
        <w:rPr>
          <w:noProof/>
        </w:rPr>
        <w:fldChar w:fldCharType="separate"/>
      </w:r>
      <w:r w:rsidR="00492676">
        <w:rPr>
          <w:noProof/>
        </w:rPr>
        <w:t>66</w:t>
      </w:r>
      <w:r>
        <w:rPr>
          <w:noProof/>
        </w:rPr>
        <w:fldChar w:fldCharType="end"/>
      </w:r>
    </w:p>
    <w:p w14:paraId="715D4886" w14:textId="35A02A29" w:rsidR="007D41D1" w:rsidRDefault="007D41D1">
      <w:pPr>
        <w:pStyle w:val="TOC3"/>
        <w:rPr>
          <w:rFonts w:asciiTheme="minorHAnsi" w:eastAsiaTheme="minorEastAsia" w:hAnsiTheme="minorHAnsi" w:cstheme="minorBidi"/>
          <w:noProof/>
          <w:sz w:val="22"/>
          <w:szCs w:val="22"/>
          <w:lang w:eastAsia="zh-CN" w:bidi="ar-SA"/>
        </w:rPr>
      </w:pPr>
      <w:r>
        <w:rPr>
          <w:noProof/>
        </w:rPr>
        <w:t>3.4.2 Seasonally-integrated Product Intercomparison of Soil moisture Values</w:t>
      </w:r>
      <w:r>
        <w:rPr>
          <w:noProof/>
        </w:rPr>
        <w:tab/>
      </w:r>
      <w:r>
        <w:rPr>
          <w:noProof/>
        </w:rPr>
        <w:fldChar w:fldCharType="begin"/>
      </w:r>
      <w:r>
        <w:rPr>
          <w:noProof/>
        </w:rPr>
        <w:instrText xml:space="preserve"> PAGEREF _Toc75939856 \h </w:instrText>
      </w:r>
      <w:r>
        <w:rPr>
          <w:noProof/>
        </w:rPr>
      </w:r>
      <w:r>
        <w:rPr>
          <w:noProof/>
        </w:rPr>
        <w:fldChar w:fldCharType="separate"/>
      </w:r>
      <w:r w:rsidR="00492676">
        <w:rPr>
          <w:noProof/>
        </w:rPr>
        <w:t>69</w:t>
      </w:r>
      <w:r>
        <w:rPr>
          <w:noProof/>
        </w:rPr>
        <w:fldChar w:fldCharType="end"/>
      </w:r>
    </w:p>
    <w:p w14:paraId="22B42F19" w14:textId="6EBAA9AE" w:rsidR="007D41D1" w:rsidRDefault="007D41D1">
      <w:pPr>
        <w:pStyle w:val="TOC3"/>
        <w:rPr>
          <w:rFonts w:asciiTheme="minorHAnsi" w:eastAsiaTheme="minorEastAsia" w:hAnsiTheme="minorHAnsi" w:cstheme="minorBidi"/>
          <w:noProof/>
          <w:sz w:val="22"/>
          <w:szCs w:val="22"/>
          <w:lang w:eastAsia="zh-CN" w:bidi="ar-SA"/>
        </w:rPr>
      </w:pPr>
      <w:r>
        <w:rPr>
          <w:noProof/>
        </w:rPr>
        <w:t>3.4.3 Sub-daily Soil Moisture Product Inter-comparison by Land Cover Type</w:t>
      </w:r>
      <w:r>
        <w:rPr>
          <w:noProof/>
        </w:rPr>
        <w:tab/>
      </w:r>
      <w:r>
        <w:rPr>
          <w:noProof/>
        </w:rPr>
        <w:fldChar w:fldCharType="begin"/>
      </w:r>
      <w:r>
        <w:rPr>
          <w:noProof/>
        </w:rPr>
        <w:instrText xml:space="preserve"> PAGEREF _Toc75939857 \h </w:instrText>
      </w:r>
      <w:r>
        <w:rPr>
          <w:noProof/>
        </w:rPr>
      </w:r>
      <w:r>
        <w:rPr>
          <w:noProof/>
        </w:rPr>
        <w:fldChar w:fldCharType="separate"/>
      </w:r>
      <w:r w:rsidR="00492676">
        <w:rPr>
          <w:noProof/>
        </w:rPr>
        <w:t>78</w:t>
      </w:r>
      <w:r>
        <w:rPr>
          <w:noProof/>
        </w:rPr>
        <w:fldChar w:fldCharType="end"/>
      </w:r>
    </w:p>
    <w:p w14:paraId="757F93A4" w14:textId="17697AD1" w:rsidR="007D41D1" w:rsidRDefault="007D41D1">
      <w:pPr>
        <w:pStyle w:val="TOC2"/>
        <w:rPr>
          <w:rFonts w:asciiTheme="minorHAnsi" w:eastAsiaTheme="minorEastAsia" w:hAnsiTheme="minorHAnsi" w:cstheme="minorBidi"/>
          <w:noProof/>
          <w:sz w:val="22"/>
          <w:szCs w:val="22"/>
          <w:lang w:eastAsia="zh-CN" w:bidi="ar-SA"/>
        </w:rPr>
      </w:pPr>
      <w:r>
        <w:rPr>
          <w:noProof/>
        </w:rPr>
        <w:t>3.5 Discussion</w:t>
      </w:r>
      <w:r>
        <w:rPr>
          <w:noProof/>
        </w:rPr>
        <w:tab/>
      </w:r>
      <w:r>
        <w:rPr>
          <w:noProof/>
        </w:rPr>
        <w:fldChar w:fldCharType="begin"/>
      </w:r>
      <w:r>
        <w:rPr>
          <w:noProof/>
        </w:rPr>
        <w:instrText xml:space="preserve"> PAGEREF _Toc75939858 \h </w:instrText>
      </w:r>
      <w:r>
        <w:rPr>
          <w:noProof/>
        </w:rPr>
      </w:r>
      <w:r>
        <w:rPr>
          <w:noProof/>
        </w:rPr>
        <w:fldChar w:fldCharType="separate"/>
      </w:r>
      <w:r w:rsidR="00492676">
        <w:rPr>
          <w:noProof/>
        </w:rPr>
        <w:t>84</w:t>
      </w:r>
      <w:r>
        <w:rPr>
          <w:noProof/>
        </w:rPr>
        <w:fldChar w:fldCharType="end"/>
      </w:r>
    </w:p>
    <w:p w14:paraId="3A4FF84F" w14:textId="48D20691" w:rsidR="007D41D1" w:rsidRDefault="007D41D1">
      <w:pPr>
        <w:pStyle w:val="TOC2"/>
        <w:rPr>
          <w:rFonts w:asciiTheme="minorHAnsi" w:eastAsiaTheme="minorEastAsia" w:hAnsiTheme="minorHAnsi" w:cstheme="minorBidi"/>
          <w:noProof/>
          <w:sz w:val="22"/>
          <w:szCs w:val="22"/>
          <w:lang w:eastAsia="zh-CN" w:bidi="ar-SA"/>
        </w:rPr>
      </w:pPr>
      <w:r>
        <w:rPr>
          <w:noProof/>
        </w:rPr>
        <w:t>3.6 Conclusions</w:t>
      </w:r>
      <w:r>
        <w:rPr>
          <w:noProof/>
        </w:rPr>
        <w:tab/>
      </w:r>
      <w:r>
        <w:rPr>
          <w:noProof/>
        </w:rPr>
        <w:fldChar w:fldCharType="begin"/>
      </w:r>
      <w:r>
        <w:rPr>
          <w:noProof/>
        </w:rPr>
        <w:instrText xml:space="preserve"> PAGEREF _Toc75939859 \h </w:instrText>
      </w:r>
      <w:r>
        <w:rPr>
          <w:noProof/>
        </w:rPr>
      </w:r>
      <w:r>
        <w:rPr>
          <w:noProof/>
        </w:rPr>
        <w:fldChar w:fldCharType="separate"/>
      </w:r>
      <w:r w:rsidR="00492676">
        <w:rPr>
          <w:noProof/>
        </w:rPr>
        <w:t>87</w:t>
      </w:r>
      <w:r>
        <w:rPr>
          <w:noProof/>
        </w:rPr>
        <w:fldChar w:fldCharType="end"/>
      </w:r>
    </w:p>
    <w:p w14:paraId="28F5C0BF" w14:textId="4C340830" w:rsidR="007D41D1" w:rsidRDefault="007D41D1">
      <w:pPr>
        <w:pStyle w:val="TOC2"/>
        <w:rPr>
          <w:rFonts w:asciiTheme="minorHAnsi" w:eastAsiaTheme="minorEastAsia" w:hAnsiTheme="minorHAnsi" w:cstheme="minorBidi"/>
          <w:noProof/>
          <w:sz w:val="22"/>
          <w:szCs w:val="22"/>
          <w:lang w:eastAsia="zh-CN" w:bidi="ar-SA"/>
        </w:rPr>
      </w:pPr>
      <w:r>
        <w:rPr>
          <w:noProof/>
        </w:rPr>
        <w:t>References</w:t>
      </w:r>
      <w:r>
        <w:rPr>
          <w:noProof/>
        </w:rPr>
        <w:tab/>
      </w:r>
      <w:r>
        <w:rPr>
          <w:noProof/>
        </w:rPr>
        <w:fldChar w:fldCharType="begin"/>
      </w:r>
      <w:r>
        <w:rPr>
          <w:noProof/>
        </w:rPr>
        <w:instrText xml:space="preserve"> PAGEREF _Toc75939860 \h </w:instrText>
      </w:r>
      <w:r>
        <w:rPr>
          <w:noProof/>
        </w:rPr>
      </w:r>
      <w:r>
        <w:rPr>
          <w:noProof/>
        </w:rPr>
        <w:fldChar w:fldCharType="separate"/>
      </w:r>
      <w:r w:rsidR="00492676">
        <w:rPr>
          <w:noProof/>
        </w:rPr>
        <w:t>89</w:t>
      </w:r>
      <w:r>
        <w:rPr>
          <w:noProof/>
        </w:rPr>
        <w:fldChar w:fldCharType="end"/>
      </w:r>
    </w:p>
    <w:p w14:paraId="76F03540" w14:textId="222857F1" w:rsidR="007D41D1" w:rsidRDefault="007D41D1">
      <w:pPr>
        <w:pStyle w:val="TOC1"/>
        <w:rPr>
          <w:rFonts w:asciiTheme="minorHAnsi" w:eastAsiaTheme="minorEastAsia" w:hAnsiTheme="minorHAnsi" w:cstheme="minorBidi"/>
          <w:b w:val="0"/>
          <w:bCs w:val="0"/>
          <w:sz w:val="22"/>
          <w:szCs w:val="22"/>
          <w:lang w:eastAsia="zh-CN" w:bidi="ar-SA"/>
        </w:rPr>
      </w:pPr>
      <w:r>
        <w:t>Chapter 4 Triple Collocation-based Merging of Ground-based, Satellite and Land Surface Model Soil Moisture Products</w:t>
      </w:r>
      <w:r>
        <w:tab/>
      </w:r>
      <w:r>
        <w:fldChar w:fldCharType="begin"/>
      </w:r>
      <w:r>
        <w:instrText xml:space="preserve"> PAGEREF _Toc75939861 \h </w:instrText>
      </w:r>
      <w:r>
        <w:fldChar w:fldCharType="separate"/>
      </w:r>
      <w:r w:rsidR="00492676">
        <w:t>104</w:t>
      </w:r>
      <w:r>
        <w:fldChar w:fldCharType="end"/>
      </w:r>
    </w:p>
    <w:p w14:paraId="7837DE98" w14:textId="3F078216" w:rsidR="007D41D1" w:rsidRDefault="007D41D1">
      <w:pPr>
        <w:pStyle w:val="TOC2"/>
        <w:rPr>
          <w:rFonts w:asciiTheme="minorHAnsi" w:eastAsiaTheme="minorEastAsia" w:hAnsiTheme="minorHAnsi" w:cstheme="minorBidi"/>
          <w:noProof/>
          <w:sz w:val="22"/>
          <w:szCs w:val="22"/>
          <w:lang w:eastAsia="zh-CN" w:bidi="ar-SA"/>
        </w:rPr>
      </w:pPr>
      <w:r>
        <w:rPr>
          <w:noProof/>
        </w:rPr>
        <w:t>Abstract</w:t>
      </w:r>
      <w:r>
        <w:rPr>
          <w:noProof/>
        </w:rPr>
        <w:tab/>
      </w:r>
      <w:r>
        <w:rPr>
          <w:noProof/>
        </w:rPr>
        <w:fldChar w:fldCharType="begin"/>
      </w:r>
      <w:r>
        <w:rPr>
          <w:noProof/>
        </w:rPr>
        <w:instrText xml:space="preserve"> PAGEREF _Toc75939862 \h </w:instrText>
      </w:r>
      <w:r>
        <w:rPr>
          <w:noProof/>
        </w:rPr>
      </w:r>
      <w:r>
        <w:rPr>
          <w:noProof/>
        </w:rPr>
        <w:fldChar w:fldCharType="separate"/>
      </w:r>
      <w:r w:rsidR="00492676">
        <w:rPr>
          <w:noProof/>
        </w:rPr>
        <w:t>104</w:t>
      </w:r>
      <w:r>
        <w:rPr>
          <w:noProof/>
        </w:rPr>
        <w:fldChar w:fldCharType="end"/>
      </w:r>
    </w:p>
    <w:p w14:paraId="12636149" w14:textId="5C757F5B" w:rsidR="007D41D1" w:rsidRDefault="007D41D1">
      <w:pPr>
        <w:pStyle w:val="TOC2"/>
        <w:rPr>
          <w:rFonts w:asciiTheme="minorHAnsi" w:eastAsiaTheme="minorEastAsia" w:hAnsiTheme="minorHAnsi" w:cstheme="minorBidi"/>
          <w:noProof/>
          <w:sz w:val="22"/>
          <w:szCs w:val="22"/>
          <w:lang w:eastAsia="zh-CN" w:bidi="ar-SA"/>
        </w:rPr>
      </w:pPr>
      <w:r>
        <w:rPr>
          <w:noProof/>
        </w:rPr>
        <w:t>4.1 Introduction</w:t>
      </w:r>
      <w:r>
        <w:rPr>
          <w:noProof/>
        </w:rPr>
        <w:tab/>
      </w:r>
      <w:r>
        <w:rPr>
          <w:noProof/>
        </w:rPr>
        <w:fldChar w:fldCharType="begin"/>
      </w:r>
      <w:r>
        <w:rPr>
          <w:noProof/>
        </w:rPr>
        <w:instrText xml:space="preserve"> PAGEREF _Toc75939863 \h </w:instrText>
      </w:r>
      <w:r>
        <w:rPr>
          <w:noProof/>
        </w:rPr>
      </w:r>
      <w:r>
        <w:rPr>
          <w:noProof/>
        </w:rPr>
        <w:fldChar w:fldCharType="separate"/>
      </w:r>
      <w:r w:rsidR="00492676">
        <w:rPr>
          <w:noProof/>
        </w:rPr>
        <w:t>104</w:t>
      </w:r>
      <w:r>
        <w:rPr>
          <w:noProof/>
        </w:rPr>
        <w:fldChar w:fldCharType="end"/>
      </w:r>
    </w:p>
    <w:p w14:paraId="0997EEF0" w14:textId="7E253F17" w:rsidR="007D41D1" w:rsidRDefault="007D41D1">
      <w:pPr>
        <w:pStyle w:val="TOC2"/>
        <w:rPr>
          <w:rFonts w:asciiTheme="minorHAnsi" w:eastAsiaTheme="minorEastAsia" w:hAnsiTheme="minorHAnsi" w:cstheme="minorBidi"/>
          <w:noProof/>
          <w:sz w:val="22"/>
          <w:szCs w:val="22"/>
          <w:lang w:eastAsia="zh-CN" w:bidi="ar-SA"/>
        </w:rPr>
      </w:pPr>
      <w:r>
        <w:rPr>
          <w:noProof/>
        </w:rPr>
        <w:lastRenderedPageBreak/>
        <w:t>4.2 Data Sources</w:t>
      </w:r>
      <w:r>
        <w:rPr>
          <w:noProof/>
        </w:rPr>
        <w:tab/>
      </w:r>
      <w:r>
        <w:rPr>
          <w:noProof/>
        </w:rPr>
        <w:fldChar w:fldCharType="begin"/>
      </w:r>
      <w:r>
        <w:rPr>
          <w:noProof/>
        </w:rPr>
        <w:instrText xml:space="preserve"> PAGEREF _Toc75939864 \h </w:instrText>
      </w:r>
      <w:r>
        <w:rPr>
          <w:noProof/>
        </w:rPr>
      </w:r>
      <w:r>
        <w:rPr>
          <w:noProof/>
        </w:rPr>
        <w:fldChar w:fldCharType="separate"/>
      </w:r>
      <w:r w:rsidR="00492676">
        <w:rPr>
          <w:noProof/>
        </w:rPr>
        <w:t>107</w:t>
      </w:r>
      <w:r>
        <w:rPr>
          <w:noProof/>
        </w:rPr>
        <w:fldChar w:fldCharType="end"/>
      </w:r>
    </w:p>
    <w:p w14:paraId="24B61042" w14:textId="69E66201" w:rsidR="007D41D1" w:rsidRDefault="007D41D1">
      <w:pPr>
        <w:pStyle w:val="TOC3"/>
        <w:rPr>
          <w:rFonts w:asciiTheme="minorHAnsi" w:eastAsiaTheme="minorEastAsia" w:hAnsiTheme="minorHAnsi" w:cstheme="minorBidi"/>
          <w:noProof/>
          <w:sz w:val="22"/>
          <w:szCs w:val="22"/>
          <w:lang w:eastAsia="zh-CN" w:bidi="ar-SA"/>
        </w:rPr>
      </w:pPr>
      <w:r>
        <w:rPr>
          <w:noProof/>
        </w:rPr>
        <w:t>4.2.1 The Automated Soil Moisture Mapping System</w:t>
      </w:r>
      <w:r>
        <w:rPr>
          <w:noProof/>
        </w:rPr>
        <w:tab/>
      </w:r>
      <w:r>
        <w:rPr>
          <w:noProof/>
        </w:rPr>
        <w:fldChar w:fldCharType="begin"/>
      </w:r>
      <w:r>
        <w:rPr>
          <w:noProof/>
        </w:rPr>
        <w:instrText xml:space="preserve"> PAGEREF _Toc75939865 \h </w:instrText>
      </w:r>
      <w:r>
        <w:rPr>
          <w:noProof/>
        </w:rPr>
      </w:r>
      <w:r>
        <w:rPr>
          <w:noProof/>
        </w:rPr>
        <w:fldChar w:fldCharType="separate"/>
      </w:r>
      <w:r w:rsidR="00492676">
        <w:rPr>
          <w:noProof/>
        </w:rPr>
        <w:t>107</w:t>
      </w:r>
      <w:r>
        <w:rPr>
          <w:noProof/>
        </w:rPr>
        <w:fldChar w:fldCharType="end"/>
      </w:r>
    </w:p>
    <w:p w14:paraId="779A67C0" w14:textId="3C90CEEF" w:rsidR="007D41D1" w:rsidRDefault="007D41D1">
      <w:pPr>
        <w:pStyle w:val="TOC3"/>
        <w:rPr>
          <w:rFonts w:asciiTheme="minorHAnsi" w:eastAsiaTheme="minorEastAsia" w:hAnsiTheme="minorHAnsi" w:cstheme="minorBidi"/>
          <w:noProof/>
          <w:sz w:val="22"/>
          <w:szCs w:val="22"/>
          <w:lang w:eastAsia="zh-CN" w:bidi="ar-SA"/>
        </w:rPr>
      </w:pPr>
      <w:r>
        <w:rPr>
          <w:noProof/>
        </w:rPr>
        <w:t>4.2.2Tthe Oklahoma Mesonet Soil Moisture Measurements</w:t>
      </w:r>
      <w:r>
        <w:rPr>
          <w:noProof/>
        </w:rPr>
        <w:tab/>
      </w:r>
      <w:r>
        <w:rPr>
          <w:noProof/>
        </w:rPr>
        <w:fldChar w:fldCharType="begin"/>
      </w:r>
      <w:r>
        <w:rPr>
          <w:noProof/>
        </w:rPr>
        <w:instrText xml:space="preserve"> PAGEREF _Toc75939866 \h </w:instrText>
      </w:r>
      <w:r>
        <w:rPr>
          <w:noProof/>
        </w:rPr>
      </w:r>
      <w:r>
        <w:rPr>
          <w:noProof/>
        </w:rPr>
        <w:fldChar w:fldCharType="separate"/>
      </w:r>
      <w:r w:rsidR="00492676">
        <w:rPr>
          <w:noProof/>
        </w:rPr>
        <w:t>108</w:t>
      </w:r>
      <w:r>
        <w:rPr>
          <w:noProof/>
        </w:rPr>
        <w:fldChar w:fldCharType="end"/>
      </w:r>
    </w:p>
    <w:p w14:paraId="798B1E4B" w14:textId="5DA10260" w:rsidR="007D41D1" w:rsidRDefault="007D41D1">
      <w:pPr>
        <w:pStyle w:val="TOC3"/>
        <w:rPr>
          <w:rFonts w:asciiTheme="minorHAnsi" w:eastAsiaTheme="minorEastAsia" w:hAnsiTheme="minorHAnsi" w:cstheme="minorBidi"/>
          <w:noProof/>
          <w:sz w:val="22"/>
          <w:szCs w:val="22"/>
          <w:lang w:eastAsia="zh-CN" w:bidi="ar-SA"/>
        </w:rPr>
      </w:pPr>
      <w:r>
        <w:rPr>
          <w:noProof/>
        </w:rPr>
        <w:t>4.2.3 NLDAS-2 Noah Soil Moisture Estimations</w:t>
      </w:r>
      <w:r>
        <w:rPr>
          <w:noProof/>
        </w:rPr>
        <w:tab/>
      </w:r>
      <w:r>
        <w:rPr>
          <w:noProof/>
        </w:rPr>
        <w:fldChar w:fldCharType="begin"/>
      </w:r>
      <w:r>
        <w:rPr>
          <w:noProof/>
        </w:rPr>
        <w:instrText xml:space="preserve"> PAGEREF _Toc75939867 \h </w:instrText>
      </w:r>
      <w:r>
        <w:rPr>
          <w:noProof/>
        </w:rPr>
      </w:r>
      <w:r>
        <w:rPr>
          <w:noProof/>
        </w:rPr>
        <w:fldChar w:fldCharType="separate"/>
      </w:r>
      <w:r w:rsidR="00492676">
        <w:rPr>
          <w:noProof/>
        </w:rPr>
        <w:t>109</w:t>
      </w:r>
      <w:r>
        <w:rPr>
          <w:noProof/>
        </w:rPr>
        <w:fldChar w:fldCharType="end"/>
      </w:r>
    </w:p>
    <w:p w14:paraId="691612AA" w14:textId="618B7D1D" w:rsidR="007D41D1" w:rsidRDefault="007D41D1">
      <w:pPr>
        <w:pStyle w:val="TOC3"/>
        <w:rPr>
          <w:rFonts w:asciiTheme="minorHAnsi" w:eastAsiaTheme="minorEastAsia" w:hAnsiTheme="minorHAnsi" w:cstheme="minorBidi"/>
          <w:noProof/>
          <w:sz w:val="22"/>
          <w:szCs w:val="22"/>
          <w:lang w:eastAsia="zh-CN" w:bidi="ar-SA"/>
        </w:rPr>
      </w:pPr>
      <w:r>
        <w:rPr>
          <w:noProof/>
        </w:rPr>
        <w:t>4.2.4 SMAP L3 and L4 Soil Moisture Retrievals</w:t>
      </w:r>
      <w:r>
        <w:rPr>
          <w:noProof/>
        </w:rPr>
        <w:tab/>
      </w:r>
      <w:r>
        <w:rPr>
          <w:noProof/>
        </w:rPr>
        <w:fldChar w:fldCharType="begin"/>
      </w:r>
      <w:r>
        <w:rPr>
          <w:noProof/>
        </w:rPr>
        <w:instrText xml:space="preserve"> PAGEREF _Toc75939868 \h </w:instrText>
      </w:r>
      <w:r>
        <w:rPr>
          <w:noProof/>
        </w:rPr>
      </w:r>
      <w:r>
        <w:rPr>
          <w:noProof/>
        </w:rPr>
        <w:fldChar w:fldCharType="separate"/>
      </w:r>
      <w:r w:rsidR="00492676">
        <w:rPr>
          <w:noProof/>
        </w:rPr>
        <w:t>109</w:t>
      </w:r>
      <w:r>
        <w:rPr>
          <w:noProof/>
        </w:rPr>
        <w:fldChar w:fldCharType="end"/>
      </w:r>
    </w:p>
    <w:p w14:paraId="0ED6E17F" w14:textId="53C535D6" w:rsidR="007D41D1" w:rsidRDefault="007D41D1">
      <w:pPr>
        <w:pStyle w:val="TOC3"/>
        <w:rPr>
          <w:rFonts w:asciiTheme="minorHAnsi" w:eastAsiaTheme="minorEastAsia" w:hAnsiTheme="minorHAnsi" w:cstheme="minorBidi"/>
          <w:noProof/>
          <w:sz w:val="22"/>
          <w:szCs w:val="22"/>
          <w:lang w:eastAsia="zh-CN" w:bidi="ar-SA"/>
        </w:rPr>
      </w:pPr>
      <w:r w:rsidRPr="00CE699C">
        <w:rPr>
          <w:noProof/>
          <w:snapToGrid w:val="0"/>
          <w:lang w:eastAsia="de-DE"/>
        </w:rPr>
        <w:t xml:space="preserve">4.2.5 </w:t>
      </w:r>
      <w:r>
        <w:rPr>
          <w:noProof/>
        </w:rPr>
        <w:t>Auxiliary Data</w:t>
      </w:r>
      <w:r>
        <w:rPr>
          <w:noProof/>
        </w:rPr>
        <w:tab/>
      </w:r>
      <w:r>
        <w:rPr>
          <w:noProof/>
        </w:rPr>
        <w:fldChar w:fldCharType="begin"/>
      </w:r>
      <w:r>
        <w:rPr>
          <w:noProof/>
        </w:rPr>
        <w:instrText xml:space="preserve"> PAGEREF _Toc75939869 \h </w:instrText>
      </w:r>
      <w:r>
        <w:rPr>
          <w:noProof/>
        </w:rPr>
      </w:r>
      <w:r>
        <w:rPr>
          <w:noProof/>
        </w:rPr>
        <w:fldChar w:fldCharType="separate"/>
      </w:r>
      <w:r w:rsidR="00492676">
        <w:rPr>
          <w:noProof/>
        </w:rPr>
        <w:t>110</w:t>
      </w:r>
      <w:r>
        <w:rPr>
          <w:noProof/>
        </w:rPr>
        <w:fldChar w:fldCharType="end"/>
      </w:r>
    </w:p>
    <w:p w14:paraId="64958187" w14:textId="11C379F9" w:rsidR="007D41D1" w:rsidRDefault="007D41D1">
      <w:pPr>
        <w:pStyle w:val="TOC2"/>
        <w:rPr>
          <w:rFonts w:asciiTheme="minorHAnsi" w:eastAsiaTheme="minorEastAsia" w:hAnsiTheme="minorHAnsi" w:cstheme="minorBidi"/>
          <w:noProof/>
          <w:sz w:val="22"/>
          <w:szCs w:val="22"/>
          <w:lang w:eastAsia="zh-CN" w:bidi="ar-SA"/>
        </w:rPr>
      </w:pPr>
      <w:r>
        <w:rPr>
          <w:noProof/>
        </w:rPr>
        <w:t>4.3 Methodology</w:t>
      </w:r>
      <w:r>
        <w:rPr>
          <w:noProof/>
        </w:rPr>
        <w:tab/>
      </w:r>
      <w:r>
        <w:rPr>
          <w:noProof/>
        </w:rPr>
        <w:fldChar w:fldCharType="begin"/>
      </w:r>
      <w:r>
        <w:rPr>
          <w:noProof/>
        </w:rPr>
        <w:instrText xml:space="preserve"> PAGEREF _Toc75939870 \h </w:instrText>
      </w:r>
      <w:r>
        <w:rPr>
          <w:noProof/>
        </w:rPr>
      </w:r>
      <w:r>
        <w:rPr>
          <w:noProof/>
        </w:rPr>
        <w:fldChar w:fldCharType="separate"/>
      </w:r>
      <w:r w:rsidR="00492676">
        <w:rPr>
          <w:noProof/>
        </w:rPr>
        <w:t>112</w:t>
      </w:r>
      <w:r>
        <w:rPr>
          <w:noProof/>
        </w:rPr>
        <w:fldChar w:fldCharType="end"/>
      </w:r>
    </w:p>
    <w:p w14:paraId="56970151" w14:textId="720D00F6" w:rsidR="007D41D1" w:rsidRDefault="007D41D1">
      <w:pPr>
        <w:pStyle w:val="TOC3"/>
        <w:rPr>
          <w:rFonts w:asciiTheme="minorHAnsi" w:eastAsiaTheme="minorEastAsia" w:hAnsiTheme="minorHAnsi" w:cstheme="minorBidi"/>
          <w:noProof/>
          <w:sz w:val="22"/>
          <w:szCs w:val="22"/>
          <w:lang w:eastAsia="zh-CN" w:bidi="ar-SA"/>
        </w:rPr>
      </w:pPr>
      <w:r>
        <w:rPr>
          <w:noProof/>
        </w:rPr>
        <w:t>4.3.1 Triple Collocation</w:t>
      </w:r>
      <w:r>
        <w:rPr>
          <w:noProof/>
        </w:rPr>
        <w:tab/>
      </w:r>
      <w:r>
        <w:rPr>
          <w:noProof/>
        </w:rPr>
        <w:fldChar w:fldCharType="begin"/>
      </w:r>
      <w:r>
        <w:rPr>
          <w:noProof/>
        </w:rPr>
        <w:instrText xml:space="preserve"> PAGEREF _Toc75939871 \h </w:instrText>
      </w:r>
      <w:r>
        <w:rPr>
          <w:noProof/>
        </w:rPr>
      </w:r>
      <w:r>
        <w:rPr>
          <w:noProof/>
        </w:rPr>
        <w:fldChar w:fldCharType="separate"/>
      </w:r>
      <w:r w:rsidR="00492676">
        <w:rPr>
          <w:noProof/>
        </w:rPr>
        <w:t>113</w:t>
      </w:r>
      <w:r>
        <w:rPr>
          <w:noProof/>
        </w:rPr>
        <w:fldChar w:fldCharType="end"/>
      </w:r>
    </w:p>
    <w:p w14:paraId="7A1A6221" w14:textId="04942635" w:rsidR="007D41D1" w:rsidRDefault="007D41D1">
      <w:pPr>
        <w:pStyle w:val="TOC3"/>
        <w:rPr>
          <w:rFonts w:asciiTheme="minorHAnsi" w:eastAsiaTheme="minorEastAsia" w:hAnsiTheme="minorHAnsi" w:cstheme="minorBidi"/>
          <w:noProof/>
          <w:sz w:val="22"/>
          <w:szCs w:val="22"/>
          <w:lang w:eastAsia="zh-CN" w:bidi="ar-SA"/>
        </w:rPr>
      </w:pPr>
      <w:r>
        <w:rPr>
          <w:noProof/>
        </w:rPr>
        <w:t>4.3.3 Least square weighting</w:t>
      </w:r>
      <w:r>
        <w:rPr>
          <w:noProof/>
        </w:rPr>
        <w:tab/>
      </w:r>
      <w:r>
        <w:rPr>
          <w:noProof/>
        </w:rPr>
        <w:fldChar w:fldCharType="begin"/>
      </w:r>
      <w:r>
        <w:rPr>
          <w:noProof/>
        </w:rPr>
        <w:instrText xml:space="preserve"> PAGEREF _Toc75939872 \h </w:instrText>
      </w:r>
      <w:r>
        <w:rPr>
          <w:noProof/>
        </w:rPr>
      </w:r>
      <w:r>
        <w:rPr>
          <w:noProof/>
        </w:rPr>
        <w:fldChar w:fldCharType="separate"/>
      </w:r>
      <w:r w:rsidR="00492676">
        <w:rPr>
          <w:noProof/>
        </w:rPr>
        <w:t>116</w:t>
      </w:r>
      <w:r>
        <w:rPr>
          <w:noProof/>
        </w:rPr>
        <w:fldChar w:fldCharType="end"/>
      </w:r>
    </w:p>
    <w:p w14:paraId="613386CB" w14:textId="56B626B4" w:rsidR="007D41D1" w:rsidRDefault="007D41D1">
      <w:pPr>
        <w:pStyle w:val="TOC3"/>
        <w:rPr>
          <w:rFonts w:asciiTheme="minorHAnsi" w:eastAsiaTheme="minorEastAsia" w:hAnsiTheme="minorHAnsi" w:cstheme="minorBidi"/>
          <w:noProof/>
          <w:sz w:val="22"/>
          <w:szCs w:val="22"/>
          <w:lang w:eastAsia="zh-CN" w:bidi="ar-SA"/>
        </w:rPr>
      </w:pPr>
      <w:r>
        <w:rPr>
          <w:noProof/>
        </w:rPr>
        <w:t>4.3.4 Goodness of fit and example product intercomparison</w:t>
      </w:r>
      <w:r>
        <w:rPr>
          <w:noProof/>
        </w:rPr>
        <w:tab/>
      </w:r>
      <w:r>
        <w:rPr>
          <w:noProof/>
        </w:rPr>
        <w:fldChar w:fldCharType="begin"/>
      </w:r>
      <w:r>
        <w:rPr>
          <w:noProof/>
        </w:rPr>
        <w:instrText xml:space="preserve"> PAGEREF _Toc75939873 \h </w:instrText>
      </w:r>
      <w:r>
        <w:rPr>
          <w:noProof/>
        </w:rPr>
      </w:r>
      <w:r>
        <w:rPr>
          <w:noProof/>
        </w:rPr>
        <w:fldChar w:fldCharType="separate"/>
      </w:r>
      <w:r w:rsidR="00492676">
        <w:rPr>
          <w:noProof/>
        </w:rPr>
        <w:t>116</w:t>
      </w:r>
      <w:r>
        <w:rPr>
          <w:noProof/>
        </w:rPr>
        <w:fldChar w:fldCharType="end"/>
      </w:r>
    </w:p>
    <w:p w14:paraId="10C70EDD" w14:textId="4EA5BB6D" w:rsidR="007D41D1" w:rsidRDefault="007D41D1">
      <w:pPr>
        <w:pStyle w:val="TOC3"/>
        <w:rPr>
          <w:rFonts w:asciiTheme="minorHAnsi" w:eastAsiaTheme="minorEastAsia" w:hAnsiTheme="minorHAnsi" w:cstheme="minorBidi"/>
          <w:noProof/>
          <w:sz w:val="22"/>
          <w:szCs w:val="22"/>
          <w:lang w:eastAsia="zh-CN" w:bidi="ar-SA"/>
        </w:rPr>
      </w:pPr>
      <w:r>
        <w:rPr>
          <w:noProof/>
        </w:rPr>
        <w:t>4.3.5 Daily time series product inter-comparison</w:t>
      </w:r>
      <w:r>
        <w:rPr>
          <w:noProof/>
        </w:rPr>
        <w:tab/>
      </w:r>
      <w:r>
        <w:rPr>
          <w:noProof/>
        </w:rPr>
        <w:fldChar w:fldCharType="begin"/>
      </w:r>
      <w:r>
        <w:rPr>
          <w:noProof/>
        </w:rPr>
        <w:instrText xml:space="preserve"> PAGEREF _Toc75939874 \h </w:instrText>
      </w:r>
      <w:r>
        <w:rPr>
          <w:noProof/>
        </w:rPr>
      </w:r>
      <w:r>
        <w:rPr>
          <w:noProof/>
        </w:rPr>
        <w:fldChar w:fldCharType="separate"/>
      </w:r>
      <w:r w:rsidR="00492676">
        <w:rPr>
          <w:noProof/>
        </w:rPr>
        <w:t>116</w:t>
      </w:r>
      <w:r>
        <w:rPr>
          <w:noProof/>
        </w:rPr>
        <w:fldChar w:fldCharType="end"/>
      </w:r>
    </w:p>
    <w:p w14:paraId="3F91E417" w14:textId="6CF9DCAA" w:rsidR="007D41D1" w:rsidRDefault="007D41D1">
      <w:pPr>
        <w:pStyle w:val="TOC2"/>
        <w:rPr>
          <w:rFonts w:asciiTheme="minorHAnsi" w:eastAsiaTheme="minorEastAsia" w:hAnsiTheme="minorHAnsi" w:cstheme="minorBidi"/>
          <w:noProof/>
          <w:sz w:val="22"/>
          <w:szCs w:val="22"/>
          <w:lang w:eastAsia="zh-CN" w:bidi="ar-SA"/>
        </w:rPr>
      </w:pPr>
      <w:r>
        <w:rPr>
          <w:noProof/>
        </w:rPr>
        <w:t>4.4 Results</w:t>
      </w:r>
      <w:r>
        <w:rPr>
          <w:noProof/>
        </w:rPr>
        <w:tab/>
      </w:r>
      <w:r>
        <w:rPr>
          <w:noProof/>
        </w:rPr>
        <w:fldChar w:fldCharType="begin"/>
      </w:r>
      <w:r>
        <w:rPr>
          <w:noProof/>
        </w:rPr>
        <w:instrText xml:space="preserve"> PAGEREF _Toc75939875 \h </w:instrText>
      </w:r>
      <w:r>
        <w:rPr>
          <w:noProof/>
        </w:rPr>
      </w:r>
      <w:r>
        <w:rPr>
          <w:noProof/>
        </w:rPr>
        <w:fldChar w:fldCharType="separate"/>
      </w:r>
      <w:r w:rsidR="00492676">
        <w:rPr>
          <w:noProof/>
        </w:rPr>
        <w:t>117</w:t>
      </w:r>
      <w:r>
        <w:rPr>
          <w:noProof/>
        </w:rPr>
        <w:fldChar w:fldCharType="end"/>
      </w:r>
    </w:p>
    <w:p w14:paraId="5AE81BD9" w14:textId="55EFCBD3" w:rsidR="007D41D1" w:rsidRDefault="007D41D1">
      <w:pPr>
        <w:pStyle w:val="TOC3"/>
        <w:rPr>
          <w:rFonts w:asciiTheme="minorHAnsi" w:eastAsiaTheme="minorEastAsia" w:hAnsiTheme="minorHAnsi" w:cstheme="minorBidi"/>
          <w:noProof/>
          <w:sz w:val="22"/>
          <w:szCs w:val="22"/>
          <w:lang w:eastAsia="zh-CN" w:bidi="ar-SA"/>
        </w:rPr>
      </w:pPr>
      <w:r>
        <w:rPr>
          <w:noProof/>
        </w:rPr>
        <w:t>4.4.1 Weights from LSW</w:t>
      </w:r>
      <w:r>
        <w:rPr>
          <w:noProof/>
        </w:rPr>
        <w:tab/>
      </w:r>
      <w:r>
        <w:rPr>
          <w:noProof/>
        </w:rPr>
        <w:fldChar w:fldCharType="begin"/>
      </w:r>
      <w:r>
        <w:rPr>
          <w:noProof/>
        </w:rPr>
        <w:instrText xml:space="preserve"> PAGEREF _Toc75939876 \h </w:instrText>
      </w:r>
      <w:r>
        <w:rPr>
          <w:noProof/>
        </w:rPr>
      </w:r>
      <w:r>
        <w:rPr>
          <w:noProof/>
        </w:rPr>
        <w:fldChar w:fldCharType="separate"/>
      </w:r>
      <w:r w:rsidR="00492676">
        <w:rPr>
          <w:noProof/>
        </w:rPr>
        <w:t>117</w:t>
      </w:r>
      <w:r>
        <w:rPr>
          <w:noProof/>
        </w:rPr>
        <w:fldChar w:fldCharType="end"/>
      </w:r>
    </w:p>
    <w:p w14:paraId="15813757" w14:textId="0DFCEEC4" w:rsidR="007D41D1" w:rsidRDefault="007D41D1">
      <w:pPr>
        <w:pStyle w:val="TOC3"/>
        <w:rPr>
          <w:rFonts w:asciiTheme="minorHAnsi" w:eastAsiaTheme="minorEastAsia" w:hAnsiTheme="minorHAnsi" w:cstheme="minorBidi"/>
          <w:noProof/>
          <w:sz w:val="22"/>
          <w:szCs w:val="22"/>
          <w:lang w:eastAsia="zh-CN" w:bidi="ar-SA"/>
        </w:rPr>
      </w:pPr>
      <w:r>
        <w:rPr>
          <w:noProof/>
        </w:rPr>
        <w:t>4.4.2 Evaluation of blended products</w:t>
      </w:r>
      <w:r>
        <w:rPr>
          <w:noProof/>
        </w:rPr>
        <w:tab/>
      </w:r>
      <w:r>
        <w:rPr>
          <w:noProof/>
        </w:rPr>
        <w:fldChar w:fldCharType="begin"/>
      </w:r>
      <w:r>
        <w:rPr>
          <w:noProof/>
        </w:rPr>
        <w:instrText xml:space="preserve"> PAGEREF _Toc75939877 \h </w:instrText>
      </w:r>
      <w:r>
        <w:rPr>
          <w:noProof/>
        </w:rPr>
      </w:r>
      <w:r>
        <w:rPr>
          <w:noProof/>
        </w:rPr>
        <w:fldChar w:fldCharType="separate"/>
      </w:r>
      <w:r w:rsidR="00492676">
        <w:rPr>
          <w:noProof/>
        </w:rPr>
        <w:t>119</w:t>
      </w:r>
      <w:r>
        <w:rPr>
          <w:noProof/>
        </w:rPr>
        <w:fldChar w:fldCharType="end"/>
      </w:r>
    </w:p>
    <w:p w14:paraId="1934C07A" w14:textId="7F85629B" w:rsidR="007D41D1" w:rsidRDefault="007D41D1">
      <w:pPr>
        <w:pStyle w:val="TOC2"/>
        <w:rPr>
          <w:rFonts w:asciiTheme="minorHAnsi" w:eastAsiaTheme="minorEastAsia" w:hAnsiTheme="minorHAnsi" w:cstheme="minorBidi"/>
          <w:noProof/>
          <w:sz w:val="22"/>
          <w:szCs w:val="22"/>
          <w:lang w:eastAsia="zh-CN" w:bidi="ar-SA"/>
        </w:rPr>
      </w:pPr>
      <w:r>
        <w:rPr>
          <w:noProof/>
        </w:rPr>
        <w:t>4.5 Discussion</w:t>
      </w:r>
      <w:r>
        <w:rPr>
          <w:noProof/>
        </w:rPr>
        <w:tab/>
      </w:r>
      <w:r>
        <w:rPr>
          <w:noProof/>
        </w:rPr>
        <w:fldChar w:fldCharType="begin"/>
      </w:r>
      <w:r>
        <w:rPr>
          <w:noProof/>
        </w:rPr>
        <w:instrText xml:space="preserve"> PAGEREF _Toc75939878 \h </w:instrText>
      </w:r>
      <w:r>
        <w:rPr>
          <w:noProof/>
        </w:rPr>
      </w:r>
      <w:r>
        <w:rPr>
          <w:noProof/>
        </w:rPr>
        <w:fldChar w:fldCharType="separate"/>
      </w:r>
      <w:r w:rsidR="00492676">
        <w:rPr>
          <w:noProof/>
        </w:rPr>
        <w:t>128</w:t>
      </w:r>
      <w:r>
        <w:rPr>
          <w:noProof/>
        </w:rPr>
        <w:fldChar w:fldCharType="end"/>
      </w:r>
    </w:p>
    <w:p w14:paraId="17C8C0D2" w14:textId="0F2D3503" w:rsidR="007D41D1" w:rsidRDefault="007D41D1">
      <w:pPr>
        <w:pStyle w:val="TOC2"/>
        <w:rPr>
          <w:rFonts w:asciiTheme="minorHAnsi" w:eastAsiaTheme="minorEastAsia" w:hAnsiTheme="minorHAnsi" w:cstheme="minorBidi"/>
          <w:noProof/>
          <w:sz w:val="22"/>
          <w:szCs w:val="22"/>
          <w:lang w:eastAsia="zh-CN" w:bidi="ar-SA"/>
        </w:rPr>
      </w:pPr>
      <w:r w:rsidRPr="00CE699C">
        <w:rPr>
          <w:noProof/>
          <w:snapToGrid w:val="0"/>
          <w:lang w:eastAsia="de-DE"/>
        </w:rPr>
        <w:t>4.6 Conclusion</w:t>
      </w:r>
      <w:r>
        <w:rPr>
          <w:noProof/>
        </w:rPr>
        <w:tab/>
      </w:r>
      <w:r>
        <w:rPr>
          <w:noProof/>
        </w:rPr>
        <w:fldChar w:fldCharType="begin"/>
      </w:r>
      <w:r>
        <w:rPr>
          <w:noProof/>
        </w:rPr>
        <w:instrText xml:space="preserve"> PAGEREF _Toc75939879 \h </w:instrText>
      </w:r>
      <w:r>
        <w:rPr>
          <w:noProof/>
        </w:rPr>
      </w:r>
      <w:r>
        <w:rPr>
          <w:noProof/>
        </w:rPr>
        <w:fldChar w:fldCharType="separate"/>
      </w:r>
      <w:r w:rsidR="00492676">
        <w:rPr>
          <w:noProof/>
        </w:rPr>
        <w:t>131</w:t>
      </w:r>
      <w:r>
        <w:rPr>
          <w:noProof/>
        </w:rPr>
        <w:fldChar w:fldCharType="end"/>
      </w:r>
    </w:p>
    <w:p w14:paraId="0B99EA1F" w14:textId="3988C7B3" w:rsidR="007D41D1" w:rsidRDefault="007D41D1">
      <w:pPr>
        <w:pStyle w:val="TOC2"/>
        <w:rPr>
          <w:rFonts w:asciiTheme="minorHAnsi" w:eastAsiaTheme="minorEastAsia" w:hAnsiTheme="minorHAnsi" w:cstheme="minorBidi"/>
          <w:noProof/>
          <w:sz w:val="22"/>
          <w:szCs w:val="22"/>
          <w:lang w:eastAsia="zh-CN" w:bidi="ar-SA"/>
        </w:rPr>
      </w:pPr>
      <w:r>
        <w:rPr>
          <w:noProof/>
        </w:rPr>
        <w:t>References</w:t>
      </w:r>
      <w:r>
        <w:rPr>
          <w:noProof/>
        </w:rPr>
        <w:tab/>
      </w:r>
      <w:r>
        <w:rPr>
          <w:noProof/>
        </w:rPr>
        <w:fldChar w:fldCharType="begin"/>
      </w:r>
      <w:r>
        <w:rPr>
          <w:noProof/>
        </w:rPr>
        <w:instrText xml:space="preserve"> PAGEREF _Toc75939880 \h </w:instrText>
      </w:r>
      <w:r>
        <w:rPr>
          <w:noProof/>
        </w:rPr>
      </w:r>
      <w:r>
        <w:rPr>
          <w:noProof/>
        </w:rPr>
        <w:fldChar w:fldCharType="separate"/>
      </w:r>
      <w:r w:rsidR="00492676">
        <w:rPr>
          <w:noProof/>
        </w:rPr>
        <w:t>132</w:t>
      </w:r>
      <w:r>
        <w:rPr>
          <w:noProof/>
        </w:rPr>
        <w:fldChar w:fldCharType="end"/>
      </w:r>
    </w:p>
    <w:p w14:paraId="2AB752B9" w14:textId="7C6071F7" w:rsidR="007D41D1" w:rsidRDefault="007D41D1">
      <w:pPr>
        <w:pStyle w:val="TOC1"/>
        <w:rPr>
          <w:rFonts w:asciiTheme="minorHAnsi" w:eastAsiaTheme="minorEastAsia" w:hAnsiTheme="minorHAnsi" w:cstheme="minorBidi"/>
          <w:b w:val="0"/>
          <w:bCs w:val="0"/>
          <w:sz w:val="22"/>
          <w:szCs w:val="22"/>
          <w:lang w:eastAsia="zh-CN" w:bidi="ar-SA"/>
        </w:rPr>
      </w:pPr>
      <w:r>
        <w:t>Chapter 5 Summary and Conclusions</w:t>
      </w:r>
      <w:r>
        <w:tab/>
      </w:r>
      <w:r>
        <w:fldChar w:fldCharType="begin"/>
      </w:r>
      <w:r>
        <w:instrText xml:space="preserve"> PAGEREF _Toc75939881 \h </w:instrText>
      </w:r>
      <w:r>
        <w:fldChar w:fldCharType="separate"/>
      </w:r>
      <w:r w:rsidR="00492676">
        <w:t>144</w:t>
      </w:r>
      <w:r>
        <w:fldChar w:fldCharType="end"/>
      </w:r>
    </w:p>
    <w:p w14:paraId="55ED442B" w14:textId="1038F1ED" w:rsidR="007D41D1" w:rsidRDefault="007D41D1">
      <w:pPr>
        <w:pStyle w:val="TOC2"/>
        <w:rPr>
          <w:rFonts w:asciiTheme="minorHAnsi" w:eastAsiaTheme="minorEastAsia" w:hAnsiTheme="minorHAnsi" w:cstheme="minorBidi"/>
          <w:noProof/>
          <w:sz w:val="22"/>
          <w:szCs w:val="22"/>
          <w:lang w:eastAsia="zh-CN" w:bidi="ar-SA"/>
        </w:rPr>
      </w:pPr>
      <w:r>
        <w:rPr>
          <w:noProof/>
        </w:rPr>
        <w:t>5.1 Overall Conclusions</w:t>
      </w:r>
      <w:r>
        <w:rPr>
          <w:noProof/>
        </w:rPr>
        <w:tab/>
      </w:r>
      <w:r>
        <w:rPr>
          <w:noProof/>
        </w:rPr>
        <w:fldChar w:fldCharType="begin"/>
      </w:r>
      <w:r>
        <w:rPr>
          <w:noProof/>
        </w:rPr>
        <w:instrText xml:space="preserve"> PAGEREF _Toc75939882 \h </w:instrText>
      </w:r>
      <w:r>
        <w:rPr>
          <w:noProof/>
        </w:rPr>
      </w:r>
      <w:r>
        <w:rPr>
          <w:noProof/>
        </w:rPr>
        <w:fldChar w:fldCharType="separate"/>
      </w:r>
      <w:r w:rsidR="00492676">
        <w:rPr>
          <w:noProof/>
        </w:rPr>
        <w:t>144</w:t>
      </w:r>
      <w:r>
        <w:rPr>
          <w:noProof/>
        </w:rPr>
        <w:fldChar w:fldCharType="end"/>
      </w:r>
    </w:p>
    <w:p w14:paraId="0A5D11F9" w14:textId="39FA26FF" w:rsidR="007D41D1" w:rsidRDefault="007D41D1">
      <w:pPr>
        <w:pStyle w:val="TOC2"/>
        <w:rPr>
          <w:rFonts w:asciiTheme="minorHAnsi" w:eastAsiaTheme="minorEastAsia" w:hAnsiTheme="minorHAnsi" w:cstheme="minorBidi"/>
          <w:noProof/>
          <w:sz w:val="22"/>
          <w:szCs w:val="22"/>
          <w:lang w:eastAsia="zh-CN" w:bidi="ar-SA"/>
        </w:rPr>
      </w:pPr>
      <w:r>
        <w:rPr>
          <w:noProof/>
        </w:rPr>
        <w:t>5.2 Future Research</w:t>
      </w:r>
      <w:r>
        <w:rPr>
          <w:noProof/>
        </w:rPr>
        <w:tab/>
      </w:r>
      <w:r>
        <w:rPr>
          <w:noProof/>
        </w:rPr>
        <w:fldChar w:fldCharType="begin"/>
      </w:r>
      <w:r>
        <w:rPr>
          <w:noProof/>
        </w:rPr>
        <w:instrText xml:space="preserve"> PAGEREF _Toc75939883 \h </w:instrText>
      </w:r>
      <w:r>
        <w:rPr>
          <w:noProof/>
        </w:rPr>
      </w:r>
      <w:r>
        <w:rPr>
          <w:noProof/>
        </w:rPr>
        <w:fldChar w:fldCharType="separate"/>
      </w:r>
      <w:r w:rsidR="00492676">
        <w:rPr>
          <w:noProof/>
        </w:rPr>
        <w:t>146</w:t>
      </w:r>
      <w:r>
        <w:rPr>
          <w:noProof/>
        </w:rPr>
        <w:fldChar w:fldCharType="end"/>
      </w:r>
    </w:p>
    <w:p w14:paraId="358AF11A" w14:textId="6D3D7A5E" w:rsidR="00B838FE" w:rsidRDefault="00823F5D" w:rsidP="00FD1A3E">
      <w:pPr>
        <w:ind w:firstLine="0"/>
        <w:jc w:val="left"/>
      </w:pPr>
      <w:r>
        <w:fldChar w:fldCharType="end"/>
      </w:r>
      <w:bookmarkStart w:id="3" w:name="_Toc310579466"/>
      <w:bookmarkStart w:id="4" w:name="_Toc315681360"/>
      <w:r w:rsidR="00632733">
        <w:t xml:space="preserve"> </w:t>
      </w:r>
    </w:p>
    <w:p w14:paraId="43FE98B9" w14:textId="1935C295" w:rsidR="00146E45" w:rsidRDefault="00146E45" w:rsidP="00146E45"/>
    <w:bookmarkEnd w:id="3"/>
    <w:bookmarkEnd w:id="4"/>
    <w:p w14:paraId="399B2F85" w14:textId="77777777" w:rsidR="00B87386" w:rsidRDefault="00B87386" w:rsidP="004852AA">
      <w:pPr>
        <w:ind w:firstLine="0"/>
      </w:pPr>
    </w:p>
    <w:p w14:paraId="24614949" w14:textId="71139B0C" w:rsidR="00B06ACA" w:rsidRDefault="00636AA5" w:rsidP="00636AA5">
      <w:pPr>
        <w:pStyle w:val="2"/>
      </w:pPr>
      <w:bookmarkStart w:id="5" w:name="_Toc75939809"/>
      <w:r>
        <w:lastRenderedPageBreak/>
        <w:t>List of Figures</w:t>
      </w:r>
      <w:bookmarkEnd w:id="5"/>
    </w:p>
    <w:p w14:paraId="777FF688" w14:textId="62F9ACC1" w:rsidR="00636AA5" w:rsidRDefault="00636AA5">
      <w:pPr>
        <w:pStyle w:val="ac"/>
        <w:tabs>
          <w:tab w:val="right" w:leader="dot" w:pos="8054"/>
        </w:tabs>
        <w:rPr>
          <w:rFonts w:asciiTheme="minorHAnsi" w:eastAsiaTheme="minorEastAsia" w:hAnsiTheme="minorHAnsi" w:cstheme="minorBidi"/>
          <w:noProof/>
          <w:sz w:val="22"/>
          <w:szCs w:val="22"/>
          <w:lang w:eastAsia="zh-CN" w:bidi="ar-SA"/>
        </w:rPr>
      </w:pPr>
      <w:r>
        <w:fldChar w:fldCharType="begin"/>
      </w:r>
      <w:r>
        <w:instrText xml:space="preserve"> TOC \h \z \c "Figure" </w:instrText>
      </w:r>
      <w:r>
        <w:fldChar w:fldCharType="separate"/>
      </w:r>
      <w:hyperlink w:anchor="_Toc75361881" w:history="1">
        <w:r w:rsidRPr="006F4C9D">
          <w:rPr>
            <w:rStyle w:val="afc"/>
            <w:noProof/>
          </w:rPr>
          <w:t xml:space="preserve">Figure 2.1. Linear regression plots for (a) </w:t>
        </w:r>
        <m:oMath>
          <m:r>
            <m:rPr>
              <m:sty m:val="bi"/>
            </m:rPr>
            <w:rPr>
              <w:rStyle w:val="afc"/>
              <w:rFonts w:ascii="Cambria Math" w:hAnsi="Cambria Math"/>
              <w:noProof/>
            </w:rPr>
            <m:t>ML</m:t>
          </m:r>
        </m:oMath>
        <w:r w:rsidRPr="006F4C9D">
          <w:rPr>
            <w:rStyle w:val="afc"/>
            <w:noProof/>
          </w:rPr>
          <w:t xml:space="preserve"> vs. </w:t>
        </w:r>
        <m:oMath>
          <m:r>
            <m:rPr>
              <m:sty m:val="bi"/>
            </m:rPr>
            <w:rPr>
              <w:rStyle w:val="afc"/>
              <w:rFonts w:ascii="Cambria Math" w:hAnsi="Cambria Math"/>
              <w:noProof/>
            </w:rPr>
            <m:t>mb</m:t>
          </m:r>
        </m:oMath>
        <w:r w:rsidRPr="006F4C9D">
          <w:rPr>
            <w:rStyle w:val="afc"/>
            <w:noProof/>
          </w:rPr>
          <w:t xml:space="preserve"> and (b) </w:t>
        </w:r>
        <m:oMath>
          <m:r>
            <m:rPr>
              <m:sty m:val="bi"/>
            </m:rPr>
            <w:rPr>
              <w:rStyle w:val="afc"/>
              <w:rFonts w:ascii="Cambria Math" w:hAnsi="Cambria Math"/>
              <w:noProof/>
            </w:rPr>
            <m:t>ML</m:t>
          </m:r>
        </m:oMath>
        <w:r w:rsidRPr="006F4C9D">
          <w:rPr>
            <w:rStyle w:val="afc"/>
            <w:noProof/>
          </w:rPr>
          <w:t xml:space="preserve"> vs. </w:t>
        </w:r>
        <m:oMath>
          <m:r>
            <m:rPr>
              <m:sty m:val="bi"/>
            </m:rPr>
            <w:rPr>
              <w:rStyle w:val="afc"/>
              <w:rFonts w:ascii="Cambria Math" w:hAnsi="Cambria Math"/>
              <w:noProof/>
            </w:rPr>
            <m:t>Mw</m:t>
          </m:r>
        </m:oMath>
        <w:r w:rsidRPr="006F4C9D">
          <w:rPr>
            <w:rStyle w:val="afc"/>
            <w:noProof/>
          </w:rPr>
          <w:t xml:space="preserve"> for all seismic events occurred in Oklahoma between January 2006 and December 2017. Conversion equations are shown in Table 2.</w:t>
        </w:r>
        <w:r>
          <w:rPr>
            <w:noProof/>
            <w:webHidden/>
          </w:rPr>
          <w:tab/>
        </w:r>
        <w:r>
          <w:rPr>
            <w:noProof/>
            <w:webHidden/>
          </w:rPr>
          <w:fldChar w:fldCharType="begin"/>
        </w:r>
        <w:r>
          <w:rPr>
            <w:noProof/>
            <w:webHidden/>
          </w:rPr>
          <w:instrText xml:space="preserve"> PAGEREF _Toc75361881 \h </w:instrText>
        </w:r>
        <w:r>
          <w:rPr>
            <w:noProof/>
            <w:webHidden/>
          </w:rPr>
        </w:r>
        <w:r>
          <w:rPr>
            <w:noProof/>
            <w:webHidden/>
          </w:rPr>
          <w:fldChar w:fldCharType="separate"/>
        </w:r>
        <w:r w:rsidR="00492676">
          <w:rPr>
            <w:noProof/>
            <w:webHidden/>
          </w:rPr>
          <w:t>28</w:t>
        </w:r>
        <w:r>
          <w:rPr>
            <w:noProof/>
            <w:webHidden/>
          </w:rPr>
          <w:fldChar w:fldCharType="end"/>
        </w:r>
      </w:hyperlink>
    </w:p>
    <w:p w14:paraId="0321B353" w14:textId="0EC1CFB9"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2" w:history="1">
        <w:r w:rsidR="00636AA5" w:rsidRPr="006F4C9D">
          <w:rPr>
            <w:rStyle w:val="afc"/>
            <w:noProof/>
          </w:rPr>
          <w:t>Figure 2.2. Cumulative and noncumulative frequency-magnitude distributions on logarithmic scale with the black line indicating magnitude of completeness (</w:t>
        </w:r>
        <m:oMath>
          <m:r>
            <m:rPr>
              <m:sty m:val="bi"/>
            </m:rPr>
            <w:rPr>
              <w:rStyle w:val="afc"/>
              <w:rFonts w:ascii="Cambria Math" w:hAnsi="Cambria Math"/>
              <w:noProof/>
            </w:rPr>
            <m:t>MC</m:t>
          </m:r>
        </m:oMath>
        <w:r w:rsidR="00636AA5" w:rsidRPr="006F4C9D">
          <w:rPr>
            <w:rStyle w:val="afc"/>
            <w:noProof/>
          </w:rPr>
          <w:t>) for time series during 2006–2017.</w:t>
        </w:r>
        <w:r w:rsidR="00636AA5">
          <w:rPr>
            <w:noProof/>
            <w:webHidden/>
          </w:rPr>
          <w:tab/>
        </w:r>
        <w:r w:rsidR="00636AA5">
          <w:rPr>
            <w:noProof/>
            <w:webHidden/>
          </w:rPr>
          <w:fldChar w:fldCharType="begin"/>
        </w:r>
        <w:r w:rsidR="00636AA5">
          <w:rPr>
            <w:noProof/>
            <w:webHidden/>
          </w:rPr>
          <w:instrText xml:space="preserve"> PAGEREF _Toc75361882 \h </w:instrText>
        </w:r>
        <w:r w:rsidR="00636AA5">
          <w:rPr>
            <w:noProof/>
            <w:webHidden/>
          </w:rPr>
        </w:r>
        <w:r w:rsidR="00636AA5">
          <w:rPr>
            <w:noProof/>
            <w:webHidden/>
          </w:rPr>
          <w:fldChar w:fldCharType="separate"/>
        </w:r>
        <w:r w:rsidR="00492676">
          <w:rPr>
            <w:noProof/>
            <w:webHidden/>
          </w:rPr>
          <w:t>29</w:t>
        </w:r>
        <w:r w:rsidR="00636AA5">
          <w:rPr>
            <w:noProof/>
            <w:webHidden/>
          </w:rPr>
          <w:fldChar w:fldCharType="end"/>
        </w:r>
      </w:hyperlink>
    </w:p>
    <w:p w14:paraId="3EE92AA1" w14:textId="187D6FFD"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3" w:history="1">
        <w:r w:rsidR="00636AA5" w:rsidRPr="006F4C9D">
          <w:rPr>
            <w:rStyle w:val="afc"/>
            <w:noProof/>
          </w:rPr>
          <w:t>Figure 2.3. (a) Time series of total annual number of earthquakes (N(</w:t>
        </w:r>
        <m:oMath>
          <m:r>
            <m:rPr>
              <m:sty m:val="bi"/>
            </m:rPr>
            <w:rPr>
              <w:rStyle w:val="afc"/>
              <w:rFonts w:ascii="Cambria Math" w:hAnsi="Cambria Math"/>
              <w:noProof/>
              <w:lang w:eastAsia="zh-CN"/>
            </w:rPr>
            <m:t>ML</m:t>
          </m:r>
        </m:oMath>
        <w:r w:rsidR="00636AA5" w:rsidRPr="006F4C9D">
          <w:rPr>
            <w:rStyle w:val="afc"/>
            <w:noProof/>
          </w:rPr>
          <w:t xml:space="preserve">)) with </w:t>
        </w:r>
        <m:oMath>
          <m:r>
            <m:rPr>
              <m:sty m:val="bi"/>
            </m:rPr>
            <w:rPr>
              <w:rStyle w:val="afc"/>
              <w:rFonts w:ascii="Cambria Math" w:hAnsi="Cambria Math"/>
              <w:noProof/>
              <w:lang w:eastAsia="zh-CN"/>
            </w:rPr>
            <m:t>ML</m:t>
          </m:r>
          <m:r>
            <w:rPr>
              <w:rStyle w:val="afc"/>
              <w:rFonts w:ascii="Cambria Math" w:hAnsi="Cambria Math" w:hint="eastAsia"/>
              <w:noProof/>
              <w:lang w:eastAsia="zh-CN"/>
            </w:rPr>
            <m:t>≥</m:t>
          </m:r>
          <m:r>
            <m:rPr>
              <m:sty m:val="bi"/>
            </m:rPr>
            <w:rPr>
              <w:rStyle w:val="afc"/>
              <w:rFonts w:ascii="Cambria Math" w:hAnsi="Cambria Math"/>
              <w:noProof/>
              <w:lang w:eastAsia="zh-CN"/>
            </w:rPr>
            <m:t>MC</m:t>
          </m:r>
        </m:oMath>
        <w:r w:rsidR="00636AA5" w:rsidRPr="006F4C9D">
          <w:rPr>
            <w:rStyle w:val="afc"/>
            <w:noProof/>
          </w:rPr>
          <w:t xml:space="preserve"> (red bars) and oil/gas industry-related injected volumes of wastewater (IW) in million cubic meters (white triangles) in Oklahoma from 2000 to 2017. (b) Time series of total annual number of earthquakes (N(</w:t>
        </w:r>
        <m:oMath>
          <m:r>
            <m:rPr>
              <m:sty m:val="bi"/>
            </m:rPr>
            <w:rPr>
              <w:rStyle w:val="afc"/>
              <w:rFonts w:ascii="Cambria Math" w:hAnsi="Cambria Math"/>
              <w:noProof/>
              <w:lang w:eastAsia="zh-CN"/>
            </w:rPr>
            <m:t>ML</m:t>
          </m:r>
        </m:oMath>
        <w:r w:rsidR="00636AA5" w:rsidRPr="006F4C9D">
          <w:rPr>
            <w:rStyle w:val="afc"/>
            <w:noProof/>
          </w:rPr>
          <w:t xml:space="preserve">)) with </w:t>
        </w:r>
        <m:oMath>
          <m:r>
            <m:rPr>
              <m:sty m:val="bi"/>
            </m:rPr>
            <w:rPr>
              <w:rStyle w:val="afc"/>
              <w:rFonts w:ascii="Cambria Math" w:hAnsi="Cambria Math"/>
              <w:noProof/>
              <w:lang w:eastAsia="zh-CN"/>
            </w:rPr>
            <m:t>ML</m:t>
          </m:r>
          <m:r>
            <w:rPr>
              <w:rStyle w:val="afc"/>
              <w:rFonts w:ascii="Cambria Math" w:hAnsi="Cambria Math" w:hint="eastAsia"/>
              <w:noProof/>
              <w:lang w:eastAsia="zh-CN"/>
            </w:rPr>
            <m:t>≥</m:t>
          </m:r>
          <m:r>
            <m:rPr>
              <m:sty m:val="bi"/>
            </m:rPr>
            <w:rPr>
              <w:rStyle w:val="afc"/>
              <w:rFonts w:ascii="Cambria Math" w:hAnsi="Cambria Math"/>
              <w:noProof/>
              <w:lang w:eastAsia="zh-CN"/>
            </w:rPr>
            <m:t>MC</m:t>
          </m:r>
        </m:oMath>
        <w:r w:rsidR="00636AA5" w:rsidRPr="006F4C9D">
          <w:rPr>
            <w:rStyle w:val="afc"/>
            <w:noProof/>
          </w:rPr>
          <w:t xml:space="preserve"> per magnitude range between 2000 and 2017 and oil/gas industry-related volumes of wastewater injected (IW) between 2006 and 2017 in Oklahoma. Note the log scale for N(</w:t>
        </w:r>
        <m:oMath>
          <m:r>
            <m:rPr>
              <m:sty m:val="bi"/>
            </m:rPr>
            <w:rPr>
              <w:rStyle w:val="afc"/>
              <w:rFonts w:ascii="Cambria Math" w:hAnsi="Cambria Math"/>
              <w:noProof/>
              <w:lang w:eastAsia="zh-CN"/>
            </w:rPr>
            <m:t>ML</m:t>
          </m:r>
        </m:oMath>
        <w:r w:rsidR="00636AA5" w:rsidRPr="006F4C9D">
          <w:rPr>
            <w:rStyle w:val="afc"/>
            <w:noProof/>
          </w:rPr>
          <w:t>) in (b).</w:t>
        </w:r>
        <w:r w:rsidR="00636AA5">
          <w:rPr>
            <w:noProof/>
            <w:webHidden/>
          </w:rPr>
          <w:tab/>
        </w:r>
        <w:r w:rsidR="00636AA5">
          <w:rPr>
            <w:noProof/>
            <w:webHidden/>
          </w:rPr>
          <w:fldChar w:fldCharType="begin"/>
        </w:r>
        <w:r w:rsidR="00636AA5">
          <w:rPr>
            <w:noProof/>
            <w:webHidden/>
          </w:rPr>
          <w:instrText xml:space="preserve"> PAGEREF _Toc75361883 \h </w:instrText>
        </w:r>
        <w:r w:rsidR="00636AA5">
          <w:rPr>
            <w:noProof/>
            <w:webHidden/>
          </w:rPr>
        </w:r>
        <w:r w:rsidR="00636AA5">
          <w:rPr>
            <w:noProof/>
            <w:webHidden/>
          </w:rPr>
          <w:fldChar w:fldCharType="separate"/>
        </w:r>
        <w:r w:rsidR="00492676">
          <w:rPr>
            <w:noProof/>
            <w:webHidden/>
          </w:rPr>
          <w:t>31</w:t>
        </w:r>
        <w:r w:rsidR="00636AA5">
          <w:rPr>
            <w:noProof/>
            <w:webHidden/>
          </w:rPr>
          <w:fldChar w:fldCharType="end"/>
        </w:r>
      </w:hyperlink>
    </w:p>
    <w:p w14:paraId="1215342A" w14:textId="25616178"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4" w:history="1">
        <w:r w:rsidR="00636AA5" w:rsidRPr="006F4C9D">
          <w:rPr>
            <w:rStyle w:val="afc"/>
            <w:noProof/>
          </w:rPr>
          <w:t xml:space="preserve">Figure 2.4. (a) Spatial distribution of earthquakes with </w:t>
        </w:r>
        <m:oMath>
          <m:r>
            <m:rPr>
              <m:sty m:val="bi"/>
            </m:rPr>
            <w:rPr>
              <w:rStyle w:val="afc"/>
              <w:rFonts w:ascii="Cambria Math" w:hAnsi="Cambria Math"/>
              <w:noProof/>
              <w:lang w:eastAsia="zh-CN"/>
            </w:rPr>
            <m:t>ML</m:t>
          </m:r>
          <m:r>
            <w:rPr>
              <w:rStyle w:val="afc"/>
              <w:rFonts w:ascii="Cambria Math" w:hAnsi="Cambria Math" w:hint="eastAsia"/>
              <w:noProof/>
              <w:lang w:eastAsia="zh-CN"/>
            </w:rPr>
            <m:t>≥</m:t>
          </m:r>
          <m:r>
            <m:rPr>
              <m:sty m:val="bi"/>
            </m:rPr>
            <w:rPr>
              <w:rStyle w:val="afc"/>
              <w:rFonts w:ascii="Cambria Math" w:hAnsi="Cambria Math"/>
              <w:noProof/>
              <w:lang w:eastAsia="zh-CN"/>
            </w:rPr>
            <m:t>MC</m:t>
          </m:r>
        </m:oMath>
        <w:r w:rsidR="00636AA5" w:rsidRPr="006F4C9D">
          <w:rPr>
            <w:rStyle w:val="afc"/>
            <w:noProof/>
          </w:rPr>
          <w:t xml:space="preserve"> occurred in Oklahoma from 2006 to 2017; (b) Spatial distribution of wastewater disposal wells with corresponding IW volume (</w:t>
        </w:r>
        <m:oMath>
          <m:f>
            <m:fPr>
              <m:type m:val="lin"/>
              <m:ctrlPr>
                <w:rPr>
                  <w:rStyle w:val="afc"/>
                  <w:rFonts w:ascii="Cambria Math" w:hAnsi="Cambria Math"/>
                  <w:b/>
                  <w:i/>
                  <w:noProof/>
                </w:rPr>
              </m:ctrlPr>
            </m:fPr>
            <m:num>
              <m:sSup>
                <m:sSupPr>
                  <m:ctrlPr>
                    <w:rPr>
                      <w:rStyle w:val="afc"/>
                      <w:rFonts w:ascii="Cambria Math" w:hAnsi="Cambria Math"/>
                      <w:b/>
                      <w:i/>
                      <w:noProof/>
                    </w:rPr>
                  </m:ctrlPr>
                </m:sSupPr>
                <m:e>
                  <m:r>
                    <m:rPr>
                      <m:sty m:val="bi"/>
                    </m:rPr>
                    <w:rPr>
                      <w:rStyle w:val="afc"/>
                      <w:rFonts w:ascii="Cambria Math" w:hAnsi="Cambria Math"/>
                      <w:noProof/>
                    </w:rPr>
                    <m:t>m</m:t>
                  </m:r>
                </m:e>
                <m:sup>
                  <m:r>
                    <m:rPr>
                      <m:sty m:val="bi"/>
                    </m:rPr>
                    <w:rPr>
                      <w:rStyle w:val="afc"/>
                      <w:rFonts w:ascii="Cambria Math" w:hAnsi="Cambria Math"/>
                      <w:noProof/>
                    </w:rPr>
                    <m:t>3</m:t>
                  </m:r>
                </m:sup>
              </m:sSup>
            </m:num>
            <m:den>
              <m:r>
                <m:rPr>
                  <m:sty m:val="bi"/>
                </m:rPr>
                <w:rPr>
                  <w:rStyle w:val="afc"/>
                  <w:rFonts w:ascii="Cambria Math" w:hAnsi="Cambria Math"/>
                  <w:noProof/>
                </w:rPr>
                <m:t>year</m:t>
              </m:r>
            </m:den>
          </m:f>
        </m:oMath>
        <w:r w:rsidR="00636AA5" w:rsidRPr="006F4C9D">
          <w:rPr>
            <w:rStyle w:val="afc"/>
            <w:noProof/>
          </w:rPr>
          <w:t>) operated in 2014.</w:t>
        </w:r>
        <w:r w:rsidR="00636AA5">
          <w:rPr>
            <w:noProof/>
            <w:webHidden/>
          </w:rPr>
          <w:tab/>
        </w:r>
        <w:r w:rsidR="00636AA5">
          <w:rPr>
            <w:noProof/>
            <w:webHidden/>
          </w:rPr>
          <w:fldChar w:fldCharType="begin"/>
        </w:r>
        <w:r w:rsidR="00636AA5">
          <w:rPr>
            <w:noProof/>
            <w:webHidden/>
          </w:rPr>
          <w:instrText xml:space="preserve"> PAGEREF _Toc75361884 \h </w:instrText>
        </w:r>
        <w:r w:rsidR="00636AA5">
          <w:rPr>
            <w:noProof/>
            <w:webHidden/>
          </w:rPr>
        </w:r>
        <w:r w:rsidR="00636AA5">
          <w:rPr>
            <w:noProof/>
            <w:webHidden/>
          </w:rPr>
          <w:fldChar w:fldCharType="separate"/>
        </w:r>
        <w:r w:rsidR="00492676">
          <w:rPr>
            <w:noProof/>
            <w:webHidden/>
          </w:rPr>
          <w:t>33</w:t>
        </w:r>
        <w:r w:rsidR="00636AA5">
          <w:rPr>
            <w:noProof/>
            <w:webHidden/>
          </w:rPr>
          <w:fldChar w:fldCharType="end"/>
        </w:r>
      </w:hyperlink>
    </w:p>
    <w:p w14:paraId="527EF949" w14:textId="21217620"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5" w:history="1">
        <w:r w:rsidR="00636AA5" w:rsidRPr="006F4C9D">
          <w:rPr>
            <w:rStyle w:val="afc"/>
            <w:noProof/>
          </w:rPr>
          <w:t xml:space="preserve">Figure 2.5. (a) Earthquake-clustering occurrence by year. Epicenters’ weighted mean centers (triangles) and standard deviation ellipses of all recorded earthquakes occurred in Oklahoma between 2006 and 2017; (b) Wastewater injection volume weighted mean centers (triangles) and standard deviation ellipses in Oklahoma between 2006 and 2017. The colors in both panels match for the same years, except </w:t>
        </w:r>
        <w:r w:rsidR="00636AA5" w:rsidRPr="006F4C9D">
          <w:rPr>
            <w:rStyle w:val="afc"/>
            <w:noProof/>
          </w:rPr>
          <w:lastRenderedPageBreak/>
          <w:t>by 2013 whose dashed lines are intended to improve result visualization. Coordinates of mean weighted centers are computed using Equation (1).</w:t>
        </w:r>
        <w:r w:rsidR="00636AA5">
          <w:rPr>
            <w:noProof/>
            <w:webHidden/>
          </w:rPr>
          <w:tab/>
        </w:r>
        <w:r w:rsidR="00636AA5">
          <w:rPr>
            <w:noProof/>
            <w:webHidden/>
          </w:rPr>
          <w:fldChar w:fldCharType="begin"/>
        </w:r>
        <w:r w:rsidR="00636AA5">
          <w:rPr>
            <w:noProof/>
            <w:webHidden/>
          </w:rPr>
          <w:instrText xml:space="preserve"> PAGEREF _Toc75361885 \h </w:instrText>
        </w:r>
        <w:r w:rsidR="00636AA5">
          <w:rPr>
            <w:noProof/>
            <w:webHidden/>
          </w:rPr>
        </w:r>
        <w:r w:rsidR="00636AA5">
          <w:rPr>
            <w:noProof/>
            <w:webHidden/>
          </w:rPr>
          <w:fldChar w:fldCharType="separate"/>
        </w:r>
        <w:r w:rsidR="00492676">
          <w:rPr>
            <w:noProof/>
            <w:webHidden/>
          </w:rPr>
          <w:t>34</w:t>
        </w:r>
        <w:r w:rsidR="00636AA5">
          <w:rPr>
            <w:noProof/>
            <w:webHidden/>
          </w:rPr>
          <w:fldChar w:fldCharType="end"/>
        </w:r>
      </w:hyperlink>
    </w:p>
    <w:p w14:paraId="6C2E510A" w14:textId="4E2A57C4"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6" w:history="1">
        <w:r w:rsidR="00636AA5" w:rsidRPr="006F4C9D">
          <w:rPr>
            <w:rStyle w:val="afc"/>
            <w:noProof/>
          </w:rPr>
          <w:t>Figure 2.6. Yearly migration patterns between earthquakes weighted epicenters and wastewater injection activity in Oklahoma since 2006. Red and blue lines mean the average displacement of mean weighted centers of wastewater injection and earthquakes between consecutive years. The average displacement distance is also indicated within each compass diagram.</w:t>
        </w:r>
        <w:r w:rsidR="00636AA5">
          <w:rPr>
            <w:noProof/>
            <w:webHidden/>
          </w:rPr>
          <w:tab/>
        </w:r>
        <w:r w:rsidR="00636AA5">
          <w:rPr>
            <w:noProof/>
            <w:webHidden/>
          </w:rPr>
          <w:fldChar w:fldCharType="begin"/>
        </w:r>
        <w:r w:rsidR="00636AA5">
          <w:rPr>
            <w:noProof/>
            <w:webHidden/>
          </w:rPr>
          <w:instrText xml:space="preserve"> PAGEREF _Toc75361886 \h </w:instrText>
        </w:r>
        <w:r w:rsidR="00636AA5">
          <w:rPr>
            <w:noProof/>
            <w:webHidden/>
          </w:rPr>
        </w:r>
        <w:r w:rsidR="00636AA5">
          <w:rPr>
            <w:noProof/>
            <w:webHidden/>
          </w:rPr>
          <w:fldChar w:fldCharType="separate"/>
        </w:r>
        <w:r w:rsidR="00492676">
          <w:rPr>
            <w:noProof/>
            <w:webHidden/>
          </w:rPr>
          <w:t>36</w:t>
        </w:r>
        <w:r w:rsidR="00636AA5">
          <w:rPr>
            <w:noProof/>
            <w:webHidden/>
          </w:rPr>
          <w:fldChar w:fldCharType="end"/>
        </w:r>
      </w:hyperlink>
    </w:p>
    <w:p w14:paraId="47E7DF93" w14:textId="4B0C1C5F"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7" w:history="1">
        <w:r w:rsidR="00636AA5" w:rsidRPr="006F4C9D">
          <w:rPr>
            <w:rStyle w:val="afc"/>
            <w:noProof/>
          </w:rPr>
          <w:t xml:space="preserve">Figure 2.7. (a) Cross-correlation diagram between </w:t>
        </w:r>
        <m:oMath>
          <m:r>
            <m:rPr>
              <m:sty m:val="bi"/>
            </m:rPr>
            <w:rPr>
              <w:rStyle w:val="afc"/>
              <w:rFonts w:ascii="Cambria Math" w:hAnsi="Cambria Math"/>
              <w:noProof/>
            </w:rPr>
            <m:t>IWt</m:t>
          </m:r>
          <m:r>
            <w:rPr>
              <w:rStyle w:val="afc"/>
              <w:rFonts w:ascii="Cambria Math" w:hAnsi="Cambria Math"/>
              <w:noProof/>
            </w:rPr>
            <m:t>-</m:t>
          </m:r>
          <m:r>
            <m:rPr>
              <m:sty m:val="bi"/>
            </m:rPr>
            <w:rPr>
              <w:rStyle w:val="afc"/>
              <w:rFonts w:ascii="Cambria Math" w:hAnsi="Cambria Math"/>
              <w:noProof/>
            </w:rPr>
            <m:t>i</m:t>
          </m:r>
        </m:oMath>
        <w:r w:rsidR="00636AA5" w:rsidRPr="006F4C9D">
          <w:rPr>
            <w:rStyle w:val="afc"/>
            <w:noProof/>
          </w:rPr>
          <w:t xml:space="preserve"> and </w:t>
        </w:r>
        <m:oMath>
          <m:r>
            <m:rPr>
              <m:sty m:val="bi"/>
            </m:rPr>
            <w:rPr>
              <w:rStyle w:val="afc"/>
              <w:rFonts w:ascii="Cambria Math" w:hAnsi="Cambria Math"/>
              <w:noProof/>
            </w:rPr>
            <m:t>Nt</m:t>
          </m:r>
        </m:oMath>
        <w:r w:rsidR="00636AA5" w:rsidRPr="006F4C9D">
          <w:rPr>
            <w:rStyle w:val="afc"/>
            <w:noProof/>
          </w:rPr>
          <w:t xml:space="preserve"> for different lags of IW (e.g., i = 0, 1, 2, 3…, n months). Negative numbers mean that IW precedes </w:t>
        </w:r>
        <m:oMath>
          <m:r>
            <m:rPr>
              <m:sty m:val="bi"/>
            </m:rPr>
            <w:rPr>
              <w:rStyle w:val="afc"/>
              <w:rFonts w:ascii="Cambria Math" w:hAnsi="Cambria Math"/>
              <w:noProof/>
            </w:rPr>
            <m:t>Nt</m:t>
          </m:r>
        </m:oMath>
        <w:r w:rsidR="00636AA5" w:rsidRPr="006F4C9D">
          <w:rPr>
            <w:rStyle w:val="afc"/>
            <w:noProof/>
          </w:rPr>
          <w:t>. (b) Contribution (</w:t>
        </w:r>
        <m:oMath>
          <m:r>
            <m:rPr>
              <m:sty m:val="bi"/>
            </m:rPr>
            <w:rPr>
              <w:rStyle w:val="afc"/>
              <w:rFonts w:ascii="Cambria Math" w:hAnsi="Cambria Math"/>
              <w:noProof/>
            </w:rPr>
            <m:t>wi</m:t>
          </m:r>
        </m:oMath>
        <w:r w:rsidR="00636AA5" w:rsidRPr="006F4C9D">
          <w:rPr>
            <w:rStyle w:val="afc"/>
            <w:noProof/>
          </w:rPr>
          <w:t>) of each lag i to the prediction of the total of number of earthquakes in a particular month t (</w:t>
        </w:r>
        <m:oMath>
          <m:r>
            <m:rPr>
              <m:sty m:val="bi"/>
            </m:rPr>
            <w:rPr>
              <w:rStyle w:val="afc"/>
              <w:rFonts w:ascii="Cambria Math" w:hAnsi="Cambria Math"/>
              <w:noProof/>
            </w:rPr>
            <m:t>Nt</m:t>
          </m:r>
        </m:oMath>
        <w:r w:rsidR="00636AA5" w:rsidRPr="006F4C9D">
          <w:rPr>
            <w:rStyle w:val="afc"/>
            <w:noProof/>
          </w:rPr>
          <w:t>), to be applied to the predictors in Equation (2).</w:t>
        </w:r>
        <w:r w:rsidR="00636AA5">
          <w:rPr>
            <w:noProof/>
            <w:webHidden/>
          </w:rPr>
          <w:tab/>
        </w:r>
        <w:r w:rsidR="00636AA5">
          <w:rPr>
            <w:noProof/>
            <w:webHidden/>
          </w:rPr>
          <w:fldChar w:fldCharType="begin"/>
        </w:r>
        <w:r w:rsidR="00636AA5">
          <w:rPr>
            <w:noProof/>
            <w:webHidden/>
          </w:rPr>
          <w:instrText xml:space="preserve"> PAGEREF _Toc75361887 \h </w:instrText>
        </w:r>
        <w:r w:rsidR="00636AA5">
          <w:rPr>
            <w:noProof/>
            <w:webHidden/>
          </w:rPr>
        </w:r>
        <w:r w:rsidR="00636AA5">
          <w:rPr>
            <w:noProof/>
            <w:webHidden/>
          </w:rPr>
          <w:fldChar w:fldCharType="separate"/>
        </w:r>
        <w:r w:rsidR="00492676">
          <w:rPr>
            <w:noProof/>
            <w:webHidden/>
          </w:rPr>
          <w:t>37</w:t>
        </w:r>
        <w:r w:rsidR="00636AA5">
          <w:rPr>
            <w:noProof/>
            <w:webHidden/>
          </w:rPr>
          <w:fldChar w:fldCharType="end"/>
        </w:r>
      </w:hyperlink>
    </w:p>
    <w:p w14:paraId="2578D675" w14:textId="3A57C8E3"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8" w:history="1">
        <w:r w:rsidR="00636AA5" w:rsidRPr="006F4C9D">
          <w:rPr>
            <w:rStyle w:val="afc"/>
            <w:noProof/>
          </w:rPr>
          <w:t xml:space="preserve">Figure 2.8. Regional induced-earthquake count </w:t>
        </w:r>
        <m:oMath>
          <m:r>
            <m:rPr>
              <m:sty m:val="bi"/>
            </m:rPr>
            <w:rPr>
              <w:rStyle w:val="afc"/>
              <w:rFonts w:ascii="Cambria Math" w:hAnsi="Cambria Math"/>
              <w:noProof/>
            </w:rPr>
            <m:t>Nt</m:t>
          </m:r>
        </m:oMath>
        <w:r w:rsidR="00636AA5" w:rsidRPr="006F4C9D">
          <w:rPr>
            <w:rStyle w:val="afc"/>
            <w:noProof/>
          </w:rPr>
          <w:t xml:space="preserve"> (</w:t>
        </w:r>
        <m:oMath>
          <m:r>
            <m:rPr>
              <m:sty m:val="bi"/>
            </m:rPr>
            <w:rPr>
              <w:rStyle w:val="afc"/>
              <w:rFonts w:ascii="Cambria Math" w:hAnsi="Cambria Math"/>
              <w:noProof/>
              <w:lang w:eastAsia="zh-CN"/>
            </w:rPr>
            <m:t>ML</m:t>
          </m:r>
          <m:r>
            <w:rPr>
              <w:rStyle w:val="afc"/>
              <w:rFonts w:ascii="Cambria Math" w:hAnsi="Cambria Math" w:hint="eastAsia"/>
              <w:noProof/>
              <w:lang w:eastAsia="zh-CN"/>
            </w:rPr>
            <m:t>≥</m:t>
          </m:r>
          <m:r>
            <m:rPr>
              <m:sty m:val="bi"/>
            </m:rPr>
            <w:rPr>
              <w:rStyle w:val="afc"/>
              <w:rFonts w:ascii="Cambria Math" w:hAnsi="Cambria Math"/>
              <w:noProof/>
              <w:lang w:eastAsia="zh-CN"/>
            </w:rPr>
            <m:t>MC</m:t>
          </m:r>
        </m:oMath>
        <w:r w:rsidR="00636AA5" w:rsidRPr="006F4C9D">
          <w:rPr>
            <w:rStyle w:val="afc"/>
            <w:noProof/>
          </w:rPr>
          <w:t xml:space="preserve">) and </w:t>
        </w:r>
        <m:oMath>
          <m:r>
            <m:rPr>
              <m:sty m:val="bi"/>
            </m:rPr>
            <w:rPr>
              <w:rStyle w:val="afc"/>
              <w:rFonts w:ascii="Cambria Math" w:hAnsi="Cambria Math"/>
              <w:noProof/>
            </w:rPr>
            <m:t>IW</m:t>
          </m:r>
        </m:oMath>
        <w:r w:rsidR="00636AA5" w:rsidRPr="006F4C9D">
          <w:rPr>
            <w:rStyle w:val="afc"/>
            <w:noProof/>
          </w:rPr>
          <w:t xml:space="preserve"> estimator calibrated between years 2006 and 2017 in the state of Oklahoma. The power law explains 77% of the bivariate behavior of monthly injection and earthquakes number. Upper and lower dashed lines representing standard errors of estimates have been added to the mean predicted values.</w:t>
        </w:r>
        <w:r w:rsidR="00636AA5">
          <w:rPr>
            <w:noProof/>
            <w:webHidden/>
          </w:rPr>
          <w:tab/>
        </w:r>
        <w:r w:rsidR="00636AA5">
          <w:rPr>
            <w:noProof/>
            <w:webHidden/>
          </w:rPr>
          <w:fldChar w:fldCharType="begin"/>
        </w:r>
        <w:r w:rsidR="00636AA5">
          <w:rPr>
            <w:noProof/>
            <w:webHidden/>
          </w:rPr>
          <w:instrText xml:space="preserve"> PAGEREF _Toc75361888 \h </w:instrText>
        </w:r>
        <w:r w:rsidR="00636AA5">
          <w:rPr>
            <w:noProof/>
            <w:webHidden/>
          </w:rPr>
        </w:r>
        <w:r w:rsidR="00636AA5">
          <w:rPr>
            <w:noProof/>
            <w:webHidden/>
          </w:rPr>
          <w:fldChar w:fldCharType="separate"/>
        </w:r>
        <w:r w:rsidR="00492676">
          <w:rPr>
            <w:noProof/>
            <w:webHidden/>
          </w:rPr>
          <w:t>38</w:t>
        </w:r>
        <w:r w:rsidR="00636AA5">
          <w:rPr>
            <w:noProof/>
            <w:webHidden/>
          </w:rPr>
          <w:fldChar w:fldCharType="end"/>
        </w:r>
      </w:hyperlink>
    </w:p>
    <w:p w14:paraId="27C807FE" w14:textId="424E968C"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89" w:history="1">
        <w:r w:rsidR="00636AA5" w:rsidRPr="006F4C9D">
          <w:rPr>
            <w:rStyle w:val="afc"/>
            <w:noProof/>
          </w:rPr>
          <w:t>Figure 2.9. Model intercomparison experiment using the hydromechanical, seismogenic and parsimonious models for retrospective simulations of seismicity in Oklahoma between 2008 and 2018 in light of observed (declustered) seismic events and monthly waste water injection rates.</w:t>
        </w:r>
        <w:r w:rsidR="00636AA5">
          <w:rPr>
            <w:noProof/>
            <w:webHidden/>
          </w:rPr>
          <w:tab/>
        </w:r>
        <w:r w:rsidR="00636AA5">
          <w:rPr>
            <w:noProof/>
            <w:webHidden/>
          </w:rPr>
          <w:fldChar w:fldCharType="begin"/>
        </w:r>
        <w:r w:rsidR="00636AA5">
          <w:rPr>
            <w:noProof/>
            <w:webHidden/>
          </w:rPr>
          <w:instrText xml:space="preserve"> PAGEREF _Toc75361889 \h </w:instrText>
        </w:r>
        <w:r w:rsidR="00636AA5">
          <w:rPr>
            <w:noProof/>
            <w:webHidden/>
          </w:rPr>
        </w:r>
        <w:r w:rsidR="00636AA5">
          <w:rPr>
            <w:noProof/>
            <w:webHidden/>
          </w:rPr>
          <w:fldChar w:fldCharType="separate"/>
        </w:r>
        <w:r w:rsidR="00492676">
          <w:rPr>
            <w:noProof/>
            <w:webHidden/>
          </w:rPr>
          <w:t>42</w:t>
        </w:r>
        <w:r w:rsidR="00636AA5">
          <w:rPr>
            <w:noProof/>
            <w:webHidden/>
          </w:rPr>
          <w:fldChar w:fldCharType="end"/>
        </w:r>
      </w:hyperlink>
    </w:p>
    <w:p w14:paraId="3FE76BAC" w14:textId="7A5B6EB2"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0" w:history="1">
        <w:r w:rsidR="00636AA5" w:rsidRPr="006F4C9D">
          <w:rPr>
            <w:rStyle w:val="afc"/>
            <w:noProof/>
          </w:rPr>
          <w:t>Figure 3.1. The distribution of in situ soil moisture stations from the Oklahoma Mesonet on a National Land Cover Dataset (NLCD) land cover type (for year 2016) map.</w:t>
        </w:r>
        <w:r w:rsidR="00636AA5">
          <w:rPr>
            <w:noProof/>
            <w:webHidden/>
          </w:rPr>
          <w:tab/>
        </w:r>
        <w:r w:rsidR="00636AA5">
          <w:rPr>
            <w:noProof/>
            <w:webHidden/>
          </w:rPr>
          <w:fldChar w:fldCharType="begin"/>
        </w:r>
        <w:r w:rsidR="00636AA5">
          <w:rPr>
            <w:noProof/>
            <w:webHidden/>
          </w:rPr>
          <w:instrText xml:space="preserve"> PAGEREF _Toc75361890 \h </w:instrText>
        </w:r>
        <w:r w:rsidR="00636AA5">
          <w:rPr>
            <w:noProof/>
            <w:webHidden/>
          </w:rPr>
        </w:r>
        <w:r w:rsidR="00636AA5">
          <w:rPr>
            <w:noProof/>
            <w:webHidden/>
          </w:rPr>
          <w:fldChar w:fldCharType="separate"/>
        </w:r>
        <w:r w:rsidR="00492676">
          <w:rPr>
            <w:noProof/>
            <w:webHidden/>
          </w:rPr>
          <w:t>59</w:t>
        </w:r>
        <w:r w:rsidR="00636AA5">
          <w:rPr>
            <w:noProof/>
            <w:webHidden/>
          </w:rPr>
          <w:fldChar w:fldCharType="end"/>
        </w:r>
      </w:hyperlink>
    </w:p>
    <w:p w14:paraId="2C1A7B81" w14:textId="000DB12D"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1" w:history="1">
        <w:r w:rsidR="00636AA5" w:rsidRPr="006F4C9D">
          <w:rPr>
            <w:rStyle w:val="afc"/>
            <w:noProof/>
          </w:rPr>
          <w:t>Figure 3.2. Oklahoma climate divisions with their major land cover types based on the 2016 NLCD map.</w:t>
        </w:r>
        <w:r w:rsidR="00636AA5">
          <w:rPr>
            <w:noProof/>
            <w:webHidden/>
          </w:rPr>
          <w:tab/>
        </w:r>
        <w:r w:rsidR="00636AA5">
          <w:rPr>
            <w:noProof/>
            <w:webHidden/>
          </w:rPr>
          <w:fldChar w:fldCharType="begin"/>
        </w:r>
        <w:r w:rsidR="00636AA5">
          <w:rPr>
            <w:noProof/>
            <w:webHidden/>
          </w:rPr>
          <w:instrText xml:space="preserve"> PAGEREF _Toc75361891 \h </w:instrText>
        </w:r>
        <w:r w:rsidR="00636AA5">
          <w:rPr>
            <w:noProof/>
            <w:webHidden/>
          </w:rPr>
        </w:r>
        <w:r w:rsidR="00636AA5">
          <w:rPr>
            <w:noProof/>
            <w:webHidden/>
          </w:rPr>
          <w:fldChar w:fldCharType="separate"/>
        </w:r>
        <w:r w:rsidR="00492676">
          <w:rPr>
            <w:noProof/>
            <w:webHidden/>
          </w:rPr>
          <w:t>60</w:t>
        </w:r>
        <w:r w:rsidR="00636AA5">
          <w:rPr>
            <w:noProof/>
            <w:webHidden/>
          </w:rPr>
          <w:fldChar w:fldCharType="end"/>
        </w:r>
      </w:hyperlink>
    </w:p>
    <w:p w14:paraId="0F00CB6C" w14:textId="085E629E"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2" w:history="1">
        <w:r w:rsidR="00636AA5" w:rsidRPr="006F4C9D">
          <w:rPr>
            <w:rStyle w:val="afc"/>
            <w:noProof/>
          </w:rPr>
          <w:t>Figure 3.3. Temporal coverage of SMAP, Noah, and Mesonet soil moisture products used in this study.</w:t>
        </w:r>
        <w:r w:rsidR="00636AA5">
          <w:rPr>
            <w:noProof/>
            <w:webHidden/>
          </w:rPr>
          <w:tab/>
        </w:r>
        <w:r w:rsidR="00636AA5">
          <w:rPr>
            <w:noProof/>
            <w:webHidden/>
          </w:rPr>
          <w:fldChar w:fldCharType="begin"/>
        </w:r>
        <w:r w:rsidR="00636AA5">
          <w:rPr>
            <w:noProof/>
            <w:webHidden/>
          </w:rPr>
          <w:instrText xml:space="preserve"> PAGEREF _Toc75361892 \h </w:instrText>
        </w:r>
        <w:r w:rsidR="00636AA5">
          <w:rPr>
            <w:noProof/>
            <w:webHidden/>
          </w:rPr>
        </w:r>
        <w:r w:rsidR="00636AA5">
          <w:rPr>
            <w:noProof/>
            <w:webHidden/>
          </w:rPr>
          <w:fldChar w:fldCharType="separate"/>
        </w:r>
        <w:r w:rsidR="00492676">
          <w:rPr>
            <w:noProof/>
            <w:webHidden/>
          </w:rPr>
          <w:t>61</w:t>
        </w:r>
        <w:r w:rsidR="00636AA5">
          <w:rPr>
            <w:noProof/>
            <w:webHidden/>
          </w:rPr>
          <w:fldChar w:fldCharType="end"/>
        </w:r>
      </w:hyperlink>
    </w:p>
    <w:p w14:paraId="2C88B39F" w14:textId="398232EC"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3" w:history="1">
        <w:r w:rsidR="00636AA5" w:rsidRPr="006F4C9D">
          <w:rPr>
            <w:rStyle w:val="afc"/>
            <w:noProof/>
          </w:rPr>
          <w:t>Figure 3.4. Product inter-comparison assessment through CC (left column) and RMSE (right column) after applying the TC method for Mesonet (first row), Noah (second row) and SMAP (third row). surface soil moisture products based on morning 6 AM soil moisture values from April 2015 through July 2019.</w:t>
        </w:r>
        <w:r w:rsidR="00636AA5">
          <w:rPr>
            <w:noProof/>
            <w:webHidden/>
          </w:rPr>
          <w:tab/>
        </w:r>
        <w:r w:rsidR="00636AA5">
          <w:rPr>
            <w:noProof/>
            <w:webHidden/>
          </w:rPr>
          <w:fldChar w:fldCharType="begin"/>
        </w:r>
        <w:r w:rsidR="00636AA5">
          <w:rPr>
            <w:noProof/>
            <w:webHidden/>
          </w:rPr>
          <w:instrText xml:space="preserve"> PAGEREF _Toc75361893 \h </w:instrText>
        </w:r>
        <w:r w:rsidR="00636AA5">
          <w:rPr>
            <w:noProof/>
            <w:webHidden/>
          </w:rPr>
        </w:r>
        <w:r w:rsidR="00636AA5">
          <w:rPr>
            <w:noProof/>
            <w:webHidden/>
          </w:rPr>
          <w:fldChar w:fldCharType="separate"/>
        </w:r>
        <w:r w:rsidR="00492676">
          <w:rPr>
            <w:noProof/>
            <w:webHidden/>
          </w:rPr>
          <w:t>67</w:t>
        </w:r>
        <w:r w:rsidR="00636AA5">
          <w:rPr>
            <w:noProof/>
            <w:webHidden/>
          </w:rPr>
          <w:fldChar w:fldCharType="end"/>
        </w:r>
      </w:hyperlink>
    </w:p>
    <w:p w14:paraId="135F95E2" w14:textId="36D1C323"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4" w:history="1">
        <w:r w:rsidR="00636AA5" w:rsidRPr="006F4C9D">
          <w:rPr>
            <w:rStyle w:val="afc"/>
            <w:noProof/>
          </w:rPr>
          <w:t>Figure 3.5. Product inter-comparison assessment through CC (left column) and RMSE (right column) after applying the TC method for Mesonet (first row), Noah (second row) and SMAP (third row) surface soil moisture products based on local 6 PM soil moisture values from April 2015 through July 2019.</w:t>
        </w:r>
        <w:r w:rsidR="00636AA5">
          <w:rPr>
            <w:noProof/>
            <w:webHidden/>
          </w:rPr>
          <w:tab/>
        </w:r>
        <w:r w:rsidR="00636AA5">
          <w:rPr>
            <w:noProof/>
            <w:webHidden/>
          </w:rPr>
          <w:fldChar w:fldCharType="begin"/>
        </w:r>
        <w:r w:rsidR="00636AA5">
          <w:rPr>
            <w:noProof/>
            <w:webHidden/>
          </w:rPr>
          <w:instrText xml:space="preserve"> PAGEREF _Toc75361894 \h </w:instrText>
        </w:r>
        <w:r w:rsidR="00636AA5">
          <w:rPr>
            <w:noProof/>
            <w:webHidden/>
          </w:rPr>
        </w:r>
        <w:r w:rsidR="00636AA5">
          <w:rPr>
            <w:noProof/>
            <w:webHidden/>
          </w:rPr>
          <w:fldChar w:fldCharType="separate"/>
        </w:r>
        <w:r w:rsidR="00492676">
          <w:rPr>
            <w:noProof/>
            <w:webHidden/>
          </w:rPr>
          <w:t>68</w:t>
        </w:r>
        <w:r w:rsidR="00636AA5">
          <w:rPr>
            <w:noProof/>
            <w:webHidden/>
          </w:rPr>
          <w:fldChar w:fldCharType="end"/>
        </w:r>
      </w:hyperlink>
    </w:p>
    <w:p w14:paraId="5505BEA4" w14:textId="03FF56FF"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5" w:history="1">
        <w:r w:rsidR="00636AA5" w:rsidRPr="006F4C9D">
          <w:rPr>
            <w:rStyle w:val="afc"/>
            <w:noProof/>
          </w:rPr>
          <w:t>Figure 3.6. Product inter-comparison assessment through CC (left column) and RMSE (right column) after applying the TC method for Mesonet (first row), Noah (second row) and SMAP (third row) surface soil moisture products based on morning 6 AM values from April 2015 through July 2019, integrated (averaged) only during the Spring season months (i.e., March, April and May).</w:t>
        </w:r>
        <w:r w:rsidR="00636AA5">
          <w:rPr>
            <w:noProof/>
            <w:webHidden/>
          </w:rPr>
          <w:tab/>
        </w:r>
        <w:r w:rsidR="00636AA5">
          <w:rPr>
            <w:noProof/>
            <w:webHidden/>
          </w:rPr>
          <w:fldChar w:fldCharType="begin"/>
        </w:r>
        <w:r w:rsidR="00636AA5">
          <w:rPr>
            <w:noProof/>
            <w:webHidden/>
          </w:rPr>
          <w:instrText xml:space="preserve"> PAGEREF _Toc75361895 \h </w:instrText>
        </w:r>
        <w:r w:rsidR="00636AA5">
          <w:rPr>
            <w:noProof/>
            <w:webHidden/>
          </w:rPr>
        </w:r>
        <w:r w:rsidR="00636AA5">
          <w:rPr>
            <w:noProof/>
            <w:webHidden/>
          </w:rPr>
          <w:fldChar w:fldCharType="separate"/>
        </w:r>
        <w:r w:rsidR="00492676">
          <w:rPr>
            <w:noProof/>
            <w:webHidden/>
          </w:rPr>
          <w:t>74</w:t>
        </w:r>
        <w:r w:rsidR="00636AA5">
          <w:rPr>
            <w:noProof/>
            <w:webHidden/>
          </w:rPr>
          <w:fldChar w:fldCharType="end"/>
        </w:r>
      </w:hyperlink>
    </w:p>
    <w:p w14:paraId="586F749D" w14:textId="5AB7D88B"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6" w:history="1">
        <w:r w:rsidR="00636AA5" w:rsidRPr="006F4C9D">
          <w:rPr>
            <w:rStyle w:val="afc"/>
            <w:noProof/>
          </w:rPr>
          <w:t xml:space="preserve">Figure 3.7. Product inter-comparison assessment through CC (left column) and RMSE (right column) after applying the TC method for Mesonet (first row), Noah (second row) and SMAP (third row) surface soil moisture products based on morning </w:t>
        </w:r>
        <w:r w:rsidR="00636AA5" w:rsidRPr="006F4C9D">
          <w:rPr>
            <w:rStyle w:val="afc"/>
            <w:noProof/>
          </w:rPr>
          <w:lastRenderedPageBreak/>
          <w:t>6 AM values from April 2015 through July 2019, integrated (averaged)only during the Summer season months (i.e., June, July and August).</w:t>
        </w:r>
        <w:r w:rsidR="00636AA5">
          <w:rPr>
            <w:noProof/>
            <w:webHidden/>
          </w:rPr>
          <w:tab/>
        </w:r>
        <w:r w:rsidR="00636AA5">
          <w:rPr>
            <w:noProof/>
            <w:webHidden/>
          </w:rPr>
          <w:fldChar w:fldCharType="begin"/>
        </w:r>
        <w:r w:rsidR="00636AA5">
          <w:rPr>
            <w:noProof/>
            <w:webHidden/>
          </w:rPr>
          <w:instrText xml:space="preserve"> PAGEREF _Toc75361896 \h </w:instrText>
        </w:r>
        <w:r w:rsidR="00636AA5">
          <w:rPr>
            <w:noProof/>
            <w:webHidden/>
          </w:rPr>
        </w:r>
        <w:r w:rsidR="00636AA5">
          <w:rPr>
            <w:noProof/>
            <w:webHidden/>
          </w:rPr>
          <w:fldChar w:fldCharType="separate"/>
        </w:r>
        <w:r w:rsidR="00492676">
          <w:rPr>
            <w:noProof/>
            <w:webHidden/>
          </w:rPr>
          <w:t>75</w:t>
        </w:r>
        <w:r w:rsidR="00636AA5">
          <w:rPr>
            <w:noProof/>
            <w:webHidden/>
          </w:rPr>
          <w:fldChar w:fldCharType="end"/>
        </w:r>
      </w:hyperlink>
    </w:p>
    <w:p w14:paraId="46D99F79" w14:textId="1470321B"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7" w:history="1">
        <w:r w:rsidR="00636AA5" w:rsidRPr="006F4C9D">
          <w:rPr>
            <w:rStyle w:val="afc"/>
            <w:noProof/>
          </w:rPr>
          <w:t>Figure 3.8. Product inter-comparison assessment through CC (left column) and RMSE (right column) after applying the TC method for Mesonet (first row), Noah (second row) and SMAP (third row) surface soil moisture products based on morning 6 AM values from April 2015 through July 2019, integrated (averaged)only during the Fall season months (i.e., September, October, November).</w:t>
        </w:r>
        <w:r w:rsidR="00636AA5">
          <w:rPr>
            <w:noProof/>
            <w:webHidden/>
          </w:rPr>
          <w:tab/>
        </w:r>
        <w:r w:rsidR="00636AA5">
          <w:rPr>
            <w:noProof/>
            <w:webHidden/>
          </w:rPr>
          <w:fldChar w:fldCharType="begin"/>
        </w:r>
        <w:r w:rsidR="00636AA5">
          <w:rPr>
            <w:noProof/>
            <w:webHidden/>
          </w:rPr>
          <w:instrText xml:space="preserve"> PAGEREF _Toc75361897 \h </w:instrText>
        </w:r>
        <w:r w:rsidR="00636AA5">
          <w:rPr>
            <w:noProof/>
            <w:webHidden/>
          </w:rPr>
        </w:r>
        <w:r w:rsidR="00636AA5">
          <w:rPr>
            <w:noProof/>
            <w:webHidden/>
          </w:rPr>
          <w:fldChar w:fldCharType="separate"/>
        </w:r>
        <w:r w:rsidR="00492676">
          <w:rPr>
            <w:noProof/>
            <w:webHidden/>
          </w:rPr>
          <w:t>76</w:t>
        </w:r>
        <w:r w:rsidR="00636AA5">
          <w:rPr>
            <w:noProof/>
            <w:webHidden/>
          </w:rPr>
          <w:fldChar w:fldCharType="end"/>
        </w:r>
      </w:hyperlink>
    </w:p>
    <w:p w14:paraId="25C7C923" w14:textId="1BAAE5A4"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8" w:history="1">
        <w:r w:rsidR="00636AA5" w:rsidRPr="006F4C9D">
          <w:rPr>
            <w:rStyle w:val="afc"/>
            <w:noProof/>
          </w:rPr>
          <w:t>Figure 3.9. Product inter-comparison assessment through CC (left column) and RMSE (right column) after applying the TC method for Mesonet (first row), Noah (second row) and SMAP (third row) surface soil moisture products based on morning 6 AM values from April 2015 through July 2019, integrated (averaged)only during the Winter season months (i.e., December, January, February).</w:t>
        </w:r>
        <w:r w:rsidR="00636AA5">
          <w:rPr>
            <w:noProof/>
            <w:webHidden/>
          </w:rPr>
          <w:tab/>
        </w:r>
        <w:r w:rsidR="00636AA5">
          <w:rPr>
            <w:noProof/>
            <w:webHidden/>
          </w:rPr>
          <w:fldChar w:fldCharType="begin"/>
        </w:r>
        <w:r w:rsidR="00636AA5">
          <w:rPr>
            <w:noProof/>
            <w:webHidden/>
          </w:rPr>
          <w:instrText xml:space="preserve"> PAGEREF _Toc75361898 \h </w:instrText>
        </w:r>
        <w:r w:rsidR="00636AA5">
          <w:rPr>
            <w:noProof/>
            <w:webHidden/>
          </w:rPr>
        </w:r>
        <w:r w:rsidR="00636AA5">
          <w:rPr>
            <w:noProof/>
            <w:webHidden/>
          </w:rPr>
          <w:fldChar w:fldCharType="separate"/>
        </w:r>
        <w:r w:rsidR="00492676">
          <w:rPr>
            <w:noProof/>
            <w:webHidden/>
          </w:rPr>
          <w:t>77</w:t>
        </w:r>
        <w:r w:rsidR="00636AA5">
          <w:rPr>
            <w:noProof/>
            <w:webHidden/>
          </w:rPr>
          <w:fldChar w:fldCharType="end"/>
        </w:r>
      </w:hyperlink>
    </w:p>
    <w:p w14:paraId="7C7C17EE" w14:textId="43679476"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899" w:history="1">
        <w:r w:rsidR="00636AA5" w:rsidRPr="006F4C9D">
          <w:rPr>
            <w:rStyle w:val="afc"/>
            <w:noProof/>
          </w:rPr>
          <w:t>Figure 3.10. Soil moisture product inter-comparison results using the TC method for Mesonet, Noah and SMAP based on (a) CC and (b) RMSE for values at local 6 AM, over nine Oklahoma state representative land cover types (see Table 3) from April 2015 through July 2019.</w:t>
        </w:r>
        <w:r w:rsidR="00636AA5">
          <w:rPr>
            <w:noProof/>
            <w:webHidden/>
          </w:rPr>
          <w:tab/>
        </w:r>
        <w:r w:rsidR="00636AA5">
          <w:rPr>
            <w:noProof/>
            <w:webHidden/>
          </w:rPr>
          <w:fldChar w:fldCharType="begin"/>
        </w:r>
        <w:r w:rsidR="00636AA5">
          <w:rPr>
            <w:noProof/>
            <w:webHidden/>
          </w:rPr>
          <w:instrText xml:space="preserve"> PAGEREF _Toc75361899 \h </w:instrText>
        </w:r>
        <w:r w:rsidR="00636AA5">
          <w:rPr>
            <w:noProof/>
            <w:webHidden/>
          </w:rPr>
        </w:r>
        <w:r w:rsidR="00636AA5">
          <w:rPr>
            <w:noProof/>
            <w:webHidden/>
          </w:rPr>
          <w:fldChar w:fldCharType="separate"/>
        </w:r>
        <w:r w:rsidR="00492676">
          <w:rPr>
            <w:noProof/>
            <w:webHidden/>
          </w:rPr>
          <w:t>79</w:t>
        </w:r>
        <w:r w:rsidR="00636AA5">
          <w:rPr>
            <w:noProof/>
            <w:webHidden/>
          </w:rPr>
          <w:fldChar w:fldCharType="end"/>
        </w:r>
      </w:hyperlink>
    </w:p>
    <w:p w14:paraId="3FAF0BF5" w14:textId="4B54AC77"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0" w:history="1">
        <w:r w:rsidR="00636AA5" w:rsidRPr="006F4C9D">
          <w:rPr>
            <w:rStyle w:val="afc"/>
            <w:noProof/>
          </w:rPr>
          <w:t>Figure 3.11. Mean correlation coefficient (CCmean) between each soil moisture product and the TC-derived “unknown truth” at local 6 AM, over nine Oklahoma state representative land cover types (see Table 3). Results are discretized by season: (a) Spring, (b) Summer, (c) Fall and (d) Winter for the period from April 2015 to July 2019.</w:t>
        </w:r>
        <w:r w:rsidR="00636AA5">
          <w:rPr>
            <w:noProof/>
            <w:webHidden/>
          </w:rPr>
          <w:tab/>
        </w:r>
        <w:r w:rsidR="00636AA5">
          <w:rPr>
            <w:noProof/>
            <w:webHidden/>
          </w:rPr>
          <w:fldChar w:fldCharType="begin"/>
        </w:r>
        <w:r w:rsidR="00636AA5">
          <w:rPr>
            <w:noProof/>
            <w:webHidden/>
          </w:rPr>
          <w:instrText xml:space="preserve"> PAGEREF _Toc75361900 \h </w:instrText>
        </w:r>
        <w:r w:rsidR="00636AA5">
          <w:rPr>
            <w:noProof/>
            <w:webHidden/>
          </w:rPr>
        </w:r>
        <w:r w:rsidR="00636AA5">
          <w:rPr>
            <w:noProof/>
            <w:webHidden/>
          </w:rPr>
          <w:fldChar w:fldCharType="separate"/>
        </w:r>
        <w:r w:rsidR="00492676">
          <w:rPr>
            <w:noProof/>
            <w:webHidden/>
          </w:rPr>
          <w:t>81</w:t>
        </w:r>
        <w:r w:rsidR="00636AA5">
          <w:rPr>
            <w:noProof/>
            <w:webHidden/>
          </w:rPr>
          <w:fldChar w:fldCharType="end"/>
        </w:r>
      </w:hyperlink>
    </w:p>
    <w:p w14:paraId="396A91A4" w14:textId="7E58B236"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1" w:history="1">
        <w:r w:rsidR="00636AA5" w:rsidRPr="006F4C9D">
          <w:rPr>
            <w:rStyle w:val="afc"/>
            <w:noProof/>
          </w:rPr>
          <w:t xml:space="preserve">Figure 3.12. Mean RMSE between each soil moisture product and the TC-derived “unknown truth” at local 6 AM, over nine Oklahoma state representative </w:t>
        </w:r>
        <w:r w:rsidR="00636AA5" w:rsidRPr="006F4C9D">
          <w:rPr>
            <w:rStyle w:val="afc"/>
            <w:noProof/>
          </w:rPr>
          <w:lastRenderedPageBreak/>
          <w:t>land cover types (see Table 3). Results are discretized by season: (a) Spring, (b) Summer, (c) Fall and (d) Winter for the period from April 2015 to July 2019.</w:t>
        </w:r>
        <w:r w:rsidR="00636AA5">
          <w:rPr>
            <w:noProof/>
            <w:webHidden/>
          </w:rPr>
          <w:tab/>
        </w:r>
        <w:r w:rsidR="00636AA5">
          <w:rPr>
            <w:noProof/>
            <w:webHidden/>
          </w:rPr>
          <w:fldChar w:fldCharType="begin"/>
        </w:r>
        <w:r w:rsidR="00636AA5">
          <w:rPr>
            <w:noProof/>
            <w:webHidden/>
          </w:rPr>
          <w:instrText xml:space="preserve"> PAGEREF _Toc75361901 \h </w:instrText>
        </w:r>
        <w:r w:rsidR="00636AA5">
          <w:rPr>
            <w:noProof/>
            <w:webHidden/>
          </w:rPr>
        </w:r>
        <w:r w:rsidR="00636AA5">
          <w:rPr>
            <w:noProof/>
            <w:webHidden/>
          </w:rPr>
          <w:fldChar w:fldCharType="separate"/>
        </w:r>
        <w:r w:rsidR="00492676">
          <w:rPr>
            <w:noProof/>
            <w:webHidden/>
          </w:rPr>
          <w:t>84</w:t>
        </w:r>
        <w:r w:rsidR="00636AA5">
          <w:rPr>
            <w:noProof/>
            <w:webHidden/>
          </w:rPr>
          <w:fldChar w:fldCharType="end"/>
        </w:r>
      </w:hyperlink>
    </w:p>
    <w:p w14:paraId="48622009" w14:textId="0D22CB82"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2" w:history="1">
        <w:r w:rsidR="00636AA5" w:rsidRPr="006F4C9D">
          <w:rPr>
            <w:rStyle w:val="afc"/>
            <w:noProof/>
          </w:rPr>
          <w:t>Figure 4.1. The distribution of in situ soil moisture stations from the Oklahoma Mesonet on a National Land Cover Dataset (NLCD) land cover type (for year 2016) map.</w:t>
        </w:r>
        <w:r w:rsidR="00636AA5">
          <w:rPr>
            <w:noProof/>
            <w:webHidden/>
          </w:rPr>
          <w:tab/>
        </w:r>
        <w:r w:rsidR="00636AA5">
          <w:rPr>
            <w:noProof/>
            <w:webHidden/>
          </w:rPr>
          <w:fldChar w:fldCharType="begin"/>
        </w:r>
        <w:r w:rsidR="00636AA5">
          <w:rPr>
            <w:noProof/>
            <w:webHidden/>
          </w:rPr>
          <w:instrText xml:space="preserve"> PAGEREF _Toc75361902 \h </w:instrText>
        </w:r>
        <w:r w:rsidR="00636AA5">
          <w:rPr>
            <w:noProof/>
            <w:webHidden/>
          </w:rPr>
        </w:r>
        <w:r w:rsidR="00636AA5">
          <w:rPr>
            <w:noProof/>
            <w:webHidden/>
          </w:rPr>
          <w:fldChar w:fldCharType="separate"/>
        </w:r>
        <w:r w:rsidR="00492676">
          <w:rPr>
            <w:noProof/>
            <w:webHidden/>
          </w:rPr>
          <w:t>111</w:t>
        </w:r>
        <w:r w:rsidR="00636AA5">
          <w:rPr>
            <w:noProof/>
            <w:webHidden/>
          </w:rPr>
          <w:fldChar w:fldCharType="end"/>
        </w:r>
      </w:hyperlink>
    </w:p>
    <w:p w14:paraId="7773E2D7" w14:textId="3486256A"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3" w:history="1">
        <w:r w:rsidR="00636AA5" w:rsidRPr="006F4C9D">
          <w:rPr>
            <w:rStyle w:val="afc"/>
            <w:noProof/>
          </w:rPr>
          <w:t>Figure 4.2. Oklahoma climate divisions and the 1-km STATSGO database derived soil texture classes.</w:t>
        </w:r>
        <w:r w:rsidR="00636AA5">
          <w:rPr>
            <w:noProof/>
            <w:webHidden/>
          </w:rPr>
          <w:tab/>
        </w:r>
        <w:r w:rsidR="00636AA5">
          <w:rPr>
            <w:noProof/>
            <w:webHidden/>
          </w:rPr>
          <w:fldChar w:fldCharType="begin"/>
        </w:r>
        <w:r w:rsidR="00636AA5">
          <w:rPr>
            <w:noProof/>
            <w:webHidden/>
          </w:rPr>
          <w:instrText xml:space="preserve"> PAGEREF _Toc75361903 \h </w:instrText>
        </w:r>
        <w:r w:rsidR="00636AA5">
          <w:rPr>
            <w:noProof/>
            <w:webHidden/>
          </w:rPr>
        </w:r>
        <w:r w:rsidR="00636AA5">
          <w:rPr>
            <w:noProof/>
            <w:webHidden/>
          </w:rPr>
          <w:fldChar w:fldCharType="separate"/>
        </w:r>
        <w:r w:rsidR="00492676">
          <w:rPr>
            <w:noProof/>
            <w:webHidden/>
          </w:rPr>
          <w:t>112</w:t>
        </w:r>
        <w:r w:rsidR="00636AA5">
          <w:rPr>
            <w:noProof/>
            <w:webHidden/>
          </w:rPr>
          <w:fldChar w:fldCharType="end"/>
        </w:r>
      </w:hyperlink>
    </w:p>
    <w:p w14:paraId="33D24FB0" w14:textId="1761C02D"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4" w:history="1">
        <w:r w:rsidR="00636AA5" w:rsidRPr="006F4C9D">
          <w:rPr>
            <w:rStyle w:val="afc"/>
            <w:noProof/>
          </w:rPr>
          <w:t>Figure 4.3. Map of the least square weighting (LSW)-derived weights based on the TC estimated error variance using soil moisture.  Subfigures (a) to (c) illustrate the spatial distribution of weights for each product.</w:t>
        </w:r>
        <w:r w:rsidR="00636AA5">
          <w:rPr>
            <w:noProof/>
            <w:webHidden/>
          </w:rPr>
          <w:tab/>
        </w:r>
        <w:r w:rsidR="00636AA5">
          <w:rPr>
            <w:noProof/>
            <w:webHidden/>
          </w:rPr>
          <w:fldChar w:fldCharType="begin"/>
        </w:r>
        <w:r w:rsidR="00636AA5">
          <w:rPr>
            <w:noProof/>
            <w:webHidden/>
          </w:rPr>
          <w:instrText xml:space="preserve"> PAGEREF _Toc75361904 \h </w:instrText>
        </w:r>
        <w:r w:rsidR="00636AA5">
          <w:rPr>
            <w:noProof/>
            <w:webHidden/>
          </w:rPr>
        </w:r>
        <w:r w:rsidR="00636AA5">
          <w:rPr>
            <w:noProof/>
            <w:webHidden/>
          </w:rPr>
          <w:fldChar w:fldCharType="separate"/>
        </w:r>
        <w:r w:rsidR="00492676">
          <w:rPr>
            <w:noProof/>
            <w:webHidden/>
          </w:rPr>
          <w:t>119</w:t>
        </w:r>
        <w:r w:rsidR="00636AA5">
          <w:rPr>
            <w:noProof/>
            <w:webHidden/>
          </w:rPr>
          <w:fldChar w:fldCharType="end"/>
        </w:r>
      </w:hyperlink>
    </w:p>
    <w:p w14:paraId="2647D6E6" w14:textId="19CD2579"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5" w:history="1">
        <w:r w:rsidR="00636AA5" w:rsidRPr="006F4C9D">
          <w:rPr>
            <w:rStyle w:val="afc"/>
            <w:noProof/>
          </w:rPr>
          <w:t>Figure 4.4. Evaluation of the blended products (OU-MSSM, AVE) and SMAP L4 using the OSU daily soil moisture measurements based on: (a) Pearson correlation coefficient (CC, first row), (b) Root Mean Square Error (RMSE, second row), and (c) the Bias (BIAS, third row).</w:t>
        </w:r>
        <w:r w:rsidR="00636AA5">
          <w:rPr>
            <w:noProof/>
            <w:webHidden/>
          </w:rPr>
          <w:tab/>
        </w:r>
        <w:r w:rsidR="00636AA5">
          <w:rPr>
            <w:noProof/>
            <w:webHidden/>
          </w:rPr>
          <w:fldChar w:fldCharType="begin"/>
        </w:r>
        <w:r w:rsidR="00636AA5">
          <w:rPr>
            <w:noProof/>
            <w:webHidden/>
          </w:rPr>
          <w:instrText xml:space="preserve"> PAGEREF _Toc75361905 \h </w:instrText>
        </w:r>
        <w:r w:rsidR="00636AA5">
          <w:rPr>
            <w:noProof/>
            <w:webHidden/>
          </w:rPr>
        </w:r>
        <w:r w:rsidR="00636AA5">
          <w:rPr>
            <w:noProof/>
            <w:webHidden/>
          </w:rPr>
          <w:fldChar w:fldCharType="separate"/>
        </w:r>
        <w:r w:rsidR="00492676">
          <w:rPr>
            <w:noProof/>
            <w:webHidden/>
          </w:rPr>
          <w:t>120</w:t>
        </w:r>
        <w:r w:rsidR="00636AA5">
          <w:rPr>
            <w:noProof/>
            <w:webHidden/>
          </w:rPr>
          <w:fldChar w:fldCharType="end"/>
        </w:r>
      </w:hyperlink>
    </w:p>
    <w:p w14:paraId="2D0C05BB" w14:textId="5EAA4FF2"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6" w:history="1">
        <w:r w:rsidR="00636AA5" w:rsidRPr="006F4C9D">
          <w:rPr>
            <w:rStyle w:val="afc"/>
            <w:noProof/>
          </w:rPr>
          <w:t>Figure 4.5. Comparison of the blended products (OU-MSSM, AVE) and SMAP L4 over nine climate divisions in Oklahoma: (a) Pearson correlation coefficient, (b) Root Mean Square Error, and (c) the Bias. All metrics use the benchmark (OSU) daily soil moisture product.</w:t>
        </w:r>
        <w:r w:rsidR="00636AA5">
          <w:rPr>
            <w:noProof/>
            <w:webHidden/>
          </w:rPr>
          <w:tab/>
        </w:r>
        <w:r w:rsidR="00636AA5">
          <w:rPr>
            <w:noProof/>
            <w:webHidden/>
          </w:rPr>
          <w:fldChar w:fldCharType="begin"/>
        </w:r>
        <w:r w:rsidR="00636AA5">
          <w:rPr>
            <w:noProof/>
            <w:webHidden/>
          </w:rPr>
          <w:instrText xml:space="preserve"> PAGEREF _Toc75361906 \h </w:instrText>
        </w:r>
        <w:r w:rsidR="00636AA5">
          <w:rPr>
            <w:noProof/>
            <w:webHidden/>
          </w:rPr>
        </w:r>
        <w:r w:rsidR="00636AA5">
          <w:rPr>
            <w:noProof/>
            <w:webHidden/>
          </w:rPr>
          <w:fldChar w:fldCharType="separate"/>
        </w:r>
        <w:r w:rsidR="00492676">
          <w:rPr>
            <w:noProof/>
            <w:webHidden/>
          </w:rPr>
          <w:t>122</w:t>
        </w:r>
        <w:r w:rsidR="00636AA5">
          <w:rPr>
            <w:noProof/>
            <w:webHidden/>
          </w:rPr>
          <w:fldChar w:fldCharType="end"/>
        </w:r>
      </w:hyperlink>
    </w:p>
    <w:p w14:paraId="4144980C" w14:textId="49C1721C"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7" w:history="1">
        <w:r w:rsidR="00636AA5" w:rsidRPr="006F4C9D">
          <w:rPr>
            <w:rStyle w:val="afc"/>
            <w:noProof/>
          </w:rPr>
          <w:t>Figure 4.6. Comparison of the blended products (OU-MSSM, AVE) and SMAP L4 over different landcover types in Oklahoma: (a) Spearman correlation coefficient (CC), (b) Root Mean Square Error (RMSE), and (c) the Bias. All metrics use the (OSU) daily soil moisture as benchmark product.</w:t>
        </w:r>
        <w:r w:rsidR="00636AA5">
          <w:rPr>
            <w:noProof/>
            <w:webHidden/>
          </w:rPr>
          <w:tab/>
        </w:r>
        <w:r w:rsidR="00636AA5">
          <w:rPr>
            <w:noProof/>
            <w:webHidden/>
          </w:rPr>
          <w:fldChar w:fldCharType="begin"/>
        </w:r>
        <w:r w:rsidR="00636AA5">
          <w:rPr>
            <w:noProof/>
            <w:webHidden/>
          </w:rPr>
          <w:instrText xml:space="preserve"> PAGEREF _Toc75361907 \h </w:instrText>
        </w:r>
        <w:r w:rsidR="00636AA5">
          <w:rPr>
            <w:noProof/>
            <w:webHidden/>
          </w:rPr>
        </w:r>
        <w:r w:rsidR="00636AA5">
          <w:rPr>
            <w:noProof/>
            <w:webHidden/>
          </w:rPr>
          <w:fldChar w:fldCharType="separate"/>
        </w:r>
        <w:r w:rsidR="00492676">
          <w:rPr>
            <w:noProof/>
            <w:webHidden/>
          </w:rPr>
          <w:t>124</w:t>
        </w:r>
        <w:r w:rsidR="00636AA5">
          <w:rPr>
            <w:noProof/>
            <w:webHidden/>
          </w:rPr>
          <w:fldChar w:fldCharType="end"/>
        </w:r>
      </w:hyperlink>
    </w:p>
    <w:p w14:paraId="7F89D847" w14:textId="401322C3"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8" w:history="1">
        <w:r w:rsidR="00636AA5" w:rsidRPr="006F4C9D">
          <w:rPr>
            <w:rStyle w:val="afc"/>
            <w:noProof/>
          </w:rPr>
          <w:t>Figure 4.7. Comparison of the blended products (OU-MSSM, AVE) and SMAP L4 over different soil types in Oklahoma: (a) Spearman correlation coefficient, (b) Root Mean Square Error, and (c) Bias. All metrics use the (OSU) daily soil moisture as benchmark product.</w:t>
        </w:r>
        <w:r w:rsidR="00636AA5">
          <w:rPr>
            <w:noProof/>
            <w:webHidden/>
          </w:rPr>
          <w:tab/>
        </w:r>
        <w:r w:rsidR="00636AA5">
          <w:rPr>
            <w:noProof/>
            <w:webHidden/>
          </w:rPr>
          <w:fldChar w:fldCharType="begin"/>
        </w:r>
        <w:r w:rsidR="00636AA5">
          <w:rPr>
            <w:noProof/>
            <w:webHidden/>
          </w:rPr>
          <w:instrText xml:space="preserve"> PAGEREF _Toc75361908 \h </w:instrText>
        </w:r>
        <w:r w:rsidR="00636AA5">
          <w:rPr>
            <w:noProof/>
            <w:webHidden/>
          </w:rPr>
        </w:r>
        <w:r w:rsidR="00636AA5">
          <w:rPr>
            <w:noProof/>
            <w:webHidden/>
          </w:rPr>
          <w:fldChar w:fldCharType="separate"/>
        </w:r>
        <w:r w:rsidR="00492676">
          <w:rPr>
            <w:noProof/>
            <w:webHidden/>
          </w:rPr>
          <w:t>126</w:t>
        </w:r>
        <w:r w:rsidR="00636AA5">
          <w:rPr>
            <w:noProof/>
            <w:webHidden/>
          </w:rPr>
          <w:fldChar w:fldCharType="end"/>
        </w:r>
      </w:hyperlink>
    </w:p>
    <w:p w14:paraId="663B066A" w14:textId="0529E1AA" w:rsidR="00636AA5"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909" w:history="1">
        <w:r w:rsidR="00636AA5" w:rsidRPr="006F4C9D">
          <w:rPr>
            <w:rStyle w:val="afc"/>
            <w:noProof/>
          </w:rPr>
          <w:t>Figure 4.8. Precipitation (inch; vertical bars) and soil water content (cm</w:t>
        </w:r>
        <w:r w:rsidR="00636AA5" w:rsidRPr="006F4C9D">
          <w:rPr>
            <w:rStyle w:val="afc"/>
            <w:noProof/>
            <w:vertAlign w:val="superscript"/>
          </w:rPr>
          <w:t>3</w:t>
        </w:r>
        <w:r w:rsidR="00636AA5" w:rsidRPr="006F4C9D">
          <w:rPr>
            <w:rStyle w:val="afc"/>
            <w:noProof/>
          </w:rPr>
          <w:t>/cm</w:t>
        </w:r>
        <w:r w:rsidR="00636AA5" w:rsidRPr="006F4C9D">
          <w:rPr>
            <w:rStyle w:val="afc"/>
            <w:noProof/>
            <w:vertAlign w:val="superscript"/>
          </w:rPr>
          <w:t>3</w:t>
        </w:r>
        <w:r w:rsidR="00636AA5" w:rsidRPr="006F4C9D">
          <w:rPr>
            <w:rStyle w:val="afc"/>
            <w:noProof/>
          </w:rPr>
          <w:t>) time series from of OU-MSSM, AVE, SMAP L4 and OSU soil moisture products for one example location with coordinates (lat= 34.938, lon= -99.063) corresponding to clay loam soil, cultivated crops vegetation and located in the Southwestclimate region of Oklahoma.</w:t>
        </w:r>
        <w:r w:rsidR="00636AA5">
          <w:rPr>
            <w:noProof/>
            <w:webHidden/>
          </w:rPr>
          <w:tab/>
        </w:r>
        <w:r w:rsidR="00636AA5">
          <w:rPr>
            <w:noProof/>
            <w:webHidden/>
          </w:rPr>
          <w:fldChar w:fldCharType="begin"/>
        </w:r>
        <w:r w:rsidR="00636AA5">
          <w:rPr>
            <w:noProof/>
            <w:webHidden/>
          </w:rPr>
          <w:instrText xml:space="preserve"> PAGEREF _Toc75361909 \h </w:instrText>
        </w:r>
        <w:r w:rsidR="00636AA5">
          <w:rPr>
            <w:noProof/>
            <w:webHidden/>
          </w:rPr>
        </w:r>
        <w:r w:rsidR="00636AA5">
          <w:rPr>
            <w:noProof/>
            <w:webHidden/>
          </w:rPr>
          <w:fldChar w:fldCharType="separate"/>
        </w:r>
        <w:r w:rsidR="00492676">
          <w:rPr>
            <w:noProof/>
            <w:webHidden/>
          </w:rPr>
          <w:t>128</w:t>
        </w:r>
        <w:r w:rsidR="00636AA5">
          <w:rPr>
            <w:noProof/>
            <w:webHidden/>
          </w:rPr>
          <w:fldChar w:fldCharType="end"/>
        </w:r>
      </w:hyperlink>
    </w:p>
    <w:p w14:paraId="1744D63A" w14:textId="5EC6D1F6" w:rsidR="0037312E" w:rsidRDefault="00636AA5" w:rsidP="00DC061C">
      <w:pPr>
        <w:ind w:firstLine="0"/>
      </w:pPr>
      <w:r>
        <w:fldChar w:fldCharType="end"/>
      </w:r>
    </w:p>
    <w:p w14:paraId="0C71ADE0" w14:textId="0028263F" w:rsidR="00EF23C9" w:rsidRDefault="00EF23C9" w:rsidP="00DC061C">
      <w:pPr>
        <w:ind w:firstLine="0"/>
      </w:pPr>
    </w:p>
    <w:p w14:paraId="1F4FF763" w14:textId="65DD842B" w:rsidR="00EF23C9" w:rsidRDefault="00EF23C9" w:rsidP="00DC061C">
      <w:pPr>
        <w:ind w:firstLine="0"/>
      </w:pPr>
    </w:p>
    <w:p w14:paraId="7E24606D" w14:textId="1FE841DE" w:rsidR="00EF23C9" w:rsidRDefault="00EF23C9" w:rsidP="00DC061C">
      <w:pPr>
        <w:ind w:firstLine="0"/>
      </w:pPr>
    </w:p>
    <w:p w14:paraId="2C33962D" w14:textId="173C8811" w:rsidR="00EF23C9" w:rsidRDefault="00EF23C9" w:rsidP="00DC061C">
      <w:pPr>
        <w:ind w:firstLine="0"/>
      </w:pPr>
    </w:p>
    <w:p w14:paraId="083CB4FE" w14:textId="300BBDF5" w:rsidR="00EF23C9" w:rsidRDefault="00EF23C9" w:rsidP="00DC061C">
      <w:pPr>
        <w:ind w:firstLine="0"/>
      </w:pPr>
    </w:p>
    <w:p w14:paraId="4D831EB8" w14:textId="020CB36C" w:rsidR="00EF23C9" w:rsidRDefault="00EF23C9" w:rsidP="00DC061C">
      <w:pPr>
        <w:ind w:firstLine="0"/>
      </w:pPr>
    </w:p>
    <w:p w14:paraId="3C4BE477" w14:textId="17D58643" w:rsidR="00EF23C9" w:rsidRDefault="00EF23C9" w:rsidP="00DC061C">
      <w:pPr>
        <w:ind w:firstLine="0"/>
      </w:pPr>
    </w:p>
    <w:p w14:paraId="758C6EF6" w14:textId="09EEC734" w:rsidR="00EF23C9" w:rsidRDefault="00EF23C9" w:rsidP="00DC061C">
      <w:pPr>
        <w:ind w:firstLine="0"/>
      </w:pPr>
    </w:p>
    <w:p w14:paraId="285CC0D4" w14:textId="6D17B10D" w:rsidR="00EF23C9" w:rsidRDefault="00EF23C9" w:rsidP="00DC061C">
      <w:pPr>
        <w:ind w:firstLine="0"/>
      </w:pPr>
    </w:p>
    <w:p w14:paraId="40F04266" w14:textId="05FCF9ED" w:rsidR="004852AA" w:rsidRDefault="004852AA" w:rsidP="00DC061C">
      <w:pPr>
        <w:ind w:firstLine="0"/>
      </w:pPr>
    </w:p>
    <w:p w14:paraId="550C9D5D" w14:textId="77777777" w:rsidR="004852AA" w:rsidRDefault="004852AA" w:rsidP="00DC061C">
      <w:pPr>
        <w:ind w:firstLine="0"/>
      </w:pPr>
    </w:p>
    <w:p w14:paraId="652235B7" w14:textId="7208BA9B" w:rsidR="00612C72" w:rsidRDefault="74CFCC90" w:rsidP="0037312E">
      <w:pPr>
        <w:pStyle w:val="2"/>
      </w:pPr>
      <w:bookmarkStart w:id="6" w:name="_Toc75939810"/>
      <w:r>
        <w:lastRenderedPageBreak/>
        <w:t>List of Tables</w:t>
      </w:r>
      <w:bookmarkEnd w:id="6"/>
      <w:r>
        <w:t xml:space="preserve"> </w:t>
      </w:r>
    </w:p>
    <w:p w14:paraId="698B5F55" w14:textId="788469C7" w:rsidR="0037312E" w:rsidRDefault="0037312E">
      <w:pPr>
        <w:pStyle w:val="ac"/>
        <w:tabs>
          <w:tab w:val="right" w:leader="dot" w:pos="8054"/>
        </w:tabs>
        <w:rPr>
          <w:rFonts w:asciiTheme="minorHAnsi" w:eastAsiaTheme="minorEastAsia" w:hAnsiTheme="minorHAnsi" w:cstheme="minorBidi"/>
          <w:noProof/>
          <w:sz w:val="22"/>
          <w:szCs w:val="22"/>
          <w:lang w:eastAsia="zh-CN" w:bidi="ar-SA"/>
        </w:rPr>
      </w:pPr>
      <w:r>
        <w:fldChar w:fldCharType="begin"/>
      </w:r>
      <w:r>
        <w:instrText xml:space="preserve"> TOC \h \z \c "Table" </w:instrText>
      </w:r>
      <w:r>
        <w:fldChar w:fldCharType="separate"/>
      </w:r>
      <w:hyperlink w:anchor="_Toc75361140" w:history="1">
        <w:r w:rsidRPr="007C2686">
          <w:rPr>
            <w:rStyle w:val="afc"/>
            <w:noProof/>
          </w:rPr>
          <w:t>Table 2.1. Number of earthquakes in different magnitude units during 2006–2017 in Oklahoma.</w:t>
        </w:r>
        <w:r>
          <w:rPr>
            <w:noProof/>
            <w:webHidden/>
          </w:rPr>
          <w:tab/>
        </w:r>
        <w:r>
          <w:rPr>
            <w:noProof/>
            <w:webHidden/>
          </w:rPr>
          <w:fldChar w:fldCharType="begin"/>
        </w:r>
        <w:r>
          <w:rPr>
            <w:noProof/>
            <w:webHidden/>
          </w:rPr>
          <w:instrText xml:space="preserve"> PAGEREF _Toc75361140 \h </w:instrText>
        </w:r>
        <w:r>
          <w:rPr>
            <w:noProof/>
            <w:webHidden/>
          </w:rPr>
        </w:r>
        <w:r>
          <w:rPr>
            <w:noProof/>
            <w:webHidden/>
          </w:rPr>
          <w:fldChar w:fldCharType="separate"/>
        </w:r>
        <w:r w:rsidR="00492676">
          <w:rPr>
            <w:noProof/>
            <w:webHidden/>
          </w:rPr>
          <w:t>27</w:t>
        </w:r>
        <w:r>
          <w:rPr>
            <w:noProof/>
            <w:webHidden/>
          </w:rPr>
          <w:fldChar w:fldCharType="end"/>
        </w:r>
      </w:hyperlink>
    </w:p>
    <w:p w14:paraId="22D51E4A" w14:textId="0E63C8BB"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1" w:history="1">
        <w:r w:rsidR="0037312E" w:rsidRPr="007C2686">
          <w:rPr>
            <w:rStyle w:val="afc"/>
            <w:noProof/>
          </w:rPr>
          <w:t xml:space="preserve">Table 2.2. Mathematical regressions adopted and derived to homogenize </w:t>
        </w:r>
        <m:oMath>
          <m:r>
            <m:rPr>
              <m:sty m:val="bi"/>
            </m:rPr>
            <w:rPr>
              <w:rStyle w:val="afc"/>
              <w:rFonts w:ascii="Cambria Math" w:hAnsi="Cambria Math"/>
              <w:noProof/>
            </w:rPr>
            <m:t>Md</m:t>
          </m:r>
        </m:oMath>
        <w:r w:rsidR="0037312E" w:rsidRPr="007C2686">
          <w:rPr>
            <w:rStyle w:val="afc"/>
            <w:noProof/>
          </w:rPr>
          <w:t xml:space="preserve">, </w:t>
        </w:r>
        <m:oMath>
          <m:r>
            <m:rPr>
              <m:sty m:val="bi"/>
            </m:rPr>
            <w:rPr>
              <w:rStyle w:val="afc"/>
              <w:rFonts w:ascii="Cambria Math" w:hAnsi="Cambria Math"/>
              <w:noProof/>
            </w:rPr>
            <m:t>mb</m:t>
          </m:r>
        </m:oMath>
        <w:r w:rsidR="0037312E" w:rsidRPr="007C2686">
          <w:rPr>
            <w:rStyle w:val="afc"/>
            <w:noProof/>
          </w:rPr>
          <w:t xml:space="preserve"> and </w:t>
        </w:r>
        <m:oMath>
          <m:r>
            <m:rPr>
              <m:sty m:val="bi"/>
            </m:rPr>
            <w:rPr>
              <w:rStyle w:val="afc"/>
              <w:rFonts w:ascii="Cambria Math" w:hAnsi="Cambria Math"/>
              <w:noProof/>
            </w:rPr>
            <m:t>Mw</m:t>
          </m:r>
        </m:oMath>
        <w:r w:rsidR="0037312E" w:rsidRPr="007C2686">
          <w:rPr>
            <w:rStyle w:val="afc"/>
            <w:noProof/>
          </w:rPr>
          <w:t xml:space="preserve"> seismic magnitudes to local (Richter) magnitude, </w:t>
        </w:r>
        <m:oMath>
          <m:r>
            <m:rPr>
              <m:sty m:val="bi"/>
            </m:rPr>
            <w:rPr>
              <w:rStyle w:val="afc"/>
              <w:rFonts w:ascii="Cambria Math" w:hAnsi="Cambria Math"/>
              <w:noProof/>
            </w:rPr>
            <m:t>ML</m:t>
          </m:r>
        </m:oMath>
        <w:r w:rsidR="0037312E" w:rsidRPr="007C2686">
          <w:rPr>
            <w:rStyle w:val="afc"/>
            <w:noProof/>
          </w:rPr>
          <w:t>.</w:t>
        </w:r>
        <w:r w:rsidR="0037312E">
          <w:rPr>
            <w:noProof/>
            <w:webHidden/>
          </w:rPr>
          <w:tab/>
        </w:r>
        <w:r w:rsidR="0037312E">
          <w:rPr>
            <w:noProof/>
            <w:webHidden/>
          </w:rPr>
          <w:fldChar w:fldCharType="begin"/>
        </w:r>
        <w:r w:rsidR="0037312E">
          <w:rPr>
            <w:noProof/>
            <w:webHidden/>
          </w:rPr>
          <w:instrText xml:space="preserve"> PAGEREF _Toc75361141 \h </w:instrText>
        </w:r>
        <w:r w:rsidR="0037312E">
          <w:rPr>
            <w:noProof/>
            <w:webHidden/>
          </w:rPr>
        </w:r>
        <w:r w:rsidR="0037312E">
          <w:rPr>
            <w:noProof/>
            <w:webHidden/>
          </w:rPr>
          <w:fldChar w:fldCharType="separate"/>
        </w:r>
        <w:r w:rsidR="00492676">
          <w:rPr>
            <w:noProof/>
            <w:webHidden/>
          </w:rPr>
          <w:t>27</w:t>
        </w:r>
        <w:r w:rsidR="0037312E">
          <w:rPr>
            <w:noProof/>
            <w:webHidden/>
          </w:rPr>
          <w:fldChar w:fldCharType="end"/>
        </w:r>
      </w:hyperlink>
    </w:p>
    <w:p w14:paraId="64F7D1A0" w14:textId="33C82608"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2" w:history="1">
        <w:r w:rsidR="0037312E" w:rsidRPr="007C2686">
          <w:rPr>
            <w:rStyle w:val="afc"/>
            <w:noProof/>
          </w:rPr>
          <w:t xml:space="preserve">Table 2.3. Predicting </w:t>
        </w:r>
        <m:oMath>
          <m:r>
            <m:rPr>
              <m:sty m:val="bi"/>
            </m:rPr>
            <w:rPr>
              <w:rStyle w:val="afc"/>
              <w:rFonts w:ascii="Cambria Math" w:hAnsi="Cambria Math"/>
              <w:noProof/>
            </w:rPr>
            <m:t>Nt</m:t>
          </m:r>
        </m:oMath>
        <w:r w:rsidR="0037312E" w:rsidRPr="007C2686">
          <w:rPr>
            <w:rStyle w:val="afc"/>
            <w:noProof/>
          </w:rPr>
          <w:t xml:space="preserve"> (number of earthquakes/year) in terms of hypothetical scenarios of different weighted average ( </w:t>
        </w:r>
        <m:oMath>
          <m:r>
            <m:rPr>
              <m:sty m:val="bi"/>
            </m:rPr>
            <w:rPr>
              <w:rStyle w:val="afc"/>
              <w:rFonts w:ascii="Cambria Math" w:hAnsi="Cambria Math"/>
              <w:noProof/>
            </w:rPr>
            <m:t>IW</m:t>
          </m:r>
        </m:oMath>
        <w:r w:rsidR="0037312E" w:rsidRPr="007C2686">
          <w:rPr>
            <w:rStyle w:val="afc"/>
            <w:noProof/>
          </w:rPr>
          <w:t xml:space="preserve">; Equation (2)) or monthly constant IW in light of historical records and benchmark periods. Uncertainty interval estimates have been added to each predicted </w:t>
        </w:r>
        <m:oMath>
          <m:r>
            <m:rPr>
              <m:sty m:val="bi"/>
            </m:rPr>
            <w:rPr>
              <w:rStyle w:val="afc"/>
              <w:rFonts w:ascii="Cambria Math" w:hAnsi="Cambria Math"/>
              <w:noProof/>
            </w:rPr>
            <m:t>Nt</m:t>
          </m:r>
        </m:oMath>
        <w:r w:rsidR="0037312E" w:rsidRPr="007C2686">
          <w:rPr>
            <w:rStyle w:val="afc"/>
            <w:noProof/>
          </w:rPr>
          <w:t>. Historical benchmark periods have been extracted from section 4 this manuscript for reasons of comparison.</w:t>
        </w:r>
        <w:r w:rsidR="0037312E">
          <w:rPr>
            <w:noProof/>
            <w:webHidden/>
          </w:rPr>
          <w:tab/>
        </w:r>
        <w:r w:rsidR="0037312E">
          <w:rPr>
            <w:noProof/>
            <w:webHidden/>
          </w:rPr>
          <w:fldChar w:fldCharType="begin"/>
        </w:r>
        <w:r w:rsidR="0037312E">
          <w:rPr>
            <w:noProof/>
            <w:webHidden/>
          </w:rPr>
          <w:instrText xml:space="preserve"> PAGEREF _Toc75361142 \h </w:instrText>
        </w:r>
        <w:r w:rsidR="0037312E">
          <w:rPr>
            <w:noProof/>
            <w:webHidden/>
          </w:rPr>
        </w:r>
        <w:r w:rsidR="0037312E">
          <w:rPr>
            <w:noProof/>
            <w:webHidden/>
          </w:rPr>
          <w:fldChar w:fldCharType="separate"/>
        </w:r>
        <w:r w:rsidR="00492676">
          <w:rPr>
            <w:noProof/>
            <w:webHidden/>
          </w:rPr>
          <w:t>39</w:t>
        </w:r>
        <w:r w:rsidR="0037312E">
          <w:rPr>
            <w:noProof/>
            <w:webHidden/>
          </w:rPr>
          <w:fldChar w:fldCharType="end"/>
        </w:r>
      </w:hyperlink>
    </w:p>
    <w:p w14:paraId="1231D1AD" w14:textId="4B53C227"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3" w:history="1">
        <w:r w:rsidR="0037312E" w:rsidRPr="007C2686">
          <w:rPr>
            <w:rStyle w:val="afc"/>
            <w:noProof/>
          </w:rPr>
          <w:t>Table 3.1. Summary of satellite (SMAP L3_SM_P_E herein called SMAP), model (NLDAS_NOAH0125_H), and in situ (Oklahoma Mesonet) soil moisture products used in this study.</w:t>
        </w:r>
        <w:r w:rsidR="0037312E">
          <w:rPr>
            <w:noProof/>
            <w:webHidden/>
          </w:rPr>
          <w:tab/>
        </w:r>
        <w:r w:rsidR="0037312E">
          <w:rPr>
            <w:noProof/>
            <w:webHidden/>
          </w:rPr>
          <w:fldChar w:fldCharType="begin"/>
        </w:r>
        <w:r w:rsidR="0037312E">
          <w:rPr>
            <w:noProof/>
            <w:webHidden/>
          </w:rPr>
          <w:instrText xml:space="preserve"> PAGEREF _Toc75361143 \h </w:instrText>
        </w:r>
        <w:r w:rsidR="0037312E">
          <w:rPr>
            <w:noProof/>
            <w:webHidden/>
          </w:rPr>
        </w:r>
        <w:r w:rsidR="0037312E">
          <w:rPr>
            <w:noProof/>
            <w:webHidden/>
          </w:rPr>
          <w:fldChar w:fldCharType="separate"/>
        </w:r>
        <w:r w:rsidR="00492676">
          <w:rPr>
            <w:noProof/>
            <w:webHidden/>
          </w:rPr>
          <w:t>61</w:t>
        </w:r>
        <w:r w:rsidR="0037312E">
          <w:rPr>
            <w:noProof/>
            <w:webHidden/>
          </w:rPr>
          <w:fldChar w:fldCharType="end"/>
        </w:r>
      </w:hyperlink>
    </w:p>
    <w:p w14:paraId="1C459891" w14:textId="719CEABF"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4" w:history="1">
        <w:r w:rsidR="0037312E" w:rsidRPr="007C2686">
          <w:rPr>
            <w:rStyle w:val="afc"/>
            <w:noProof/>
          </w:rPr>
          <w:t>Table 3.2. Sample sizes of 6 AM and 6 PM and Seasonal TC triplets.</w:t>
        </w:r>
        <w:r w:rsidR="0037312E">
          <w:rPr>
            <w:noProof/>
            <w:webHidden/>
          </w:rPr>
          <w:tab/>
        </w:r>
        <w:r w:rsidR="0037312E">
          <w:rPr>
            <w:noProof/>
            <w:webHidden/>
          </w:rPr>
          <w:fldChar w:fldCharType="begin"/>
        </w:r>
        <w:r w:rsidR="0037312E">
          <w:rPr>
            <w:noProof/>
            <w:webHidden/>
          </w:rPr>
          <w:instrText xml:space="preserve"> PAGEREF _Toc75361144 \h </w:instrText>
        </w:r>
        <w:r w:rsidR="0037312E">
          <w:rPr>
            <w:noProof/>
            <w:webHidden/>
          </w:rPr>
        </w:r>
        <w:r w:rsidR="0037312E">
          <w:rPr>
            <w:noProof/>
            <w:webHidden/>
          </w:rPr>
          <w:fldChar w:fldCharType="separate"/>
        </w:r>
        <w:r w:rsidR="00492676">
          <w:rPr>
            <w:noProof/>
            <w:webHidden/>
          </w:rPr>
          <w:t>61</w:t>
        </w:r>
        <w:r w:rsidR="0037312E">
          <w:rPr>
            <w:noProof/>
            <w:webHidden/>
          </w:rPr>
          <w:fldChar w:fldCharType="end"/>
        </w:r>
      </w:hyperlink>
    </w:p>
    <w:p w14:paraId="34FAA76D" w14:textId="49C39053"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5" w:history="1">
        <w:r w:rsidR="0037312E" w:rsidRPr="007C2686">
          <w:rPr>
            <w:rStyle w:val="afc"/>
            <w:noProof/>
          </w:rPr>
          <w:t>Table 3.3. Number of 9kmx9km grid cells in each of the land cover types in Oklahoma.</w:t>
        </w:r>
        <w:r w:rsidR="0037312E">
          <w:rPr>
            <w:noProof/>
            <w:webHidden/>
          </w:rPr>
          <w:tab/>
        </w:r>
        <w:r w:rsidR="0037312E">
          <w:rPr>
            <w:noProof/>
            <w:webHidden/>
          </w:rPr>
          <w:fldChar w:fldCharType="begin"/>
        </w:r>
        <w:r w:rsidR="0037312E">
          <w:rPr>
            <w:noProof/>
            <w:webHidden/>
          </w:rPr>
          <w:instrText xml:space="preserve"> PAGEREF _Toc75361145 \h </w:instrText>
        </w:r>
        <w:r w:rsidR="0037312E">
          <w:rPr>
            <w:noProof/>
            <w:webHidden/>
          </w:rPr>
        </w:r>
        <w:r w:rsidR="0037312E">
          <w:rPr>
            <w:noProof/>
            <w:webHidden/>
          </w:rPr>
          <w:fldChar w:fldCharType="separate"/>
        </w:r>
        <w:r w:rsidR="00492676">
          <w:rPr>
            <w:noProof/>
            <w:webHidden/>
          </w:rPr>
          <w:t>65</w:t>
        </w:r>
        <w:r w:rsidR="0037312E">
          <w:rPr>
            <w:noProof/>
            <w:webHidden/>
          </w:rPr>
          <w:fldChar w:fldCharType="end"/>
        </w:r>
      </w:hyperlink>
    </w:p>
    <w:p w14:paraId="0EF5D5A5" w14:textId="6F709E50"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6" w:history="1">
        <w:r w:rsidR="0037312E" w:rsidRPr="007C2686">
          <w:rPr>
            <w:rStyle w:val="afc"/>
            <w:noProof/>
          </w:rPr>
          <w:t>Table 3.4. Average CC and RMSE values obtained from the TC triplets at local 6:00 PM for Mesonet, Noah and SMAP over nine climate divisions of Oklahoma.</w:t>
        </w:r>
        <w:r w:rsidR="0037312E">
          <w:rPr>
            <w:noProof/>
            <w:webHidden/>
          </w:rPr>
          <w:tab/>
        </w:r>
        <w:r w:rsidR="0037312E">
          <w:rPr>
            <w:noProof/>
            <w:webHidden/>
          </w:rPr>
          <w:fldChar w:fldCharType="begin"/>
        </w:r>
        <w:r w:rsidR="0037312E">
          <w:rPr>
            <w:noProof/>
            <w:webHidden/>
          </w:rPr>
          <w:instrText xml:space="preserve"> PAGEREF _Toc75361146 \h </w:instrText>
        </w:r>
        <w:r w:rsidR="0037312E">
          <w:rPr>
            <w:noProof/>
            <w:webHidden/>
          </w:rPr>
        </w:r>
        <w:r w:rsidR="0037312E">
          <w:rPr>
            <w:noProof/>
            <w:webHidden/>
          </w:rPr>
          <w:fldChar w:fldCharType="separate"/>
        </w:r>
        <w:r w:rsidR="00492676">
          <w:rPr>
            <w:noProof/>
            <w:webHidden/>
          </w:rPr>
          <w:t>68</w:t>
        </w:r>
        <w:r w:rsidR="0037312E">
          <w:rPr>
            <w:noProof/>
            <w:webHidden/>
          </w:rPr>
          <w:fldChar w:fldCharType="end"/>
        </w:r>
      </w:hyperlink>
    </w:p>
    <w:p w14:paraId="0811D4A4" w14:textId="2F71B1F3"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7" w:history="1">
        <w:r w:rsidR="0037312E" w:rsidRPr="007C2686">
          <w:rPr>
            <w:rStyle w:val="afc"/>
            <w:noProof/>
          </w:rPr>
          <w:t>Table 3.5. Climate-division averaged CC and RMSE from the TC triplets at local 6:00 AM for Mesonet, Noah and SMAP during the Spring over nine climate divisions of Oklahoma.</w:t>
        </w:r>
        <w:r w:rsidR="0037312E">
          <w:rPr>
            <w:noProof/>
            <w:webHidden/>
          </w:rPr>
          <w:tab/>
        </w:r>
        <w:r w:rsidR="0037312E">
          <w:rPr>
            <w:noProof/>
            <w:webHidden/>
          </w:rPr>
          <w:fldChar w:fldCharType="begin"/>
        </w:r>
        <w:r w:rsidR="0037312E">
          <w:rPr>
            <w:noProof/>
            <w:webHidden/>
          </w:rPr>
          <w:instrText xml:space="preserve"> PAGEREF _Toc75361147 \h </w:instrText>
        </w:r>
        <w:r w:rsidR="0037312E">
          <w:rPr>
            <w:noProof/>
            <w:webHidden/>
          </w:rPr>
        </w:r>
        <w:r w:rsidR="0037312E">
          <w:rPr>
            <w:noProof/>
            <w:webHidden/>
          </w:rPr>
          <w:fldChar w:fldCharType="separate"/>
        </w:r>
        <w:r w:rsidR="00492676">
          <w:rPr>
            <w:noProof/>
            <w:webHidden/>
          </w:rPr>
          <w:t>74</w:t>
        </w:r>
        <w:r w:rsidR="0037312E">
          <w:rPr>
            <w:noProof/>
            <w:webHidden/>
          </w:rPr>
          <w:fldChar w:fldCharType="end"/>
        </w:r>
      </w:hyperlink>
    </w:p>
    <w:p w14:paraId="2F1745CF" w14:textId="0AA6E195"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8" w:history="1">
        <w:r w:rsidR="0037312E" w:rsidRPr="007C2686">
          <w:rPr>
            <w:rStyle w:val="afc"/>
            <w:noProof/>
          </w:rPr>
          <w:t>Table 3.6. Climate-division averaged CC and RMSE from the TC triplets at local 6:00 AM for Mesonet, Noah and SMAP during the Summer over nine climate divisions of Oklahoma.</w:t>
        </w:r>
        <w:r w:rsidR="0037312E">
          <w:rPr>
            <w:noProof/>
            <w:webHidden/>
          </w:rPr>
          <w:tab/>
        </w:r>
        <w:r w:rsidR="0037312E">
          <w:rPr>
            <w:noProof/>
            <w:webHidden/>
          </w:rPr>
          <w:fldChar w:fldCharType="begin"/>
        </w:r>
        <w:r w:rsidR="0037312E">
          <w:rPr>
            <w:noProof/>
            <w:webHidden/>
          </w:rPr>
          <w:instrText xml:space="preserve"> PAGEREF _Toc75361148 \h </w:instrText>
        </w:r>
        <w:r w:rsidR="0037312E">
          <w:rPr>
            <w:noProof/>
            <w:webHidden/>
          </w:rPr>
        </w:r>
        <w:r w:rsidR="0037312E">
          <w:rPr>
            <w:noProof/>
            <w:webHidden/>
          </w:rPr>
          <w:fldChar w:fldCharType="separate"/>
        </w:r>
        <w:r w:rsidR="00492676">
          <w:rPr>
            <w:noProof/>
            <w:webHidden/>
          </w:rPr>
          <w:t>75</w:t>
        </w:r>
        <w:r w:rsidR="0037312E">
          <w:rPr>
            <w:noProof/>
            <w:webHidden/>
          </w:rPr>
          <w:fldChar w:fldCharType="end"/>
        </w:r>
      </w:hyperlink>
    </w:p>
    <w:p w14:paraId="2ADDF2D0" w14:textId="1BDFCAE7" w:rsidR="0037312E" w:rsidRDefault="00143C6C">
      <w:pPr>
        <w:pStyle w:val="ac"/>
        <w:tabs>
          <w:tab w:val="right" w:leader="dot" w:pos="8054"/>
        </w:tabs>
        <w:rPr>
          <w:rFonts w:asciiTheme="minorHAnsi" w:eastAsiaTheme="minorEastAsia" w:hAnsiTheme="minorHAnsi" w:cstheme="minorBidi"/>
          <w:noProof/>
          <w:sz w:val="22"/>
          <w:szCs w:val="22"/>
          <w:lang w:eastAsia="zh-CN" w:bidi="ar-SA"/>
        </w:rPr>
      </w:pPr>
      <w:hyperlink w:anchor="_Toc75361149" w:history="1">
        <w:r w:rsidR="0037312E" w:rsidRPr="007C2686">
          <w:rPr>
            <w:rStyle w:val="afc"/>
            <w:noProof/>
          </w:rPr>
          <w:t>Table 3.7. Climate-division averaged CC and RMSE from the TC triplets at local 6:00 AM for Mesonet, Noah and SMAP during the Fall over nine climate divisions of Oklahoma.</w:t>
        </w:r>
        <w:r w:rsidR="0037312E">
          <w:rPr>
            <w:noProof/>
            <w:webHidden/>
          </w:rPr>
          <w:tab/>
        </w:r>
        <w:r w:rsidR="0037312E">
          <w:rPr>
            <w:noProof/>
            <w:webHidden/>
          </w:rPr>
          <w:fldChar w:fldCharType="begin"/>
        </w:r>
        <w:r w:rsidR="0037312E">
          <w:rPr>
            <w:noProof/>
            <w:webHidden/>
          </w:rPr>
          <w:instrText xml:space="preserve"> PAGEREF _Toc75361149 \h </w:instrText>
        </w:r>
        <w:r w:rsidR="0037312E">
          <w:rPr>
            <w:noProof/>
            <w:webHidden/>
          </w:rPr>
        </w:r>
        <w:r w:rsidR="0037312E">
          <w:rPr>
            <w:noProof/>
            <w:webHidden/>
          </w:rPr>
          <w:fldChar w:fldCharType="separate"/>
        </w:r>
        <w:r w:rsidR="00492676">
          <w:rPr>
            <w:noProof/>
            <w:webHidden/>
          </w:rPr>
          <w:t>76</w:t>
        </w:r>
        <w:r w:rsidR="0037312E">
          <w:rPr>
            <w:noProof/>
            <w:webHidden/>
          </w:rPr>
          <w:fldChar w:fldCharType="end"/>
        </w:r>
      </w:hyperlink>
    </w:p>
    <w:p w14:paraId="3F6AC918" w14:textId="54EA3BAD" w:rsidR="00A40126" w:rsidRPr="00FD1A3E" w:rsidRDefault="00143C6C" w:rsidP="00FD1A3E">
      <w:pPr>
        <w:pStyle w:val="ac"/>
        <w:tabs>
          <w:tab w:val="right" w:leader="dot" w:pos="8054"/>
        </w:tabs>
        <w:rPr>
          <w:noProof/>
          <w:color w:val="0000FF"/>
          <w:u w:val="single"/>
        </w:rPr>
      </w:pPr>
      <w:hyperlink w:anchor="_Toc75361150" w:history="1">
        <w:r w:rsidR="0037312E" w:rsidRPr="007C2686">
          <w:rPr>
            <w:rStyle w:val="afc"/>
            <w:noProof/>
          </w:rPr>
          <w:t>Table 3.8. Climate-division averaged CC and RMSE from the TC triplets at local 6:00 AM for Mesonet, Noah and SMAP during the Winter over nine climate divisions of Oklahoma.</w:t>
        </w:r>
        <w:r w:rsidR="0037312E">
          <w:rPr>
            <w:noProof/>
            <w:webHidden/>
          </w:rPr>
          <w:tab/>
        </w:r>
        <w:r w:rsidR="0037312E">
          <w:rPr>
            <w:noProof/>
            <w:webHidden/>
          </w:rPr>
          <w:fldChar w:fldCharType="begin"/>
        </w:r>
        <w:r w:rsidR="0037312E">
          <w:rPr>
            <w:noProof/>
            <w:webHidden/>
          </w:rPr>
          <w:instrText xml:space="preserve"> PAGEREF _Toc75361150 \h </w:instrText>
        </w:r>
        <w:r w:rsidR="0037312E">
          <w:rPr>
            <w:noProof/>
            <w:webHidden/>
          </w:rPr>
        </w:r>
        <w:r w:rsidR="0037312E">
          <w:rPr>
            <w:noProof/>
            <w:webHidden/>
          </w:rPr>
          <w:fldChar w:fldCharType="separate"/>
        </w:r>
        <w:r w:rsidR="00492676">
          <w:rPr>
            <w:noProof/>
            <w:webHidden/>
          </w:rPr>
          <w:t>77</w:t>
        </w:r>
        <w:r w:rsidR="0037312E">
          <w:rPr>
            <w:noProof/>
            <w:webHidden/>
          </w:rPr>
          <w:fldChar w:fldCharType="end"/>
        </w:r>
      </w:hyperlink>
    </w:p>
    <w:p w14:paraId="31E6EA9A" w14:textId="77777777" w:rsidR="0037312E" w:rsidRDefault="0037312E" w:rsidP="00612C72">
      <w:pPr>
        <w:ind w:firstLine="0"/>
        <w:sectPr w:rsidR="0037312E" w:rsidSect="000D3220">
          <w:footerReference w:type="default" r:id="rId8"/>
          <w:pgSz w:w="12240" w:h="15840" w:code="1"/>
          <w:pgMar w:top="1440" w:right="1872" w:bottom="1440" w:left="2304" w:header="720" w:footer="720" w:gutter="0"/>
          <w:pgNumType w:fmt="lowerRoman" w:start="4"/>
          <w:cols w:space="720"/>
          <w:docGrid w:linePitch="360"/>
        </w:sectPr>
      </w:pPr>
      <w:r>
        <w:fldChar w:fldCharType="end"/>
      </w:r>
    </w:p>
    <w:p w14:paraId="29D196F8" w14:textId="5CFE953A" w:rsidR="00BB764A" w:rsidRPr="00BB764A" w:rsidRDefault="008D5F61" w:rsidP="00C409B9">
      <w:pPr>
        <w:pStyle w:val="1"/>
      </w:pPr>
      <w:bookmarkStart w:id="7" w:name="_Toc310579468"/>
      <w:bookmarkStart w:id="8" w:name="_Toc315681362"/>
      <w:bookmarkStart w:id="9" w:name="_Toc278101728"/>
      <w:bookmarkStart w:id="10" w:name="_Toc75939811"/>
      <w:r>
        <w:lastRenderedPageBreak/>
        <w:t xml:space="preserve">Chapter 1 </w:t>
      </w:r>
      <w:r w:rsidR="00DA1971" w:rsidRPr="008D5F61">
        <w:t>Introduction</w:t>
      </w:r>
      <w:bookmarkEnd w:id="7"/>
      <w:bookmarkEnd w:id="8"/>
      <w:bookmarkEnd w:id="9"/>
      <w:bookmarkEnd w:id="10"/>
    </w:p>
    <w:p w14:paraId="1F0F9D2E" w14:textId="77777777" w:rsidR="009D5FDE" w:rsidRDefault="009D5FDE" w:rsidP="003246B3">
      <w:pPr>
        <w:ind w:firstLine="0"/>
      </w:pPr>
    </w:p>
    <w:p w14:paraId="275D1B72" w14:textId="3D1B009E" w:rsidR="00C16488" w:rsidRDefault="005A5CF1" w:rsidP="00601769">
      <w:pPr>
        <w:pStyle w:val="2"/>
      </w:pPr>
      <w:bookmarkStart w:id="11" w:name="_Toc278101729"/>
      <w:bookmarkStart w:id="12" w:name="_Toc75939812"/>
      <w:r>
        <w:t xml:space="preserve">1.1 </w:t>
      </w:r>
      <w:bookmarkEnd w:id="11"/>
      <w:r w:rsidR="003246B3">
        <w:t>Background</w:t>
      </w:r>
      <w:bookmarkEnd w:id="12"/>
    </w:p>
    <w:p w14:paraId="0F6E281E" w14:textId="69E4D94F" w:rsidR="00F90CE8" w:rsidRDefault="74CFCC90" w:rsidP="00F90CE8">
      <w:r>
        <w:t xml:space="preserve">Subsurface water is liquid water found below the ground surface, including soil water above the water table and ground water below the water table, but does not include water chemically bound to minerals or organic matter. Two important contents of subsurface water in Oklahoma have aroused the interest of more and more scientists: the wastewater injected into the ground during the oil and gas production and the surface soil moisture. </w:t>
      </w:r>
    </w:p>
    <w:p w14:paraId="0B718FCF" w14:textId="77777777" w:rsidR="004852AA" w:rsidRDefault="004852AA" w:rsidP="00F90CE8"/>
    <w:p w14:paraId="5C66CFFB" w14:textId="2E0B5A98" w:rsidR="007657E9" w:rsidRDefault="007657E9" w:rsidP="007657E9">
      <w:pPr>
        <w:pStyle w:val="3"/>
      </w:pPr>
      <w:bookmarkStart w:id="13" w:name="_Toc75939813"/>
      <w:r>
        <w:t xml:space="preserve">1.1.1 </w:t>
      </w:r>
      <w:r w:rsidRPr="00B63FFC">
        <w:t>Underground Injection Control (UIC) Wells</w:t>
      </w:r>
      <w:bookmarkEnd w:id="13"/>
    </w:p>
    <w:p w14:paraId="3AF0871D" w14:textId="142D598A" w:rsidR="00897DF4" w:rsidRDefault="5E4FB5CC" w:rsidP="00BB310D">
      <w:r>
        <w:t xml:space="preserve">Petroleum has been produced in Oklahoma for more than 100 years </w:t>
      </w:r>
      <w:r w:rsidR="00897DF4">
        <w:fldChar w:fldCharType="begin"/>
      </w:r>
      <w:r w:rsidR="00897DF4">
        <w:instrText xml:space="preserve"> ADDIN ZOTERO_ITEM CSL_CITATION {"citationID":"opBDSYZa","properties":{"formattedCitation":"(Murray &amp; Holland, 2014)","plainCitation":"(Murray &amp; Holland, 2014)","noteIndex":0},"citationItems":[{"id":255,"uris":["http://zotero.org/users/7782726/items/ZIDH5GUR"],"uri":["http://zotero.org/users/7782726/items/ZIDH5GUR"],"itemData":{"id":255,"type":"article-journal","note":"publisher: Oklahoma City Geological Society","title":"Inventory of class II underground injection control volumes in the midcontinent","author":[{"family":"Murray","given":"Kyle E."},{"family":"Holland","given":"Austin A."}],"issued":{"date-parts":[["2014"]]}}}],"schema":"https://github.com/citation-style-language/schema/raw/master/csl-citation.json"} </w:instrText>
      </w:r>
      <w:r w:rsidR="00897DF4">
        <w:fldChar w:fldCharType="separate"/>
      </w:r>
      <w:r>
        <w:t>(Murray &amp; Holland, 2014)</w:t>
      </w:r>
      <w:r w:rsidR="00897DF4">
        <w:fldChar w:fldCharType="end"/>
      </w:r>
      <w:r>
        <w:t xml:space="preserve">. In 2020, Oklahoma was the fourth-largest producer of crude oil and the fourth-largest producer of marketed natural gas among the states </w:t>
      </w:r>
      <w:r w:rsidR="00897DF4">
        <w:fldChar w:fldCharType="begin"/>
      </w:r>
      <w:r w:rsidR="00897DF4">
        <w:instrText xml:space="preserve"> ADDIN ZOTERO_ITEM CSL_CITATION {"citationID":"Bpz0kkXa","properties":{"formattedCitation":"(U.S. Energy Information Administration, 2021)","plainCitation":"(U.S. Energy Information Administration, 2021)","noteIndex":0},"citationItems":[{"id":265,"uris":["http://zotero.org/users/7782726/items/GJTUCRT2"],"uri":["http://zotero.org/users/7782726/items/GJTUCRT2"],"itemData":{"id":265,"type":"webpage","title":"Oklahoma State Energy Profile","URL":"https://www.eia.gov/state/print.php?sid=OK","author":[{"family":"U.S. Energy Information Administration","given":""}],"accessed":{"date-parts":[["2021",6,20]]},"issued":{"date-parts":[["2021",4,15]]}}}],"schema":"https://github.com/citation-style-language/schema/raw/master/csl-citation.json"} </w:instrText>
      </w:r>
      <w:r w:rsidR="00897DF4">
        <w:fldChar w:fldCharType="separate"/>
      </w:r>
      <w:r>
        <w:t>(U.S. Energy Information Administration, 2021)</w:t>
      </w:r>
      <w:r w:rsidR="00897DF4">
        <w:fldChar w:fldCharType="end"/>
      </w:r>
      <w:r>
        <w:t xml:space="preserve">. The high oil and gas production caused a rapid increase in construction of </w:t>
      </w:r>
      <w:r w:rsidR="003B66A6">
        <w:t>underground injection</w:t>
      </w:r>
      <w:r>
        <w:t xml:space="preserve"> wells especially Class II wells in Oklahoma. </w:t>
      </w:r>
    </w:p>
    <w:p w14:paraId="44ED18F2" w14:textId="4D8023AF" w:rsidR="00EE346B" w:rsidRDefault="5E4FB5CC" w:rsidP="00EE346B">
      <w:r>
        <w:t xml:space="preserve">An injection well is a devise used for placing fluids including water, wastewater, brine, or water mixed with chemicals, into various underground formations such as sandstone, limestone, or the soil layer </w:t>
      </w:r>
      <w:r w:rsidR="00EE346B">
        <w:fldChar w:fldCharType="begin"/>
      </w:r>
      <w:r w:rsidR="00EE346B">
        <w:instrText xml:space="preserve"> ADDIN ZOTERO_ITEM CSL_CITATION {"citationID":"kbSiZvLd","properties":{"formattedCitation":"(US EPA, 2015c)","plainCitation":"(US EPA, 2015c)","noteIndex":0},"citationItems":[{"id":267,"uris":["http://zotero.org/users/7782726/items/YZVBGUHG"],"uri":["http://zotero.org/users/7782726/items/YZVBGUHG"],"itemData":{"id":267,"type":"webpage","abstract":"This webpage provides general background information on injection wells used to place fluids in the subsurface. It also provides information on use, different categories, and how they are regulated. Information on the protection is also provided.","container-title":"US EPA","genre":"Overviews and Factsheets","language":"en","title":"General Information About Injection Wells","URL":"https://www.epa.gov/uic/general-information-about-injection-wells","author":[{"family":"US EPA","given":"OW"}],"accessed":{"date-parts":[["2021",6,28]]},"issued":{"date-parts":[["2015",4,1]]}}}],"schema":"https://github.com/citation-style-language/schema/raw/master/csl-citation.json"} </w:instrText>
      </w:r>
      <w:r w:rsidR="00EE346B">
        <w:fldChar w:fldCharType="separate"/>
      </w:r>
      <w:r>
        <w:t>(US EPA, 2015c)</w:t>
      </w:r>
      <w:r w:rsidR="00EE346B">
        <w:fldChar w:fldCharType="end"/>
      </w:r>
      <w:r>
        <w:t xml:space="preserve">. Underground fluid injection has been widely used in enhancing the recovery of oil and disposing industrial waste since 1930s </w:t>
      </w:r>
      <w:r w:rsidR="00EE346B">
        <w:fldChar w:fldCharType="begin"/>
      </w:r>
      <w:r w:rsidR="00EE346B">
        <w:instrText xml:space="preserve"> ADDIN ZOTERO_ITEM CSL_CITATION {"citationID":"GaSXwn8T","properties":{"formattedCitation":"(National Research Council, 2013)","plainCitation":"(National Research Council, 2013)","noteIndex":0},"citationItems":[{"id":269,"uris":["http://zotero.org/users/7782726/items/3FR59RY7"],"uri":["http://zotero.org/users/7782726/items/3FR59RY7"],"itemData":{"id":269,"type":"book","ISBN":"0-309-25367-5","publisher":"National Academies Press","title":"Induced seismicity potential in energy technologies","author":[{"family":"National Research Council","given":""}],"issued":{"date-parts":[["2013"]]}}}],"schema":"https://github.com/citation-style-language/schema/raw/master/csl-citation.json"} </w:instrText>
      </w:r>
      <w:r w:rsidR="00EE346B">
        <w:fldChar w:fldCharType="separate"/>
      </w:r>
      <w:r>
        <w:t>(National Research Council, 2013)</w:t>
      </w:r>
      <w:r w:rsidR="00EE346B">
        <w:fldChar w:fldCharType="end"/>
      </w:r>
      <w:r>
        <w:t xml:space="preserve">. In 1974, the Safe Drinking Water Act (SDWA) was established to protect public drinking water quality and supplies throughout the United States </w:t>
      </w:r>
      <w:r w:rsidR="00EE346B">
        <w:fldChar w:fldCharType="begin"/>
      </w:r>
      <w:r w:rsidR="00EE346B">
        <w:instrText xml:space="preserve"> ADDIN ZOTERO_ITEM CSL_CITATION {"citationID":"KE1FVKZg","properties":{"formattedCitation":"(US EPA, 2015a)","plainCitation":"(US EPA, 2015a)","noteIndex":0},"citationItems":[{"id":270,"uris":["http://zotero.org/users/7782726/items/KGZXE5CN"],"uri":["http://zotero.org/users/7782726/items/KGZXE5CN"],"itemData":{"id":270,"type":"webpage","abstract":"An overview of the Safe Drinking Water Act and other information on specific aspects of the law as implemented in regulation and guidance","container-title":"US EPA","genre":"Collections and Lists","language":"en","title":"Safe Drinking Water Act (SDWA)","URL":"https://www.epa.gov/sdwa","author":[{"family":"US EPA","given":"OW"}],"accessed":{"date-parts":[["2021",6,28]]},"issued":{"date-parts":[["2015",3,25]]}}}],"schema":"https://github.com/citation-style-language/schema/raw/master/csl-citation.json"} </w:instrText>
      </w:r>
      <w:r w:rsidR="00EE346B">
        <w:fldChar w:fldCharType="separate"/>
      </w:r>
      <w:r>
        <w:t>(US EPA, 2015a)</w:t>
      </w:r>
      <w:r w:rsidR="00EE346B">
        <w:fldChar w:fldCharType="end"/>
      </w:r>
      <w:r>
        <w:t xml:space="preserve">. The SDWA requires the U. S. Environmental Protection Agency (EPA) to develop minimum requirements for injection practices in order to protect underground sources of drinking water (USDW) from endangerment. </w:t>
      </w:r>
      <w:r>
        <w:lastRenderedPageBreak/>
        <w:t xml:space="preserve">In accordance with the act, EPA established a national program- the Underground Injection Control (UIC) program- to regulate the permitting, construction, operation, maintaining, converting, plugging, or abandonment of injection wells </w:t>
      </w:r>
      <w:r w:rsidR="00EE346B">
        <w:fldChar w:fldCharType="begin"/>
      </w:r>
      <w:r w:rsidR="00EE346B">
        <w:instrText xml:space="preserve"> ADDIN ZOTERO_ITEM CSL_CITATION {"citationID":"0pY4NJ1q","properties":{"formattedCitation":"(US EPA, 2015b)","plainCitation":"(US EPA, 2015b)","noteIndex":0},"citationItems":[{"id":274,"uris":["http://zotero.org/users/7782726/items/6U6Y7PE5"],"uri":["http://zotero.org/users/7782726/items/6U6Y7PE5"],"itemData":{"id":274,"type":"webpage","abstract":"This page provides background information on the uses of Class II wells, their regulatory requirements, and how the requirements protect USDWs.","container-title":"US EPA","genre":"Overviews and Factsheets","language":"en","title":"Class II Oil and Gas Related Injection Wells","URL":"https://www.epa.gov/uic/class-ii-oil-and-gas-related-injection-wells","author":[{"family":"US EPA","given":"OW"}],"accessed":{"date-parts":[["2021",6,28]]},"issued":{"date-parts":[["2015",3,27]]}}}],"schema":"https://github.com/citation-style-language/schema/raw/master/csl-citation.json"} </w:instrText>
      </w:r>
      <w:r w:rsidR="00EE346B">
        <w:fldChar w:fldCharType="separate"/>
      </w:r>
      <w:r>
        <w:t>(US EPA, 2015b)</w:t>
      </w:r>
      <w:r w:rsidR="00EE346B">
        <w:fldChar w:fldCharType="end"/>
      </w:r>
      <w:r>
        <w:t>.</w:t>
      </w:r>
    </w:p>
    <w:p w14:paraId="56E2D71A" w14:textId="34FAA781" w:rsidR="00EE346B" w:rsidRDefault="5E4FB5CC" w:rsidP="00EE346B">
      <w:r>
        <w:t xml:space="preserve">The Underground Injection Control program categorizes injection wells into six classes (Class I, II, III, IV, V, and VI) based on the type, depth and potential endangerment on USDW of the injection activity. Injection wells used exclusively to inject fluids in the U.S. petroleum industry are defined as UIC Class II wells </w:t>
      </w:r>
      <w:r w:rsidR="00EE346B">
        <w:fldChar w:fldCharType="begin"/>
      </w:r>
      <w:r w:rsidR="00EE346B">
        <w:instrText xml:space="preserve"> ADDIN ZOTERO_ITEM CSL_CITATION {"citationID":"5VwRvPug","properties":{"formattedCitation":"(US EPA, 2015b)","plainCitation":"(US EPA, 2015b)","noteIndex":0},"citationItems":[{"id":274,"uris":["http://zotero.org/users/7782726/items/6U6Y7PE5"],"uri":["http://zotero.org/users/7782726/items/6U6Y7PE5"],"itemData":{"id":274,"type":"webpage","abstract":"This page provides background information on the uses of Class II wells, their regulatory requirements, and how the requirements protect USDWs.","container-title":"US EPA","genre":"Overviews and Factsheets","language":"en","title":"Class II Oil and Gas Related Injection Wells","URL":"https://www.epa.gov/uic/class-ii-oil-and-gas-related-injection-wells","author":[{"family":"US EPA","given":"OW"}],"accessed":{"date-parts":[["2021",6,28]]},"issued":{"date-parts":[["2015",3,27]]}}}],"schema":"https://github.com/citation-style-language/schema/raw/master/csl-citation.json"} </w:instrText>
      </w:r>
      <w:r w:rsidR="00EE346B">
        <w:fldChar w:fldCharType="separate"/>
      </w:r>
      <w:r>
        <w:t>(US EPA, 2015b)</w:t>
      </w:r>
      <w:r w:rsidR="00EE346B">
        <w:fldChar w:fldCharType="end"/>
      </w:r>
      <w:r>
        <w:t xml:space="preserve">. The petroleum industry in the United States operates approximately 180,000 Class II wells that are mostly located in Texas, California, Oklahoma and Kansas </w:t>
      </w:r>
      <w:r w:rsidR="00EE346B">
        <w:fldChar w:fldCharType="begin"/>
      </w:r>
      <w:r w:rsidR="00EE346B">
        <w:instrText xml:space="preserve"> ADDIN ZOTERO_ITEM CSL_CITATION {"citationID":"f2GG6CAj","properties":{"formattedCitation":"(National Research Council, 2013)","plainCitation":"(National Research Council, 2013)","noteIndex":0},"citationItems":[{"id":269,"uris":["http://zotero.org/users/7782726/items/3FR59RY7"],"uri":["http://zotero.org/users/7782726/items/3FR59RY7"],"itemData":{"id":269,"type":"book","ISBN":"0-309-25367-5","publisher":"National Academies Press","title":"Induced seismicity potential in energy technologies","author":[{"family":"National Research Council","given":""}],"issued":{"date-parts":[["2013"]]}}}],"schema":"https://github.com/citation-style-language/schema/raw/master/csl-citation.json"} </w:instrText>
      </w:r>
      <w:r w:rsidR="00EE346B">
        <w:fldChar w:fldCharType="separate"/>
      </w:r>
      <w:r>
        <w:t>(National Research Council, 2013)</w:t>
      </w:r>
      <w:r w:rsidR="00EE346B">
        <w:fldChar w:fldCharType="end"/>
      </w:r>
      <w:r>
        <w:t>. Class II wells are classified in three types: disposal wells (</w:t>
      </w:r>
      <w:r w:rsidR="00306949">
        <w:t xml:space="preserve">wells used </w:t>
      </w:r>
      <w:r w:rsidR="007621CB">
        <w:t>for</w:t>
      </w:r>
      <w:r w:rsidR="00306949">
        <w:t xml:space="preserve"> inject</w:t>
      </w:r>
      <w:r w:rsidR="007621CB">
        <w:t>ing</w:t>
      </w:r>
      <w:r w:rsidR="00306949">
        <w:t xml:space="preserve"> w</w:t>
      </w:r>
      <w:r w:rsidR="00306949" w:rsidRPr="00306949">
        <w:t>astewater from hydraulic fracturing activities</w:t>
      </w:r>
      <w:r>
        <w:t>), enhanced recovery wells (</w:t>
      </w:r>
      <w:r w:rsidR="0023541A">
        <w:t xml:space="preserve">wells used </w:t>
      </w:r>
      <w:r w:rsidR="007621CB">
        <w:t>for</w:t>
      </w:r>
      <w:r w:rsidR="0023541A">
        <w:t xml:space="preserve"> inject</w:t>
      </w:r>
      <w:r w:rsidR="007621CB">
        <w:t>ing</w:t>
      </w:r>
      <w:r w:rsidR="0023541A">
        <w:t xml:space="preserve"> f</w:t>
      </w:r>
      <w:r w:rsidR="0023541A" w:rsidRPr="0023541A">
        <w:t>luids consisting of brine, freshwater, steam, polymers, or carbon dioxide into oil-bearing formations to recover residual oil</w:t>
      </w:r>
      <w:r>
        <w:t>) and hydrocarbon storage wells</w:t>
      </w:r>
      <w:r w:rsidR="00777798">
        <w:t xml:space="preserve"> (wells used for injecting l</w:t>
      </w:r>
      <w:r w:rsidR="00777798" w:rsidRPr="00777798">
        <w:t>iquid hydrocarbons into underground formations</w:t>
      </w:r>
      <w:r w:rsidR="00777798">
        <w:t>)</w:t>
      </w:r>
      <w:r w:rsidR="005773D9" w:rsidRPr="005773D9">
        <w:t xml:space="preserve"> </w:t>
      </w:r>
      <w:r w:rsidR="005773D9">
        <w:fldChar w:fldCharType="begin"/>
      </w:r>
      <w:r w:rsidR="005773D9">
        <w:instrText xml:space="preserve"> ADDIN ZOTERO_ITEM CSL_CITATION {"citationID":"5VwRvPug","properties":{"formattedCitation":"(US EPA, 2015b)","plainCitation":"(US EPA, 2015b)","noteIndex":0},"citationItems":[{"id":274,"uris":["http://zotero.org/users/7782726/items/6U6Y7PE5"],"uri":["http://zotero.org/users/7782726/items/6U6Y7PE5"],"itemData":{"id":274,"type":"webpage","abstract":"This page provides background information on the uses of Class II wells, their regulatory requirements, and how the requirements protect USDWs.","container-title":"US EPA","genre":"Overviews and Factsheets","language":"en","title":"Class II Oil and Gas Related Injection Wells","URL":"https://www.epa.gov/uic/class-ii-oil-and-gas-related-injection-wells","author":[{"family":"US EPA","given":"OW"}],"accessed":{"date-parts":[["2021",6,28]]},"issued":{"date-parts":[["2015",3,27]]}}}],"schema":"https://github.com/citation-style-language/schema/raw/master/csl-citation.json"} </w:instrText>
      </w:r>
      <w:r w:rsidR="005773D9">
        <w:fldChar w:fldCharType="separate"/>
      </w:r>
      <w:r w:rsidR="005773D9">
        <w:t>(US EPA, 2015b)</w:t>
      </w:r>
      <w:r w:rsidR="005773D9">
        <w:fldChar w:fldCharType="end"/>
      </w:r>
      <w:r>
        <w:t xml:space="preserve">. Disposal wells are designed to dispose of brines or wastewater produced in oil and gas extraction activity. About 30,000 class II disposal wells accounted for 20% of the total number of Class II wells in the United States </w:t>
      </w:r>
      <w:r w:rsidR="00EE346B">
        <w:fldChar w:fldCharType="begin"/>
      </w:r>
      <w:r w:rsidR="00EE346B">
        <w:instrText xml:space="preserve"> ADDIN ZOTERO_ITEM CSL_CITATION {"citationID":"Rd6bdHLu","properties":{"formattedCitation":"(National Research Council, 2013)","plainCitation":"(National Research Council, 2013)","noteIndex":0},"citationItems":[{"id":269,"uris":["http://zotero.org/users/7782726/items/3FR59RY7"],"uri":["http://zotero.org/users/7782726/items/3FR59RY7"],"itemData":{"id":269,"type":"book","ISBN":"0-309-25367-5","publisher":"National Academies Press","title":"Induced seismicity potential in energy technologies","author":[{"family":"National Research Council","given":""}],"issued":{"date-parts":[["2013"]]}}}],"schema":"https://github.com/citation-style-language/schema/raw/master/csl-citation.json"} </w:instrText>
      </w:r>
      <w:r w:rsidR="00EE346B">
        <w:fldChar w:fldCharType="separate"/>
      </w:r>
      <w:r>
        <w:t>(National Research Council, 2013)</w:t>
      </w:r>
      <w:r w:rsidR="00EE346B">
        <w:fldChar w:fldCharType="end"/>
      </w:r>
      <w:r>
        <w:t xml:space="preserve">. Enhanced recovery wells are used to inject fluids consisting of brine, freshwater, or carbon dioxide into a reservoir to recover great amounts of the original oil and gas. Approximately 110,000 of UIC Class II wells are enhanced oil recovery wells in the United States </w:t>
      </w:r>
      <w:r w:rsidR="00EE346B">
        <w:fldChar w:fldCharType="begin"/>
      </w:r>
      <w:r w:rsidR="00EE346B">
        <w:instrText xml:space="preserve"> ADDIN ZOTERO_ITEM CSL_CITATION {"citationID":"KdzvUZRF","properties":{"formattedCitation":"(Ellsworth, 2013)","plainCitation":"(Ellsworth, 2013)","noteIndex":0},"citationItems":[{"id":221,"uris":["http://zotero.org/users/7782726/items/Q6YGPG5J"],"uri":["http://zotero.org/users/7782726/items/Q6YGPG5J"],"itemData":{"id":221,"type":"article-journal","container-title":"Science","issue":"6142","note":"ISBN: 0036-8075\npublisher: American Association for the Advancement of Science","title":"Injection-induced earthquakes","volume":"341","author":[{"family":"Ellsworth","given":"William L."}],"issued":{"date-parts":[["2013"]]}}}],"schema":"https://github.com/citation-style-language/schema/raw/master/csl-citation.json"} </w:instrText>
      </w:r>
      <w:r w:rsidR="00EE346B">
        <w:fldChar w:fldCharType="separate"/>
      </w:r>
      <w:r>
        <w:t>(Ellsworth, 2013)</w:t>
      </w:r>
      <w:r w:rsidR="00EE346B">
        <w:fldChar w:fldCharType="end"/>
      </w:r>
      <w:r>
        <w:t>.</w:t>
      </w:r>
    </w:p>
    <w:p w14:paraId="17101BFE" w14:textId="77777777" w:rsidR="004852AA" w:rsidRDefault="004852AA" w:rsidP="00EE346B"/>
    <w:p w14:paraId="16322738" w14:textId="076C536E" w:rsidR="00336205" w:rsidRDefault="00336205" w:rsidP="00336205">
      <w:pPr>
        <w:pStyle w:val="3"/>
      </w:pPr>
      <w:bookmarkStart w:id="14" w:name="_Toc75939814"/>
      <w:r>
        <w:t xml:space="preserve">1.1.2 </w:t>
      </w:r>
      <w:r w:rsidRPr="00336205">
        <w:t>Potential for Induced Seismicity from Fluid Injection</w:t>
      </w:r>
      <w:bookmarkEnd w:id="14"/>
    </w:p>
    <w:p w14:paraId="48B2E8F3" w14:textId="47ADA997" w:rsidR="00336205" w:rsidRDefault="00336205" w:rsidP="00336205">
      <w:pPr>
        <w:rPr>
          <w:iCs/>
        </w:rPr>
      </w:pPr>
      <w:r w:rsidRPr="002B6148">
        <w:t xml:space="preserve">Shallow earthquakes result from a fault slip. The conditions leading to a seismic slip are quantified by the Coulomb criterion in terms of τ=μ (σ-ρ), where the shear stress (τ) equals the </w:t>
      </w:r>
      <w:r w:rsidRPr="002B6148">
        <w:lastRenderedPageBreak/>
        <w:t xml:space="preserve">frictional strength, which is the product of the coefficient of friction (μ) and the effective stress (σ-ρ). According to the Coulomb criterion, decreasing the normal stress (σ), increasing the pore pressure (ρ), and/or increasing the shear stress (π) can trigger a seismic slip on a fault </w:t>
      </w:r>
      <w:r w:rsidR="009C0C88">
        <w:fldChar w:fldCharType="begin"/>
      </w:r>
      <w:r w:rsidR="009C0C88">
        <w:instrText xml:space="preserve"> ADDIN ZOTERO_ITEM CSL_CITATION {"citationID":"SM94tQze","properties":{"formattedCitation":"(National Research Council, 2013)","plainCitation":"(National Research Council, 2013)","noteIndex":0},"citationItems":[{"id":269,"uris":["http://zotero.org/users/7782726/items/3FR59RY7"],"uri":["http://zotero.org/users/7782726/items/3FR59RY7"],"itemData":{"id":269,"type":"book","ISBN":"0-309-25367-5","publisher":"National Academies Press","title":"Induced seismicity potential in energy technologies","author":[{"family":"National Research Council","given":""}],"issued":{"date-parts":[["2013"]]}}}],"schema":"https://github.com/citation-style-language/schema/raw/master/csl-citation.json"} </w:instrText>
      </w:r>
      <w:r w:rsidR="009C0C88">
        <w:fldChar w:fldCharType="separate"/>
      </w:r>
      <w:r w:rsidR="009C0C88" w:rsidRPr="009C0C88">
        <w:t>(National Research Council, 2013)</w:t>
      </w:r>
      <w:r w:rsidR="009C0C88">
        <w:fldChar w:fldCharType="end"/>
      </w:r>
      <w:r w:rsidRPr="002B6148">
        <w:t>.</w:t>
      </w:r>
      <w:r>
        <w:t xml:space="preserve"> </w:t>
      </w:r>
      <w:r w:rsidRPr="00F67519">
        <w:rPr>
          <w:iCs/>
        </w:rPr>
        <w:t>Fluid</w:t>
      </w:r>
      <w:r w:rsidRPr="00F67519">
        <w:rPr>
          <w:rFonts w:hint="eastAsia"/>
          <w:iCs/>
        </w:rPr>
        <w:t xml:space="preserve"> injection causes earthquakes through </w:t>
      </w:r>
      <w:r w:rsidRPr="00F67519">
        <w:rPr>
          <w:iCs/>
        </w:rPr>
        <w:t>changing</w:t>
      </w:r>
      <w:r w:rsidRPr="00F67519">
        <w:rPr>
          <w:rFonts w:hint="eastAsia"/>
          <w:iCs/>
        </w:rPr>
        <w:t xml:space="preserve"> the stress on faults to facilitate failure. Factors of injection processes and </w:t>
      </w:r>
      <w:r w:rsidRPr="00F67519">
        <w:rPr>
          <w:iCs/>
        </w:rPr>
        <w:t>reservoir</w:t>
      </w:r>
      <w:r w:rsidRPr="00F67519">
        <w:rPr>
          <w:rFonts w:hint="eastAsia"/>
          <w:iCs/>
        </w:rPr>
        <w:t xml:space="preserve"> conditions are relevant when accessing the risk and </w:t>
      </w:r>
      <w:r w:rsidRPr="00F67519">
        <w:rPr>
          <w:iCs/>
        </w:rPr>
        <w:t>magnitude</w:t>
      </w:r>
      <w:r w:rsidRPr="00F67519">
        <w:rPr>
          <w:rFonts w:hint="eastAsia"/>
          <w:iCs/>
        </w:rPr>
        <w:t xml:space="preserve"> of induced seismicity. Factors of injection processes include injection rate, injection depth, fluid volume, fluid pressure and </w:t>
      </w:r>
      <w:r w:rsidRPr="00F67519">
        <w:rPr>
          <w:iCs/>
        </w:rPr>
        <w:t>fluid</w:t>
      </w:r>
      <w:r w:rsidRPr="00F67519">
        <w:rPr>
          <w:rFonts w:hint="eastAsia"/>
          <w:iCs/>
        </w:rPr>
        <w:t xml:space="preserve"> temperature. </w:t>
      </w:r>
      <w:r w:rsidRPr="00F67519">
        <w:rPr>
          <w:iCs/>
        </w:rPr>
        <w:t>Reservoir</w:t>
      </w:r>
      <w:r w:rsidRPr="00F67519">
        <w:rPr>
          <w:rFonts w:hint="eastAsia"/>
          <w:iCs/>
        </w:rPr>
        <w:t xml:space="preserve"> parameters include pore pressure, rock strength and conditions of pre-existing faults </w:t>
      </w:r>
      <w:r w:rsidR="009C0C88">
        <w:rPr>
          <w:iCs/>
        </w:rPr>
        <w:fldChar w:fldCharType="begin"/>
      </w:r>
      <w:r w:rsidR="009C0C88">
        <w:rPr>
          <w:iCs/>
        </w:rPr>
        <w:instrText xml:space="preserve"> ADDIN ZOTERO_ITEM CSL_CITATION {"citationID":"w5VPNOuy","properties":{"formattedCitation":"(Rubinstein &amp; Mahani, 2015; Shapiro &amp; Dinske, 2009; Zoback, 2012)","plainCitation":"(Rubinstein &amp; Mahani, 2015; Shapiro &amp; Dinske, 2009; Zoback, 2012)","noteIndex":0},"citationItems":[{"id":277,"uris":["http://zotero.org/users/7782726/items/IUEQVLLX"],"uri":["http://zotero.org/users/7782726/items/IUEQVLLX"],"itemData":{"id":277,"type":"article-journal","container-title":"Seismological Research Letters","issue":"4","note":"ISBN: 1938-2057\npublisher: Seismological Society of America","page":"1060-1067","title":"Myths and facts on wastewater injection, hydraulic fracturing, enhanced oil recovery, and induced seismicity","volume":"86","author":[{"family":"Rubinstein","given":"Justin L."},{"family":"Mahani","given":"Alireza Babaie"}],"issued":{"date-parts":[["2015"]]}}},{"id":276,"uris":["http://zotero.org/users/7782726/items/N77H9H6B"],"uri":["http://zotero.org/users/7782726/items/N77H9H6B"],"itemData":{"id":276,"type"</w:instrText>
      </w:r>
      <w:r w:rsidR="009C0C88">
        <w:rPr>
          <w:rFonts w:hint="eastAsia"/>
          <w:iCs/>
        </w:rPr>
        <w:instrText>:"article-journal","container-title":"Geophysical Prospecting","issue":"2","note":"ISBN: 1365-2478\npublisher: European Association of Geoscientists &amp; Engineers","page":"301-310","title":"Fluid</w:instrText>
      </w:r>
      <w:r w:rsidR="009C0C88">
        <w:rPr>
          <w:rFonts w:hint="eastAsia"/>
          <w:iCs/>
        </w:rPr>
        <w:instrText>‐</w:instrText>
      </w:r>
      <w:r w:rsidR="009C0C88">
        <w:rPr>
          <w:rFonts w:hint="eastAsia"/>
          <w:iCs/>
        </w:rPr>
        <w:instrText>induced seismicity: Pressure diffusion and hydraulic fracturi</w:instrText>
      </w:r>
      <w:r w:rsidR="009C0C88">
        <w:rPr>
          <w:iCs/>
        </w:rPr>
        <w:instrText xml:space="preserve">ng","volume":"57","author":[{"family":"Shapiro","given":"Serge A."},{"family":"Dinske","given":"Carsten"}],"issued":{"date-parts":[["2009"]]}}},{"id":260,"uris":["http://zotero.org/users/7782726/items/ABQFN278"],"uri":["http://zotero.org/users/7782726/items/ABQFN278"],"itemData":{"id":260,"type":"article-journal","container-title":"Earth","issue":"4","note":"ISBN: 1943-345X","page":"38","title":"Managing the seismic risk posed by wastewater disposal","volume":"57","author":[{"family":"Zoback","given":"Mark D."}],"issued":{"date-parts":[["2012"]]}}}],"schema":"https://github.com/citation-style-language/schema/raw/master/csl-citation.json"} </w:instrText>
      </w:r>
      <w:r w:rsidR="009C0C88">
        <w:rPr>
          <w:iCs/>
        </w:rPr>
        <w:fldChar w:fldCharType="separate"/>
      </w:r>
      <w:r w:rsidR="009C0C88" w:rsidRPr="009C0C88">
        <w:t>(Rubinstein &amp; Mahani, 2015; Shapiro &amp; Dinske, 2009; Zoback, 2012)</w:t>
      </w:r>
      <w:r w:rsidR="009C0C88">
        <w:rPr>
          <w:iCs/>
        </w:rPr>
        <w:fldChar w:fldCharType="end"/>
      </w:r>
      <w:r w:rsidRPr="00F67519">
        <w:rPr>
          <w:rFonts w:hint="eastAsia"/>
          <w:iCs/>
        </w:rPr>
        <w:t xml:space="preserve">. Unfortunately, many of these factors are not easily or possible to quantify due to the limitation of geological knowledge and lack of basic data related to </w:t>
      </w:r>
      <w:r w:rsidRPr="00F67519">
        <w:rPr>
          <w:iCs/>
        </w:rPr>
        <w:t>fluid</w:t>
      </w:r>
      <w:r w:rsidRPr="00F67519">
        <w:rPr>
          <w:rFonts w:hint="eastAsia"/>
          <w:iCs/>
        </w:rPr>
        <w:t xml:space="preserve"> injection practices.</w:t>
      </w:r>
    </w:p>
    <w:p w14:paraId="129F9F27" w14:textId="247F73F6" w:rsidR="00336205" w:rsidRDefault="5E4FB5CC" w:rsidP="00336205">
      <w:r>
        <w:t xml:space="preserve">It is not easily to evaluate the association between injection wells and earthquakes based on their spatial relation since the distance between seismicity and injection point can be more than 10 kilometers and the depth of seismicity can be much greater than injection depth </w:t>
      </w:r>
      <w:r w:rsidR="00336205">
        <w:fldChar w:fldCharType="begin"/>
      </w:r>
      <w:r w:rsidR="00336205">
        <w:instrText xml:space="preserve"> ADDIN ZOTERO_ITEM CSL_CITATION {"citationID":"dObzbJmk","properties":{"formattedCitation":"(Rubinstein &amp; Mahani, 2015)","plainCitation":"(Rubinstein &amp; Mahani, 2015)","noteIndex":0},"citationItems":[{"id":277,"uris":["http://zotero.org/users/7782726/items/IUEQVLLX"],"uri":["http://zotero.org/users/7782726/items/IUEQVLLX"],"itemData":{"id":277,"type":"article-journal","container-title":"Seismological Research Letters","issue":"4","note":"ISBN: 1938-2057\npublisher: Seismological Society of America","page":"1060-1067","title":"Myths and facts on wastewater injection, hydraulic fracturing, enhanced oil recovery, and induced seismicity","volume":"86","author":[{"family":"Rubinstein","given":"Justin L."},{"family":"Mahani","given":"Alireza Babaie"}],"issued":{"date-parts":[["2015"]]}}}],"schema":"https://github.com/citation-style-language/schema/raw/master/csl-citation.json"} </w:instrText>
      </w:r>
      <w:r w:rsidR="00336205">
        <w:fldChar w:fldCharType="separate"/>
      </w:r>
      <w:r>
        <w:t>(Rubinstein &amp; Mahani, 2015)</w:t>
      </w:r>
      <w:r w:rsidR="00336205">
        <w:fldChar w:fldCharType="end"/>
      </w:r>
      <w:r>
        <w:t xml:space="preserve">. For example, the seismicity at the Rocky Mountain Arsenal was more than 10 kilometers away from the injection point and of greater depth than the injection depth </w:t>
      </w:r>
      <w:r w:rsidR="00336205">
        <w:fldChar w:fldCharType="begin"/>
      </w:r>
      <w:r w:rsidR="00336205">
        <w:instrText xml:space="preserve"> ADDIN ZOTERO_ITEM CSL_CITATION {"citationID":"CvH3QJsW","properties":{"formattedCitation":"(Healy et al., 1968; Hsieh &amp; Bredehoeft, 1981)","plainCitation":"(Healy et al., 1968; Hsieh &amp; Bredehoeft, 1981)","noteIndex":0},"citationItems":[{"id":278,"uris":["http://zotero.org/users/7782726/items/GF77KEKZ"],"uri":["http://zotero.org/users/7782726/items/GF77KEKZ"],"itemData":{"id":278,"type":"article-journal","container-title":"Science","issue":"3848","note":"ISBN: 0036-8075\npublisher: American Association for the Advancement of Science","page":"1301-1310","title":"The denver earthquakes","volume":"161","author":[{"family":"Healy","given":"J. H."},{"family":"Rubey","given":"W. W."},{"family":"Griggs","given":"D. T."},{"family":"Raleigh","given":"C. B."}],"issued":{"date-parts":[["1968"]]}}},{"id":279,"uris":["http://zotero.org/users/7782726/items/WEQRGBZQ"],"uri":["http://zotero.org/users/7782726/items/WEQRGBZQ"],"itemData":{"id":279,"type":"article-journal","container-title":"Journal of Geophysical Research: Solid Earth","issue":"B2","note":"ISBN: 0148-0227\npublisher: Wiley Online Library","page":"903-920","title":"A reservoir analysis of the Denver earthquakes: A case of induced seismicity","volume":"86","author":[{"family":"Hsieh","given":"Paul A."},{"family":"Bredehoeft","given":"John D."}],"issued":{"date-parts":[["1981"]]}}}],"schema":"https://github.com/citation-style-language/schema/raw/master/csl-citation.json"} </w:instrText>
      </w:r>
      <w:r w:rsidR="00336205">
        <w:fldChar w:fldCharType="separate"/>
      </w:r>
      <w:r>
        <w:t>(Healy et al., 1968; Hsieh &amp; Bredehoeft, 1981)</w:t>
      </w:r>
      <w:r w:rsidR="00336205">
        <w:fldChar w:fldCharType="end"/>
      </w:r>
      <w:r>
        <w:t xml:space="preserve">. Some recent studies have argued that the distance between induced seismicity and injection point could be more than 20 kilometers </w:t>
      </w:r>
      <w:r w:rsidR="00336205">
        <w:fldChar w:fldCharType="begin"/>
      </w:r>
      <w:r w:rsidR="00336205">
        <w:instrText xml:space="preserve"> ADDIN ZOTERO_ITEM CSL_CITATION {"citationID":"vFdkpdV9","properties":{"formattedCitation":"(Keranen et al., 2014)","plainCitation":"(Keranen et al., 2014)","noteIndex":0},"citationItems":[{"id":227,"uris":["http://zotero.org/users/7782726/items/WFKZXX4R"],"uri":["http://zotero.org/users/7782726/items/WFKZXX4R"],"itemData":{"id":227,"type":"article-journal","container-title":"Science","issue":"6195","note":"ISBN: 0036-8075\npublisher: American Association for the Advancement of Science","page":"448-451","title":"Sharp increase in central Oklahoma seismicity since 2008 induced by massive wastewater injection","volume":"345","author":[{"family":"Keranen","given":"Katie M."},{"family":"Weingarten","given":"Matthew"},{"family":"Abers","given":"Geoffrey A."},{"family":"Bekins","given":"Barbara A."},{"family":"Ge","given":"Shemin"}],"issued":{"date-parts":[["2014"]]}}}],"schema":"https://github.com/citation-style-language/schema/raw/master/csl-citation.json"} </w:instrText>
      </w:r>
      <w:r w:rsidR="00336205">
        <w:fldChar w:fldCharType="separate"/>
      </w:r>
      <w:r>
        <w:t>(Keranen et al., 2014)</w:t>
      </w:r>
      <w:r w:rsidR="00336205">
        <w:fldChar w:fldCharType="end"/>
      </w:r>
      <w:r>
        <w:t>. Moreover, some induced seismicity may occur long after the injection activity begins. Therefore, it is not easily or possible to determine whether the seismicity is caused by fluid injection or not.</w:t>
      </w:r>
    </w:p>
    <w:p w14:paraId="10A94BBA" w14:textId="38A6591E" w:rsidR="00336205" w:rsidRDefault="5E4FB5CC" w:rsidP="00336205">
      <w:r>
        <w:t>Most injection wells cause microscale earthquakes. Only a few of these wells are suspected of inducing felt earthquakes. For example, The M</w:t>
      </w:r>
      <w:r w:rsidRPr="5E4FB5CC">
        <w:rPr>
          <w:vertAlign w:val="subscript"/>
        </w:rPr>
        <w:t>w</w:t>
      </w:r>
      <w:r>
        <w:t xml:space="preserve"> 3.9 earthquake on 31 December 2011 in  Youngstown, Ohio was concluded to have been induced by the fluid injection at a deep injection </w:t>
      </w:r>
      <w:r>
        <w:lastRenderedPageBreak/>
        <w:t xml:space="preserve">well close to the pre-existing faults </w:t>
      </w:r>
      <w:r w:rsidR="00336205">
        <w:fldChar w:fldCharType="begin"/>
      </w:r>
      <w:r w:rsidR="00336205">
        <w:instrText xml:space="preserve"> ADDIN ZOTERO_ITEM CSL_CITATION {"citationID":"lg8OjVYo","properties":{"formattedCitation":"(Kim, 2013)","plainCitation":"(Kim, 2013)","noteIndex":0},"citationItems":[{"id":224,"uris":["http://zotero.org/users/7782726/items/E2XBREBT"],"uri":["http://zotero.org/users/7782726/items/E2XBREBT"],"itemData":{"id":224,"type":"article-journal","container-title":"Journal of Geophysical Research: Solid Earth","issue":"7","note":"ISBN: 2169-9313\npublisher: Wiley Online Library","page":"3506-3518","title":"Induced seismicity associated with fluid injection into a deep well in Youngstown, Ohio","volume":"118","author":[{"family":"Kim","given":"Won-Young"}],"issued":{"date-parts":[["2013"]]}}}],"schema":"https://github.com/citation-style-language/schema/raw/master/csl-citation.json"} </w:instrText>
      </w:r>
      <w:r w:rsidR="00336205">
        <w:fldChar w:fldCharType="separate"/>
      </w:r>
      <w:r>
        <w:t>(Kim, 2013)</w:t>
      </w:r>
      <w:r w:rsidR="00336205">
        <w:fldChar w:fldCharType="end"/>
      </w:r>
      <w:r>
        <w:t>. The M</w:t>
      </w:r>
      <w:r w:rsidRPr="5E4FB5CC">
        <w:rPr>
          <w:vertAlign w:val="subscript"/>
        </w:rPr>
        <w:t>w</w:t>
      </w:r>
      <w:r>
        <w:t xml:space="preserve"> 4.7 earthquake on 27 February 2011 in central Arkansas occurred within 6 km of three waste disposal wells in use </w:t>
      </w:r>
      <w:r w:rsidR="00336205">
        <w:fldChar w:fldCharType="begin"/>
      </w:r>
      <w:r w:rsidR="00336205">
        <w:instrText xml:space="preserve"> ADDIN ZOTERO_ITEM CSL_CITATION {"citationID":"hiYkb1oH","properties":{"formattedCitation":"(Horton, 2012)","plainCitation":"(Horton, 2012)","noteIndex":0},"citationItems":[{"id":223,"uris":["http://zotero.org/users/7782726/items/NAVGBEPK"],"uri":["http://zotero.org/users/7782726/items/NAVGBEPK"],"itemData":{"id":223,"type":"article-journal","container-title":"Seismological Research Letters","issue":"2","note":"ISBN: 1938-2057\npublisher: Seismological Society of America","page":"250-260","title":"Disposal of hydrofracking waste fluid by injection into subsurface aquifers triggers earthquake swarm in central Arkansas with potential for damaging earthquake","volume":"83","author":[{"family":"Horton","given":"Steve"}],"issued":{"date-parts":[["2012"]]}}}],"schema":"https://github.com/citation-style-language/schema/raw/master/csl-citation.json"} </w:instrText>
      </w:r>
      <w:r w:rsidR="00336205">
        <w:fldChar w:fldCharType="separate"/>
      </w:r>
      <w:r>
        <w:t>(Horton, 2012)</w:t>
      </w:r>
      <w:r w:rsidR="00336205">
        <w:fldChar w:fldCharType="end"/>
      </w:r>
      <w:r>
        <w:t>. The M</w:t>
      </w:r>
      <w:r w:rsidRPr="5E4FB5CC">
        <w:rPr>
          <w:vertAlign w:val="subscript"/>
        </w:rPr>
        <w:t>w</w:t>
      </w:r>
      <w:r>
        <w:t xml:space="preserve"> 5.7 earthquake on 6 November 2011 in Oklahoma appears to be relevant to wastewater injection </w:t>
      </w:r>
      <w:r w:rsidR="00336205">
        <w:fldChar w:fldCharType="begin"/>
      </w:r>
      <w:r w:rsidR="00336205">
        <w:instrText xml:space="preserve"> ADDIN ZOTERO_ITEM CSL_CITATION {"citationID":"6RO7K1yw","properties":{"formattedCitation":"(Keranen et al., 2013)","plainCitation":"(Keranen et al., 2013)","noteIndex":0},"citationItems":[{"id":229,"uris":["http://zotero.org/users/7782726/items/7R22WWZ9"],"uri":["http://zotero.org/users/7782726/items/7R22WWZ9"],"itemData":{"id":229,"type":"article-journal","container-title":"Geology","issue":"6","note":"ISBN: 1943-2682\npublisher: Geological Society of America","page":"699-702","title":"Potentially induced earthquakes in Oklahoma, USA: Links between wastewater injection and the 2011 Mw 5.7 earthquake sequence","volume":"41","author":[{"family":"Keranen","given":"Katie M."},{"family":"Savage","given":"Heather M."},{"family":"Abers","given":"Geoffrey A."},{"family":"Cochran","given":"Elizabeth S."}],"issued":{"date-parts":[["2013"]]}}}],"schema":"https://github.com/citation-style-language/schema/raw/master/csl-citation.json"} </w:instrText>
      </w:r>
      <w:r w:rsidR="00336205">
        <w:fldChar w:fldCharType="separate"/>
      </w:r>
      <w:r>
        <w:t>(Keranen et al., 2013)</w:t>
      </w:r>
      <w:r w:rsidR="00336205">
        <w:fldChar w:fldCharType="end"/>
      </w:r>
      <w:r>
        <w:t>. The thirteen earthquakes with M</w:t>
      </w:r>
      <w:r w:rsidRPr="5E4FB5CC">
        <w:rPr>
          <w:vertAlign w:val="subscript"/>
        </w:rPr>
        <w:t>w</w:t>
      </w:r>
      <w:r>
        <w:t xml:space="preserve"> 4 in February 1996, at the Rocky Mountain Arsenal northeast of Denver, Colorado were induced by a deep injection well </w:t>
      </w:r>
      <w:r w:rsidR="00336205">
        <w:fldChar w:fldCharType="begin"/>
      </w:r>
      <w:r w:rsidR="00336205">
        <w:instrText xml:space="preserve"> ADDIN ZOTERO_ITEM CSL_CITATION {"citationID":"q06xph9x","properties":{"formattedCitation":"(Hsieh &amp; Bredehoeft, 1981)","plainCitation":"(Hsieh &amp; Bredehoeft, 1981)","noteIndex":0},"citationItems":[{"id":279,"uris":["http://zotero.org/users/7782726/items/WEQRGBZQ"],"uri":["http://zotero.org/users/7782726/items/WEQRGBZQ"],"itemData":{"id":279,"type":"article-journal","container-title":"Journal of Geophysical Research: Solid Earth","issue":"B2","note":"ISBN: 0148-0227\npublisher: Wiley Online Library","page":"903-920","title":"A reservoir analysis of the Denver earthquakes: A case of induced seismicity","volume":"86","author":[{"family":"Hsieh","given":"Paul A."},{"family":"Bredehoeft","given":"John D."}],"issued":{"date-parts":[["1981"]]}}}],"schema":"https://github.com/citation-style-language/schema/raw/master/csl-citation.json"} </w:instrText>
      </w:r>
      <w:r w:rsidR="00336205">
        <w:fldChar w:fldCharType="separate"/>
      </w:r>
      <w:r>
        <w:t>(Hsieh &amp; Bredehoeft, 1981)</w:t>
      </w:r>
      <w:r w:rsidR="00336205">
        <w:fldChar w:fldCharType="end"/>
      </w:r>
      <w:r>
        <w:t>. More earthquakes may be induced by fluid injection, but only earthquakes with large magnitude and sufficient geological and industrial data are included in current studies.</w:t>
      </w:r>
    </w:p>
    <w:p w14:paraId="1C6E01E3" w14:textId="77777777" w:rsidR="004852AA" w:rsidRDefault="004852AA" w:rsidP="00336205">
      <w:pPr>
        <w:rPr>
          <w:iCs/>
        </w:rPr>
      </w:pPr>
    </w:p>
    <w:p w14:paraId="61C9504A" w14:textId="14E9E941" w:rsidR="00336205" w:rsidRDefault="00212DC0" w:rsidP="00212DC0">
      <w:pPr>
        <w:pStyle w:val="3"/>
      </w:pPr>
      <w:bookmarkStart w:id="15" w:name="_Toc75939815"/>
      <w:r>
        <w:t xml:space="preserve">1.1.3 </w:t>
      </w:r>
      <w:r w:rsidRPr="00212DC0">
        <w:t>Earthquakes Induced by Fluid Injection in Oklahoma</w:t>
      </w:r>
      <w:bookmarkEnd w:id="15"/>
    </w:p>
    <w:p w14:paraId="15C69A7E" w14:textId="1D3CD23E" w:rsidR="006173A6" w:rsidRDefault="5E4FB5CC" w:rsidP="00E77DD9">
      <w:r>
        <w:t>Since 2008, seismicity in the central United States has rapidly increased, predominately within regions of high unconventional oil and gas production states such as Oklahoma (Ellsworth, 2013). Seismic swarms within Oklahoma have contributed a large portion of the recent central United States seismicity. On 6 November 2011, an M</w:t>
      </w:r>
      <w:r w:rsidRPr="5E4FB5CC">
        <w:rPr>
          <w:vertAlign w:val="subscript"/>
        </w:rPr>
        <w:t>w</w:t>
      </w:r>
      <w:r>
        <w:t xml:space="preserve"> 5.7 earthquake occurred in the Wilzetta oil field near Prague, Oklahoma with complex Pennsylvanian-age Wilzetta fault system and two active fluid injection wells. It is the second largest recorded earthquake in Oklahoma. The earthquake destroyed 14 homes, injured 2 people, and caused damage to buildings and roads in the epicentral region. On 3 September 2016, an earthquake with a Mw 5.8 occurred near the northern Oklahoma town of Pawnee. It was the strongest earthquake on record to date. </w:t>
      </w:r>
    </w:p>
    <w:p w14:paraId="7957148D" w14:textId="33083228" w:rsidR="00B63FFC" w:rsidRDefault="5E4FB5CC" w:rsidP="006173A6">
      <w:r>
        <w:t xml:space="preserve">A growing body of scientific research increasingly connects this upsurge in seismic activity in Oklahoma with the recent boom in oil and gas production, specifically with the wastewater injection volumes (IW) and their depth </w:t>
      </w:r>
      <w:r w:rsidR="005B2DFA">
        <w:fldChar w:fldCharType="begin"/>
      </w:r>
      <w:r w:rsidR="005B2DFA">
        <w:instrText xml:space="preserve"> ADDIN ZOTERO_ITEM CSL_CITATION {"citationID":"0GJjK9F4","properties":{"formattedCitation":"(Barbour et al., 2017; X. Chen et al., 2017; Hincks et al., 2018; Holland, 2013; Hough &amp; Page, 2015; Keranen et al., 2013, 2014; Walsh &amp; Zoback, 2015)","plainCitation":"(Barbour et al., 2017; X. Chen et al., 2017; Hincks et al., 2018; Holland, 2013; Hough &amp; Page, 2015; Keranen et al., 2013, 2014; Walsh &amp; Zoback, 2015)","dontUpdate":true,"noteIndex":0},"citationItems":[{"id":230,"uris":["http://zotero.org/users/7782726/items/FCHBZ99F"],"uri":["http://zotero.org/users/7782726/items/FCHBZ99F"],"itemData":{"id":230,"type":"article-journal","container-title":"Seismological Research Letters","issue":"4","note":"ISBN: 0895-0695\npublisher: Seismological Society of America","page":"1040-1053","title":"The effects of varying injection rates in Osage County, Oklahoma, on the 2016 M w 5.8 Pawnee earthquake","volume":"88","author":[{"family":"Barbour","given":"Andrew J."},{"family":"Norbeck","given":"Jack H."},{"family":"Rubinstein","given":"Justin L."}],"issued":{"date-parts":[["2017"]]}}},{"id":237,"uris":["http://zotero.org/users/7782726/items/IJ48E3KZ"],"uri":["http://zotero.org/users/7782726/items/IJ48E3KZ"],"itemData":{"id":237,"type":"article-journal","container-title":"Scientific Reports","issue":"1","note":"ISBN: 2045-2322\npublisher: Nature Publishing Group","page":"1-18","title":"The Pawnee earthquake as a result of the interplay among injection, faults and foreshocks","volume":"7","author":[{"family":"Chen","given":"Xiaowei"},{"family":"Nakata","given":"Nori"},{"family":"Pennington","given":"Colin"},{"family":"Haffener","given":"Jackson"},{"family":"Chang","given":"Jefferson C."},{"family":"He","given":"Xiaohui"},{"family":"Zhan","given":"Zhongwen"},{"family":"Ni","given":"Sidao"},{"family":"Walter","given":"Jacob I."}],"issued":{"date-parts":[["2017"]]}}},{"id":238,"uris":["http://zotero.org/users/7782726/items/G88675T2"],"uri":["http://zotero.org/users/7782726/items/G88675T2"],"itemData":{"id":238,"type":"article-journal","container-title":"Science","issue":"6381","note":"ISBN: 0036-8075\npublisher: American Association for the Advancement of Science","page":"1251-1255","title":"Oklahoma's induced seismicity strongly linked to wastewater injection depth","volume":"359","author":[{"family":"Hincks","given":"Thea"},{"family":"Aspinall","given":"Willy"},{"family":"Cooke","given":"Roger"},{"family":"Gernon","given":"Thomas"}],"issued":{"date-parts":[["2018"]]}}},{"id":235,"uris":["http://zotero.org/users/7782726/items/8XLDP8AR"],"uri":["http://zotero.org/users/7782726/items/8XLDP8AR"],"itemData":{"id":235,"type":"article-journal","container-title":"Bulletin of the Seismological Society of America","issue":"3","note":"ISBN: 1943-3573\npublisher: Seismological Society of America","page":"1784-1792","title":"Earthquakes triggered by hydraulic fracturing in south‐central Oklahoma","volume":"103","author":[{"family":"Holland","given":"Austin A."}],"issued":{"date-parts":[["2013"]]}}},{"id":236,"uris":["http://zotero.org/users/7782726/items/X82WY4UK"],"uri":["http://zotero.org/users/7782726/items/X82WY4UK"],"itemData":{"id":236,"type":"article-journal","container-title":"Bulletin of the Seismological Society of America","issue":"6","note":"ISBN: 1943-3573\npublisher: Seismological Society of America","page":"2863-2870","title":"A century of induced earthquakes in Oklahoma?","volume":"105","author":[{"family":"Hough","given":"Susan E."},{"family":"Page","given":"Morgan"}],"issued":{"date-parts":[["2015"]]}}},{"id":229,"uris":["http://zotero.org/users/7782726/items/7R22WWZ9"],"uri":["http://zotero.org/users/7782726/items/7R22WWZ9"],"itemData":{"id":229,"type":"article-journal","container-title":"Geology","issue":"6","note":"ISBN: 1943-2682\npublisher: Geological Society of America","page":"699-702","title":"Potentially induced earthquakes in Oklahoma, USA: Links between wastewater injection and the 2011 Mw 5.7 earthquake sequence","volume":"41","author":[{"family":"Keranen","given":"Katie M."},{"family":"Savage","given":"Heather M."},{"family":"Abers","given":"Geoffrey A."},{"family":"Cochran","given":"Elizabeth S."}],"issued":{"date-parts":[["2013"]]}}},{"id":227,"uris":["http://zotero.org/users/7782726/items/WFKZXX4R"],"uri":["http://zotero.org/users/7782726/items/WFKZXX4R"],"itemData":{"id":227,"type":"article-journal","container-title":"Science","issue":"6195","note":"ISBN: 0036-8075\npublisher: American Association for the Advancement of Science","page":"448-451","title":"Sharp increase in central Oklahoma seismicity since 2008 induced by massive wastewater injection","volume":"345","author":[{"family":"Keranen","given":"Katie M."},{"family":"Weingarten","given":"Matthew"},{"family":"Abers","given":"Geoffrey A."},{"family":"Bekins","given":"Barbara A."},{"family":"Ge","given":"Shemin"}],"issued":{"date-parts":[["2014"]]}}},{"id":231,"uris":["http://zotero.org/users/7782726/items/XTD48FX5"],"uri":["http://zotero.org/users/7782726/items/XTD48FX5"],"itemData":{"id":231,"type":"article-journal","container-title":"Science advances","issue":"5","note":"ISBN: 2375-2548\npublisher: American Association for the Advancement of Science","page":"e1500195","title":"Oklahoma’s recent earthquakes and saltwater disposal","volume":"1","author":[{"family":"Walsh","given":"F. Rall"},{"family":"Zoback","given":"Mark D."}],"issued":{"date-parts":[["2015"]]}}}],"schema":"https://github.com/citation-style-language/schema/raw/master/csl-citation.json"} </w:instrText>
      </w:r>
      <w:r w:rsidR="005B2DFA">
        <w:fldChar w:fldCharType="separate"/>
      </w:r>
      <w:r>
        <w:t>(Barbour et al., 2017; Chen et al., 2017; Hincks et al., 2018; Holland, 2013; Hough &amp; Page, 2015; Keranen et al., 2013, 2014; Walsh &amp; Zoback, 2015)</w:t>
      </w:r>
      <w:r w:rsidR="005B2DFA">
        <w:fldChar w:fldCharType="end"/>
      </w:r>
      <w:r>
        <w:t xml:space="preserve">. For example, Norbeck and Rubinstein </w:t>
      </w:r>
      <w:r w:rsidR="005B2DFA">
        <w:fldChar w:fldCharType="begin"/>
      </w:r>
      <w:r w:rsidR="005B2DFA">
        <w:instrText xml:space="preserve"> ADDIN ZOTERO_ITEM CSL_CITATION {"citationID":"6OW1BR1n","properties":{"formattedCitation":"(Norbeck &amp; Rubinstein, 2018)","plainCitation":"(Norbeck &amp; Rubinstein, 2018)","dontUpdate":true,"noteIndex":0},"citationItems":[{"id":239,"uris":["http://zotero.org/users/7782726/items/X28UQ6PY"],"uri":["http://zotero.org/users/7782726/items/X28UQ6PY"],"itemData":{"id":239,"type":"article-journal","container-title":"Geophysical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5B2DFA">
        <w:fldChar w:fldCharType="separate"/>
      </w:r>
      <w:r>
        <w:t>(2018)</w:t>
      </w:r>
      <w:r w:rsidR="005B2DFA">
        <w:fldChar w:fldCharType="end"/>
      </w:r>
      <w:r>
        <w:t xml:space="preserve"> calibrated a reservoir model to calculate the hydrologic </w:t>
      </w:r>
      <w:r>
        <w:lastRenderedPageBreak/>
        <w:t xml:space="preserve">conditions associated with the activity of 902 saltwater disposal wells into the Aurbuckle aquifer using multiple geologic parameters within Oklahoma. Their results demonstrate that the recent earthquake sequence in Oklahoma can be explained as a hydromechanical earthquake nucleation response driven primarily by the injection history of saltwater disposal wells despite of the heterogeneity and uncertainty existing in the model due to the wide spatial coverage of the study area </w:t>
      </w:r>
      <w:r w:rsidR="005B2DFA">
        <w:fldChar w:fldCharType="begin"/>
      </w:r>
      <w:r w:rsidR="005B2DFA">
        <w:instrText xml:space="preserve"> ADDIN ZOTERO_ITEM CSL_CITATION {"citationID":"v1a4175N","properties":{"formattedCitation":"(Norbeck &amp; Rubinstein, 2018)","plainCitation":"(Norbeck &amp; Rubinstein, 2018)","noteIndex":0},"citationItems":[{"id":239,"uris":["http://zotero.org/users/7782726/items/X28UQ6PY"],"uri":["http://zotero.org/users/7782726/items/X28UQ6PY"],"itemData":{"id":239,"type":"article-journal","container-title":"Geophysical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5B2DFA">
        <w:fldChar w:fldCharType="separate"/>
      </w:r>
      <w:r>
        <w:t>(Norbeck &amp; Rubinstein, 2018)</w:t>
      </w:r>
      <w:r w:rsidR="005B2DFA">
        <w:fldChar w:fldCharType="end"/>
      </w:r>
      <w:r>
        <w:t xml:space="preserve">. Langenbruch and Zoback </w:t>
      </w:r>
      <w:r w:rsidR="005B2DFA">
        <w:fldChar w:fldCharType="begin"/>
      </w:r>
      <w:r w:rsidR="005B2DFA">
        <w:instrText xml:space="preserve"> ADDIN ZOTERO_ITEM CSL_CITATION {"citationID":"pGcgs3qy","properties":{"formattedCitation":"(Langenbruch &amp; Zoback, 2016)","plainCitation":"(Langenbruch &amp; Zoback, 2016)","dontUpdate":true,"noteIndex":0},"citationItems":[{"id":240,"uris":["http://zotero.org/users/7782726/items/WHPZB4ER"],"uri":["http://zotero.org/users/7782726/items/WHPZB4ER"],"itemData":{"id":240,"type":"article-journal","container-title":"Science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5B2DFA">
        <w:fldChar w:fldCharType="separate"/>
      </w:r>
      <w:r>
        <w:t>(2016)</w:t>
      </w:r>
      <w:r w:rsidR="005B2DFA">
        <w:fldChar w:fldCharType="end"/>
      </w:r>
      <w:r>
        <w:t xml:space="preserve"> calibrated a statistical model that relates seismicity and injection by applying the Guttenberg–Richter Law depending on two varying-in-time and space seismogenic parameters. Their results predict that earthquakes with magnitude equal or greater than 3.0 in north-central Oklahoma should significantly decrease by the end of 2016 and approach historic levels within a few years as a respond to the mandated injection rate reduction. The authors also discussed that it will be interesting to analyze how the model and their results fluctuate in different subregions of Oklahoma </w:t>
      </w:r>
      <w:r w:rsidR="005B2DFA">
        <w:fldChar w:fldCharType="begin"/>
      </w:r>
      <w:r w:rsidR="005B2DFA">
        <w:instrText xml:space="preserve"> ADDIN ZOTERO_ITEM CSL_CITATION {"citationID":"1Jh1PuMK","properties":{"formattedCitation":"(Langenbruch &amp; Zoback, 2016)","plainCitation":"(Langenbruch &amp; Zoback, 2016)","noteIndex":0},"citationItems":[{"id":240,"uris":["http://zotero.org/users/7782726/items/WHPZB4ER"],"uri":["http://zotero.org/users/7782726/items/WHPZB4ER"],"itemData":{"id":240,"type":"article-journal","container-title":"Science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5B2DFA">
        <w:fldChar w:fldCharType="separate"/>
      </w:r>
      <w:r>
        <w:t>(Langenbruch &amp; Zoback, 2016)</w:t>
      </w:r>
      <w:r w:rsidR="005B2DFA">
        <w:fldChar w:fldCharType="end"/>
      </w:r>
      <w:r>
        <w:t xml:space="preserve">. In summary, despite recent contributions of robust, but parametrically uncertain, physically based and hybrid (statistics and physics-based) models </w:t>
      </w:r>
      <w:r w:rsidR="005B2DFA">
        <w:fldChar w:fldCharType="begin"/>
      </w:r>
      <w:r w:rsidR="005B2DFA">
        <w:instrText xml:space="preserve"> ADDIN ZOTERO_ITEM CSL_CITATION {"citationID":"hSVAdoBc","properties":{"formattedCitation":"(Langenbruch et al., 2018; Langenbruch &amp; Zoback, 2016; Norbeck &amp; Rubinstein, 2018; Pollyea et al., 2018)","plainCitation":"(Langenbruch et al., 2018; Langenbruch &amp; Zoback, 2016; Norbeck &amp; Rubinstein, 2018; Pollyea et al., 2018)","noteIndex":0},"citationItems":[{"id":241,"uris":["http://zotero.org/users/7782726/items/DMET4QWV"],"uri":["http://zotero.org/users/7782726/items/DMET4QWV"],"itemData":{"id":241,"type":"article-journal","container-title":"Nature communications","issue":"1","note":"ISBN: 2041-1723\npublisher: Nature Publishing Group","page":"1-10","title":"Physics-based forecasting of man-made earthquake hazards in Oklahoma and Kansas","volume":"9","author":[{"family":"Langenbruch","given":"Cornelius"},{"family":"Weingarten","given":"Matthew"},{"family":"Zoback","given":"Mark D."}],"issued":{"date-parts":[["2018"]]}}},{"id":240,"uris":["http://zotero.org/users/7782726/items/WHPZB4ER"],"uri":["http://zotero.org/users/7782726/items/WHPZB4ER"],"itemData":{"id":240,"type":"article-journal","container-title":"Science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L."}],"issued":{"date-parts":[["2018"]]}}},{"id":242,"uris":["http://zotero.org/users/7782726/items/8T5PD4G5"],"uri":["http://zotero.org/users/7782726/items/8T5PD4G5"],"itemData":{"id":242,"type":"article-journal","container-title":"Geology","issue":"3","note":"ISBN: 0091-7613\npublisher: GeoScienceWorld","page":"215-218","title":"Geospatial analysis of Oklahoma (USA) earthquakes (2011–2016): quantifying the limits of regional-scale earthquake mitigation measures","volume":"46","author":[{"family":"Pollyea","given":"Ryan M."},{"family":"Mohammadi","given":"Neda"},{"family":"Taylor","given":"John E."},{"family":"Chapman","given":"Martin C."}],"issued":{"date-parts":[["2018"]]}}}],"schema":"https://github.com/citation-style-language/schema/raw/master/csl-citation.json"} </w:instrText>
      </w:r>
      <w:r w:rsidR="005B2DFA">
        <w:fldChar w:fldCharType="separate"/>
      </w:r>
      <w:r>
        <w:t>(Langenbruch et al., 2018; Langenbruch &amp; Zoback, 2016; Norbeck &amp; Rubinstein, 2018; Pollyea et al., 2018)</w:t>
      </w:r>
      <w:r w:rsidR="005B2DFA">
        <w:fldChar w:fldCharType="end"/>
      </w:r>
      <w:r>
        <w:t xml:space="preserve">, more work is needed to assess the cumulative effects of underground injected water on triggering subsequent seismic activity and to identify bivariate regional migration patterns that allow for establishing clear relations between water injection and earthquake magnitude and number. </w:t>
      </w:r>
    </w:p>
    <w:p w14:paraId="54D432DA" w14:textId="77777777" w:rsidR="004852AA" w:rsidRDefault="004852AA" w:rsidP="006173A6"/>
    <w:p w14:paraId="3FF10EA9" w14:textId="77381ADD" w:rsidR="004E07B0" w:rsidRDefault="001B6A39" w:rsidP="0011504D">
      <w:pPr>
        <w:pStyle w:val="3"/>
      </w:pPr>
      <w:bookmarkStart w:id="16" w:name="_Toc75939816"/>
      <w:r>
        <w:t>1.1.4</w:t>
      </w:r>
      <w:r w:rsidR="0011504D" w:rsidRPr="0011504D">
        <w:t xml:space="preserve"> Significance of Soil Moisture within a Hydrological Cycle</w:t>
      </w:r>
      <w:bookmarkEnd w:id="16"/>
      <w:r>
        <w:t xml:space="preserve"> </w:t>
      </w:r>
    </w:p>
    <w:p w14:paraId="221A2421" w14:textId="012ECD69" w:rsidR="00A77312" w:rsidRDefault="00BA6348" w:rsidP="0027788B">
      <w:r w:rsidRPr="00BA6348">
        <w:t xml:space="preserve">Soil moisture is a critical component of the land surface hydrological model, as the unsaturated zone partitions precipitation into soil moisture or overland flow, depending on soil texture, saturation levels, vegetation and topography. Water that is captured in the unsaturated zone is then </w:t>
      </w:r>
      <w:r w:rsidRPr="00BA6348">
        <w:lastRenderedPageBreak/>
        <w:t xml:space="preserve">available for evapotranspiration processes, which are accountable for returning up to 60% of precipitation over land surfaces back into the atmosphere </w:t>
      </w:r>
      <w:r w:rsidR="00B304D4">
        <w:fldChar w:fldCharType="begin"/>
      </w:r>
      <w:r w:rsidR="00B304D4">
        <w:instrText xml:space="preserve"> ADDIN ZOTERO_ITEM CSL_CITATION {"citationID":"NXkA8sKr","properties":{"formattedCitation":"(Seneviratne et al., 2010)","plainCitation":"(Seneviratne et al., 2010)","noteIndex":0},"citationItems":[{"id":103,"uris":["http://zotero.org/users/7782726/items/XJ25NP9P"],"uri":["http://zotero.org/users/7782726/items/XJ25NP9P"],"itemData":{"id":103,"type":"article-journal","abstract":"Soil moisture is a key variable of the climate system. It constrains plant transpiration and photosynthesis in several regions of the world, with consequent impacts on the water, energy and biogeochemical cycles. Moreover it is a storage component for precipitation and radiation anomalies, inducing persistence in the climate system. Finally, it is involved in a number of feedbacks at the local, regional and global scales, and plays a major role in climate-change projections. In this review, we provide a synthesis of past research on the role of soil moisture for the climate system, based both on modelling and observational studies. We focus on soil moisture–temperature and soil moisture–precipitation feedbacks, and their possible modifications with climate change. We also highlight further impacts of soil moisture on climate, and the state of research regarding the validation of the relevant processes. There are promises for major advances in this research field in coming years thanks to the development of new validation datasets and multi-model initiatives. However, the availability of ground observations continues to be critical in limiting progress and should therefore strongly be fostered at the international level. Exchanges across disciplines will also be essential for bridging current knowledge gaps in this field. This is of key importance given the manifold impacts of soil moisture on climate, and their relevance for climate-change projections. A better understanding and quantification of the relevant processes would significantly help to reduce uncertainties in future-climate scenarios, in particular with regard to changes in climate variability and extreme events, as well as ecosystem and agricultural impacts.","container-title":"Earth-Science Reviews","DOI":"10.1016/j.earscirev.2010.02.004","ISSN":"0012-8252","issue":"3","journalAbbreviation":"Earth-Science Reviews","language":"en","page":"125-161","source":"ScienceDirect","title":"Investigating soil moisture–climate interactions in a changing climate: A review","title-short":"Investigating soil moisture–climate interactions in a changing climate","volume":"99","author":[{"family":"Seneviratne","given":"Sonia I."},{"family":"Corti","given":"Thierry"},{"family":"Davin","given":"Edouard L."},{"family":"Hirschi","given":"Martin"},{"family":"Jaeger","given":"Eric B."},{"family":"Lehner","given":"Irene"},{"family":"Orlowsky","given":"Boris"},{"family":"Teuling","given":"Adriaan J."}],"issued":{"date-parts":[["2010",5,1]]}}}],"schema":"https://github.com/citation-style-language/schema/raw/master/csl-citation.json"} </w:instrText>
      </w:r>
      <w:r w:rsidR="00B304D4">
        <w:fldChar w:fldCharType="separate"/>
      </w:r>
      <w:r w:rsidR="00B304D4" w:rsidRPr="00B304D4">
        <w:t>(Seneviratne et al., 2010)</w:t>
      </w:r>
      <w:r w:rsidR="00B304D4">
        <w:fldChar w:fldCharType="end"/>
      </w:r>
      <w:r w:rsidRPr="00BA6348">
        <w:t xml:space="preserve">. In addition, soil moisture regulates the partitioning of incoming solar energy over land surfaces, as evapotranspiration processes utilize more than half of the incoming solar energy </w:t>
      </w:r>
      <w:r w:rsidR="00B304D4">
        <w:fldChar w:fldCharType="begin"/>
      </w:r>
      <w:r w:rsidR="00B304D4">
        <w:instrText xml:space="preserve"> ADDIN ZOTERO_ITEM CSL_CITATION {"citationID":"X38I9NV4","properties":{"formattedCitation":"(Trenberth et al., 2009)","plainCitation":"(Trenberth et al., 2009)","noteIndex":0},"citationItems":[{"id":289,"uris":["http://zotero.org/users/7782726/items/SGCKJVUK"],"uri":["http://zotero.org/users/7782726/items/SGCKJVUK"],"itemData":{"id":289,"type":"article-journal","abstract":"&lt;section class=\"abstract\"&gt;&lt;p&gt;An update is provided on the Earth's global annual mean energy budget in the light of new observations and analyses. In 1997, Kiehl and Trenberth provided a review of past estimates and performed a number of radiative computations to better establish the role of clouds and various greenhouse gases in the overall radiative energy flows, with top-of-atmosphere (TOA) values constrained by Earth Radiation Budget Experiment values from 1985 to 1989, when the TOA values were approximately in balance. The Clouds and the Earth's Radiant Energy System (CERES) measurements from March 2000 to May 2004 are used at TOA but adjusted to an estimated imbalance from the enhanced greenhouse effect of 0.9 W m&lt;sup&gt;−2&lt;/sup&gt;. Revised estimates of surface turbulent fluxes are made based on various sources. The partitioning of solar radiation in the atmosphere is based in part on the International Satellite Cloud Climatology Project (ISCCP) FD computations that utilize the global ISCCP cloud data every 3 h, and also accounts for increased atmospheric absorption by water vapor and aerosols.&lt;/p&gt;&lt;p&gt;Surface upward longwave radiation is adjusted to account for spatial and temporal variability. A lack of closure in the energy balance at the surface is accommodated by making modest changes to surface fluxes, with the downward longwave radiation as the main residual to ensure a balance.&lt;/p&gt;&lt;p&gt;Values are also presented for the land and ocean domains that include a net transport of energy from ocean to land of 2.2 petawatts (PW) of which 3.2 PW is from moisture (latent energy) transport, while net dry static energy transport is from land to ocean. Evaluations of atmospheric reanalyses reveal substantial biases.&lt;/p&gt;&lt;/section&gt;","container-title":"Bulletin of the American Meteorological Society","DOI":"10.1175/2008BAMS2634.1","ISSN":"0003-0007, 1520-0477","issue":"3","language":"en","note":"publisher: American Meteorological Society\nsection: Bulletin of the American Meteorological Society","page":"311-324","source":"journals.ametsoc.org","title":"Earth's Global Energy Budget","volume":"90","author":[{"family":"Trenberth","given":"Kevin E."},{"family":"Fasullo","given":"John T."},{"family":"Kiehl","given":"Jeffrey"}],"issued":{"date-parts":[["2009",3,1]]}}}],"schema":"https://github.com/citation-style-language/schema/raw/master/csl-citation.json"} </w:instrText>
      </w:r>
      <w:r w:rsidR="00B304D4">
        <w:fldChar w:fldCharType="separate"/>
      </w:r>
      <w:r w:rsidR="00B304D4" w:rsidRPr="00B304D4">
        <w:t>(Trenberth et al., 2009)</w:t>
      </w:r>
      <w:r w:rsidR="00B304D4">
        <w:fldChar w:fldCharType="end"/>
      </w:r>
      <w:r w:rsidRPr="00BA6348">
        <w:t>. The evapotranspiration of soil moisture then drives the interaction between soil moisture and the atmosphere, resulting in the development of clouds, precipitation patterns and energy flux</w:t>
      </w:r>
      <w:r w:rsidR="00B304D4">
        <w:t xml:space="preserve"> </w:t>
      </w:r>
      <w:r w:rsidR="00B304D4">
        <w:fldChar w:fldCharType="begin"/>
      </w:r>
      <w:r w:rsidR="00B304D4">
        <w:instrText xml:space="preserve"> ADDIN ZOTERO_ITEM CSL_CITATION {"citationID":"bIQNOnYT","properties":{"formattedCitation":"(Findell &amp; Eltahir, 2003; Pielke, 2001)","plainCitation":"(Findell &amp; Eltahir, 2003; Pielke, 2001)","noteIndex":0},"citationItems":[{"id":286,"uris":["http://zotero.org/users/7782726/items/9KMMPJTF"],"uri":["http://zotero.org/users/7782726/items/9KMMPJTF"],"itemData":{"id":286,"type":"article-journal","abstract":"This paper expands the one-dimensionally based CTP-HIlow framework for describing atmospheric controls on soil moisture-boundary layer interactions [Findell and Eltahir, 2003] to three dimensions by including low-level wind effects in the analysis. The framework is based on two measures of atmospheric thermodynamic properties: the convective triggering potential (CTP), a measure of the temperature lapse rate between approximately 1 and 3 km above the ground surface, and a low-level humidity index, HIlow. These two measures are used to distinguish between three types of early morning soundings: those favoring rainfall over dry soils, those favoring rainfall over wet soils, and those whose convective potential is unaffected by the partitioning of fluxes at the surface. The focus of this paper is the additional information gained by incorporating information about low-level winds into the CTP-HIlow framework. Three-dimensional simulations using MM5 and an analysis of observations from the FIFE experiment within this framework highlight the importance of the winds in determining the sensitivity of convection to fluxes from the land surface. A very important impact of the 3D winds is the potential for low-level backing or unidirectional winds with great shear to suppress convective potential. Because of this suppression of convection in certain wind conditions, far fewer simulations produced rain than would be anticipated based solely on the 1D framework of understanding. However, when the winds allowed, convection occurred in a manner consistent with the 1D-based expectations. Generally speaking, in the regime where dry soils were expected to have an advantage, convection was triggered over dry soils more often than over wet; in the regime where wet soils were expected to have an advantage, convection was more frequently triggered over wet soils than over dry. Additionally, when rainfall occurred in both simulations with wet soils and simulations with dry soils for a given day, rainfall depths were typically greater in the simulations with wet soils. Similarly, the FIFE data showed numerous days with convective potential but no rainfall: each of these days had low-level backing or strongly shearing winds. Four days with high humidity deficits and veering winds in the lowest 300 mbar did have rain, highlighting the enhanced buoyancy effects of low-level veering winds.","container-title":"Journal of Geophysical Research: Atmospheres","DOI":"10.1029/2001JD001515","ISSN":"2156-2202","issue":"D8","language":"en","note":"_eprint: https://agupubs.onlinelibrary.wiley.com/doi/pdf/10.1029/2001JD001515","source":"Wiley Online Library","title":"Atmospheric controls on soil moisture-boundary layer interactions: Three-dimensional wind effects","title-short":"Atmospheric controls on soil moisture-boundary layer interactions","URL":"https://agupubs.onlinelibrary.wiley.com/doi/abs/10.1029/2001JD001515","volume":"108","author":[{"family":"Findell","given":"Kirsten L."},{"family":"Eltahir","given":"Elfatih A. B."}],"accessed":{"date-parts":[["2021",6,29]]},"issued":{"date-parts":[["2003"]]}}},{"id":283,"uris":["http://zotero.org/users/7782726/items/38627EK7"],"uri":["http://zotero.org/users/7782726/items/38627EK7"],"itemData":{"id":283,"type":"article-journal","abstract":"This paper uses published work to demonstrate the link between surface moisture and heat fluxes and cumulus convective rainfall. The Earth's surface role with respect to the surface energy and moisture budgets is examined. Changes in land-surface properties are shown to influence the heat and moisture fluxes within the planetary boundary layer, convective available potential energy, and other measures of the deep cumulus cloud activity. The spatial structure of the surface heating, as influenced by landscape patterning, produces focused regions for deep cumulonimbus convection. In the tropics, and during midlatitude summers, deep cumulus convection has apparently been significantly altered as a result of landscape changes. These alterations in cumulus convection teleconnect to higher latitudes, which significantly alters the weather in those regions. The effect of tropical deforestation is most clearly defined in the winter hemisphere. In the context of climate, landscape processes are shown to be as much a part of the climate system as are atmospheric processes.","container-title":"Reviews of Geophysics","DOI":"10.1029/1999RG000072","ISSN":"1944-9208","issue":"2","language":"en","note":"_eprint: https://agupubs.onlinelibrary.wiley.com/doi/pdf/10.1029/1999RG000072","page":"151-177","source":"Wiley Online Library","title":"Influence of the spatial distribution of vegetation and soils on the prediction of cumulus Convective rainfall","volume":"39","author":[{"family":"Pielke","given":"Roger A."}],"issued":{"date-parts":[["2001"]]}}}],"schema":"https://github.com/citation-style-language/schema/raw/master/csl-citation.json"} </w:instrText>
      </w:r>
      <w:r w:rsidR="00B304D4">
        <w:fldChar w:fldCharType="separate"/>
      </w:r>
      <w:r w:rsidR="00B304D4" w:rsidRPr="00B304D4">
        <w:t>(Findell &amp; Eltahir, 2003; Pielke, 2001)</w:t>
      </w:r>
      <w:r w:rsidR="00B304D4">
        <w:fldChar w:fldCharType="end"/>
      </w:r>
      <w:r w:rsidRPr="00BA6348">
        <w:t>.</w:t>
      </w:r>
      <w:r w:rsidR="0027788B">
        <w:t xml:space="preserve"> </w:t>
      </w:r>
      <w:r w:rsidR="00A77312">
        <w:t xml:space="preserve">At the field scale, accurate measurement of soil moisture could benefit precision agriculture, especially precise irrigation and fertilization </w:t>
      </w:r>
      <w:r w:rsidR="00A77312">
        <w:fldChar w:fldCharType="begin"/>
      </w:r>
      <w:r w:rsidR="00A77312">
        <w:instrText xml:space="preserve"> ADDIN ZOTERO_ITEM CSL_CITATION {"citationID":"5RmCsZNq","properties":{"formattedCitation":"(Mohd Kassim et al., 2014; Woodley, 2017)","plainCitation":"(Mohd Kassim et al., 2014; Woodley, 2017)","noteIndex":0},"citationItems":[{"id":109,"uris":["http://zotero.org/users/7782726/items/RV35UH3B"],"uri":["http://zotero.org/users/7782726/items/RV35UH3B"],"itemData":{"id":109,"type":"paper-conference","abstract":"The Wireless Sensors Network (WSN) is nowadays widely used to build decision support systems to overcome many problems in the real-world. One of the most interesting fields having an increasing need of decision support systems is precision agriculture (PA). This paper presents WSN as the best way to solve the agricultural problems related to farming resources optimization, decision making support, and land monitoring. This approach provides real-time information about the lands and crops that will help farmers make right decisions. Using the basic principles of Internet and WSN technology, precision agriculture systems based on the internet of things (IOT) technology is explained in detail especially on the hardware architecture, network architecture and software process control of the precision irrigation system. The software monitors data from the sensors in a feedback loop which activates the control devices based on threshold value. Implementation of WSN in PA will optimize the usage of water fertilizer and also maximized the yield of the crops.","container-title":"2014 International Conference on Computer, Information and Telecommunication Systems (CITS)","DOI":"10.1109/CITS.2014.6878963","event":"2014 International Conference on Computer, Information and Telecommunication Systems (CITS)","page":"1-5","source":"IEEE Xplore","title":"Wireless Sensor Network in precision agriculture application","author":[{"family":"Mohd Kassim","given":"Mohamed Rawidean"},{"family":"Mat","given":"Ibrahim"},{"family":"Harun","given":"Ahmad Nizar"}],"issued":{"date-parts":[["2014",7]]}}},{"id":178,"uris":["http://zotero.org/users/7782726/items/X5NBLZKK"],"uri":["http://zotero.org/users/7782726/items/X5NBLZKK"],"itemData":{"id":178,"type":"thesis","title":"Investigating the upscaling of in situ soil moisture measurements for satellite validation","author":[{"family":"Woodley","given":"William"}],"issued":{"date-parts":[["2017"]]}}}],"schema":"https://github.com/citation-style-language/schema/raw/master/csl-citation.json"} </w:instrText>
      </w:r>
      <w:r w:rsidR="00A77312">
        <w:fldChar w:fldCharType="separate"/>
      </w:r>
      <w:r w:rsidR="00A77312" w:rsidRPr="00AF793D">
        <w:t>(Mohd Kassim et al., 2014; Woodley, 2017)</w:t>
      </w:r>
      <w:r w:rsidR="00A77312">
        <w:fldChar w:fldCharType="end"/>
      </w:r>
      <w:r w:rsidR="00A77312">
        <w:t xml:space="preserve">. At larger spatial scales, accurate soil moisture measurements could enhance capabilities in runoff and flood forecasting </w:t>
      </w:r>
      <w:r w:rsidR="00A77312">
        <w:fldChar w:fldCharType="begin"/>
      </w:r>
      <w:r w:rsidR="00A77312">
        <w:instrText xml:space="preserve"> ADDIN ZOTERO_ITEM CSL_CITATION {"citationID":"CWVTkQ0n","properties":{"formattedCitation":"(Brocca et al., 2010; Crow et al., 2005)","plainCitation":"(Brocca et al., 2010; Crow et al., 2005)","noteIndex":0},"citationItems":[{"id":116,"uris":["http://zotero.org/users/7782726/items/NKP22TVE"],"uri":["http://zotero.org/users/7782726/items/NKP22TVE"],"itemData":{"id":116,"type":"article-journal","abstract":"&lt;p&gt;&lt;strong class=\"journal-contentHeaderColor\"&gt;Abstract.&lt;/strong&gt; The role and the importance of soil moisture for meteorological, agricultural and hydrological applications is widely known. Remote sensing offers the unique capability to monitor soil moisture over large areas (catchment scale) with, nowadays, a temporal resolution suitable for hydrological purposes. However, the accuracy of the remotely sensed soil moisture estimates has to be carefully checked. The validation of these estimates with in-situ measurements is not straightforward due the well-known problems related to the spatial mismatch and the measurement accuracy. The analysis of the effects deriving from assimilating remotely sensed soil moisture data into hydrological or meteorological models could represent a more valuable method to test their reliability. In particular, the assimilation of satellite-derived soil moisture estimates into rainfall-runoff models at different scales and over different regions represents an important scientific and operational issue. &lt;br&gt;&lt;br&gt; In this study, the soil wetness index (SWI) product derived from the Advanced SCATterometer (ASCAT) sensor onboard of the Metop satellite was tested. The SWI was firstly compared with the soil moisture temporal pattern derived from a continuous rainfall-runoff model (MISDc) to assess its relationship with modeled data. Then, by using a simple data assimilation technique, the linearly rescaled SWI that matches the range of variability of modelled data (denoted as SWI*) was assimilated into MISDc and the model performance on flood estimation was analyzed. Moreover, three synthetic experiments considering errors on rainfall, model parameters and initial soil wetness conditions were carried out. These experiments allowed to further investigate the SWI potential when uncertain conditions take place. The most significant flood events, which occurred in the period 2000–2009 on five subcatchments of the Upper Tiber River in central Italy, ranging in extension between 100 and 650 km&lt;sup&gt;2&lt;/sup&gt;, were used as case studies. Results reveal that the SWI derived from the ASCAT sensor can be conveniently adopted to improve runoff prediction in the study area, mainly if the initial soil wetness conditions are unknown.&lt;/p&gt;","container-title":"Hydrology and Earth System Sciences","DOI":"10.5194/hess-14-1881-2010","ISSN":"1027-5606","issue":"10","language":"English","note":"publisher: Copernicus GmbH","page":"1881-1893","source":"hess.copernicus.org","title":"Improving runoff prediction through the assimilation of the ASCAT soil moisture product","volume":"14","author":[{"family":"Brocca","given":"L."},{"family":"Melone","given":"F."},{"family":"Moramarco","given":"T."},{"family":"Wagner","given":"W."},{"family":"Naeimi","given":"V."},{"family":"Bartalis","given":"Z."},{"family":"Hasenauer","given":"S."}],"issued":{"date-parts":[["2010",10,12]]}}},{"id":113,"uris":["http://zotero.org/users/7782726/items/VSSHG3P5"],"uri":["http://zotero.org/users/7782726/items/VSSHG3P5"],"itemData":{"id":113,"type":"article-journal","abstract":"Using existing data sets of spaceborne soil moisture retrievals, streamflow and precipitation for 26 basins in the United States Southern Great Plains, a 5-year analysis is performed to quantify the value of soil moisture retrievals derived from the Tropical Rainfall Measuring Mission (TRMM) Microwave Imager (TMI) X-band (10.7 GHz) radiometer for forecasting storm event-scale runoff ratios. The predictive ability of spaceborne soil moisture retrievals is objectively compared to that obtainable using only available rainfall observations and the antecedent precipitation index (API). The assimilation of spaceborne observations into an API soil moisture proxy is demonstrated to add skill to the forecasting of land surface response to precipitation.","container-title":"Geophysical Research Letters","DOI":"https://doi.org/10.1029/2005GL023543","ISSN":"1944-8007","issue":"18","language":"en","note":"_eprint: https://agupubs.onlinelibrary.wiley.com/doi/pdf/10.1029/2005GL023543","source":"Wiley Online Library","title":"The added value of spaceborne passive microwave soil moisture retrievals for forecasting rainfall-runoff partitioning","URL":"https://agupubs.onlinelibrary.wiley.com/doi/abs/10.1029/2005GL023543","volume":"32","author":[{"family":"Crow","given":"W. T."},{"family":"Bindlish","given":"R."},{"family":"Jackson","given":"T. J."}],"accessed":{"date-parts":[["2021",5,27]]},"issued":{"date-parts":[["2005"]]}}}],"schema":"https://github.com/citation-style-language/schema/raw/master/csl-citation.json"} </w:instrText>
      </w:r>
      <w:r w:rsidR="00A77312">
        <w:fldChar w:fldCharType="separate"/>
      </w:r>
      <w:r w:rsidR="00A77312" w:rsidRPr="00A26B41">
        <w:t>(Brocca et al., 2010; Crow et al., 2005)</w:t>
      </w:r>
      <w:r w:rsidR="00A77312">
        <w:fldChar w:fldCharType="end"/>
      </w:r>
      <w:r w:rsidR="00A77312">
        <w:t xml:space="preserve">, drought monitoring and prediction </w:t>
      </w:r>
      <w:r w:rsidR="00A77312">
        <w:fldChar w:fldCharType="begin"/>
      </w:r>
      <w:r w:rsidR="00A77312">
        <w:instrText xml:space="preserve"> ADDIN ZOTERO_ITEM CSL_CITATION {"citationID":"8R0Cq4Ne","properties":{"formattedCitation":"(Gu et al., 2008; X. Zhang, Tang, et al., 2017)","plainCitation":"(Gu et al., 2008; X. Zhang, Tang, et al., 2017)","noteIndex":0},"citationItems":[{"id":119,"uris":["http://zotero.org/users/7782726/items/SNBSU3Y9"],"uri":["http://zotero.org/users/7782726/items/SNBSU3Y9"],"itemData":{"id":119,"type":"article-journal","abstract":"The evaluation of the relationship between satellite-derived vegetation indices (normalized difference vegetation index and normalized difference water index) and soil moisture improves our understanding of how these indices respond to soil moisture fluctuations. Soil moisture deficits are ultimately tied to drought stress on plants. The diverse terrain and climate of Oklahoma, the extensive soil moisture network of the Oklahoma Mesonet, and satellite-derived indices from the Moderate Resolution Imaging Spectroradiometer (MODIS) provided an opportunity to study correlations between soil moisture and vegetation indices over the 2002–2006 growing seasons. Results showed that the correlation between both indices and the fractional water index (FWI) was highly dependent on land cover heterogeneity and soil type. Sites surrounded by relatively homogeneous vegetation cover with silt loam soils had the highest correlation between the FWI and both vegetation-related indices (r</w:instrText>
      </w:r>
      <w:r w:rsidR="00A77312">
        <w:rPr>
          <w:rFonts w:ascii="Cambria Math" w:hAnsi="Cambria Math" w:cs="Cambria Math"/>
        </w:rPr>
        <w:instrText>∼</w:instrText>
      </w:r>
      <w:r w:rsidR="00A77312">
        <w:instrText>0.73), while sites with heterogeneous vegetation cover and loam soils had the lowest correlation (r</w:instrText>
      </w:r>
      <w:r w:rsidR="00A77312">
        <w:rPr>
          <w:rFonts w:ascii="Cambria Math" w:hAnsi="Cambria Math" w:cs="Cambria Math"/>
        </w:rPr>
        <w:instrText>∼</w:instrText>
      </w:r>
      <w:r w:rsidR="00A77312">
        <w:instrText xml:space="preserve">0.22).","container-title":"Geophysical Research Letters","DOI":"https://doi.org/10.1029/2008GL035772","ISSN":"1944-8007","issue":"22","language":"en","note":"_eprint: https://agupubs.onlinelibrary.wiley.com/doi/pdf/10.1029/2008GL035772","source":"Wiley Online Library","title":"Evaluation of MODIS NDVI and NDWI for vegetation drought monitoring using Oklahoma Mesonet soil moisture data","URL":"https://agupubs.onlinelibrary.wiley.com/doi/abs/10.1029/2008GL035772","volume":"35","author":[{"family":"Gu","given":"Yingxin"},{"family":"Hunt","given":"Eric"},{"family":"Wardlow","given":"Brian"},{"family":"Basara","given":"Jeffrey B."},{"family":"Brown","given":"Jesslyn F."},{"family":"Verdin","given":"James P."}],"accessed":{"date-parts":[["2021",5,27]]},"issued":{"date-parts":[["2008"]]}}},{"id":122,"uris":["http://zotero.org/users/7782726/items/MQIFFYDZ"],"uri":["http://zotero.org/users/7782726/items/MQIFFYDZ"],"itemData":{"id":122,"type":"article-journal","abstract":"&lt;section class=\"abstract\"&gt;&lt;h2 class=\"abstractTitle text-title my-1\" id=\"d149947833e83\"&gt;Abstract&lt;/h2&gt;&lt;p&gt;In this paper, an experimental soil moisture drought monitoring and seasonal forecasting framework based on the Variable Infiltration Capacity model (VIC) over southwestern China (SW) is presented. Satellite precipitation data are used to force VIC for a near-real-time estimate of land surface hydrologic conditions. Initialized with satellite-aided monitoring (MONIT), the climate model (CFSv2)-based forecast (MONIT+CFSv2) and ensemble streamflow prediction (ESP)-based forecast (MONIT+ESP) are both performed. One dry season drought and one wet season drought are employed to test the ability of this framework in terms of real-time tracking and predicting the evolution of soil moisture (SM) drought, respectively. The results show that the skillful CFSv2 climate forecasts (CFs) are only found at the first month. The satellite-aided monitoring is able to provide a reasonable estimate of forecast initial conditions (ICs) in real-time mode. In the presented cases, MONIT+CFSv2 forecast exhibits comparable performance against the observation-based estimates for the first month, whereas the predictive skill largely drops beyond 1 month. Compared to MONIT+ESP, MONIT+CFSv2 ensembles give more skillful SM drought forecast during the dry season, as indicated by a smaller ensemble range, while the added value of MONIT+CFSv2 is marginal during the wet season. A quantitative attribution analysis of SM forecast uncertainty demonstrates that SM forecast skill is mostly controlled by ICs at the first month and that uncertainties in CFs have the largest contribution to SM forecast errors at longer lead times. This study highlights a value of this framework in generating near-real-time ICs and providing a reliable SM drought prediction with 1 month ahead, which may greatly benefit drought diagnosis, assessment, and early warning.&lt;/p&gt;&lt;/section&gt;","container-title":"Journal of Hydrometeorology","DOI":"10.1175/JHM-D-16-0045.1","ISSN":"1525-7541, 1525-755X","issue":"1","language":"EN","note":"publisher: American Meteorological Society\nsection: Journal of Hydrometeorology","page":"5-23","source":"journals.ametsoc.org","title":"Soil Moisture Drought Monitoring and Forecasting Using Satellite and Climate Model Data over Southwestern China","volume":"18","author":[{"family":"Zhang","given":"Xuejun"},{"family":"Tang","given":"Qiuhong"},{"family":"Liu","given":"Xingcai"},{"family":"Leng","given":"Guoyong"},{"family":"Li","given":"Zhe"}],"issued":{"date-parts":[["2017",1,1]]}}}],"schema":"https://github.com/citation-style-language/schema/raw/master/csl-citation.json"} </w:instrText>
      </w:r>
      <w:r w:rsidR="00A77312">
        <w:fldChar w:fldCharType="separate"/>
      </w:r>
      <w:r w:rsidR="00A77312" w:rsidRPr="002945DD">
        <w:t>(Gu et al., 2008; X. Zhang, Tang, et al., 2017)</w:t>
      </w:r>
      <w:r w:rsidR="00A77312">
        <w:fldChar w:fldCharType="end"/>
      </w:r>
      <w:r w:rsidR="00A77312">
        <w:t xml:space="preserve">, numerical weather prediction </w:t>
      </w:r>
      <w:r w:rsidR="00A77312">
        <w:fldChar w:fldCharType="begin"/>
      </w:r>
      <w:r w:rsidR="00A77312">
        <w:instrText xml:space="preserve"> ADDIN ZOTERO_ITEM CSL_CITATION {"citationID":"O3PVQfX5","properties":{"formattedCitation":"(Capecchi &amp; Brocca, 2014; Scipal et al., 2008)","plainCitation":"(Capecchi &amp; Brocca, 2014; Scipal et al., 2008)","noteIndex":0},"citationItems":[{"id":129,"uris":["http://zotero.org/users/7782726/items/ZFH9ZXK6"],"uri":["http://zotero.org/users/7782726/items/ZFH9ZXK6"],"itemData":{"id":129,"type":"article-journal","abstract":"Recently several studies discussed the potential and operational use of satellite soil moisture measurements in new land surface analysis feeding global Numerical Weather Prediction (NWP) models. This work seeks to establish whether a limited-area NWP model might beneﬁt from the assimilation of remotely sensed soil moisture data. The question is important because it is well known that even small errors in the initial conditions could amplify in the future states and lead to erroneous predictions. On the other hand, remotely sensed soil moisture observations are attractive because they offer a synoptic point of view and their reliability with respect to in-situ measurements is demonstrated.","container-title":"Meteorologische Zeitschrift","DOI":"10.1127/0941-2948/2014/0585","ISSN":"0941-2948","issue":"2","journalAbbreviation":"metz","language":"en","page":"105-121","source":"DOI.org (Crossref)","title":"A simple assimilation method to ingest satellite soil moisture into a limited-area NWP model","volume":"23","author":[{"family":"Capecchi","given":"Valerio"},{"family":"Brocca","given":"Luca"}],"issued":{"date-parts":[["2014",9,1]]}}},{"id":125,"uris":["http://zotero.org/users/7782726/items/B8PZIS4H"],"uri":["http://zotero.org/users/7782726/items/B8PZIS4H"],"itemData":{"id":125,"type":"article-journal","abstract":"In the last few years, research made significant progress towards operational soil moisture remote sensing which lead to the availability of several global data sets. For an optimal use of these data, an accurate estimation of the error structure is an important condition. To solve for the validation problem we introduce the triple collocation error estimation technique. The triple collocation technique is a powerful tool to estimate the root mean square error while simultaneously solving for systematic differences in the climatologies of a set of three independent data sources. We evaluate the method by applying it to a passive microwave (TRMM radiometer) derived, an active microwave (ERS-2 scatterometer) derived and a modeled (ERA-Interim reanalysis) soil moisture data sets. The results suggest that the method provides realistic error estimates.","container-title":"Geophysical Research Letters","DOI":"https://doi.org/10.1029/2008GL035599","ISSN":"1944-8007","issue":"24","language":"en","note":"_eprint: https://agupubs.onlinelibrary.wiley.com/doi/pdf/10.1029/2008GL035599","source":"Wiley Online Library","title":"A possible solution for the problem of estimating the error structure of global soil moisture data sets","URL":"https://agupubs.onlinelibrary.wiley.com/doi/abs/10.1029/2008GL035599","volume":"35","author":[{"family":"Scipal","given":"K."},{"family":"Holmes","given":"T."},{"family":"Jeu","given":"R.","dropping-particle":"de"},{"family":"Naeimi","given":"V."},{"family":"Wagner","given":"W."}],"accessed":{"date-parts":[["2021",5,27]]},"issued":{"date-parts":[["2008"]]}}}],"schema":"https://github.com/citation-style-language/schema/raw/master/csl-citation.json"} </w:instrText>
      </w:r>
      <w:r w:rsidR="00A77312">
        <w:fldChar w:fldCharType="separate"/>
      </w:r>
      <w:r w:rsidR="00A77312" w:rsidRPr="00D25005">
        <w:t>(Capecchi &amp; Brocca, 2014; Scipal et al., 2008)</w:t>
      </w:r>
      <w:r w:rsidR="00A77312">
        <w:fldChar w:fldCharType="end"/>
      </w:r>
      <w:r w:rsidR="00A77312">
        <w:t xml:space="preserve">, rainfall estimation </w:t>
      </w:r>
      <w:r w:rsidR="00A77312">
        <w:fldChar w:fldCharType="begin"/>
      </w:r>
      <w:r w:rsidR="00A77312">
        <w:instrText xml:space="preserve"> ADDIN ZOTERO_ITEM CSL_CITATION {"citationID":"uFT4v95M","properties":{"formattedCitation":"(Brocca et al., 2012; Crow et al., 2011)","plainCitation":"(Brocca et al., 2012; Crow et al., 2011)","noteIndex":0},"citationItems":[{"id":136,"uris":["http://zotero.org/users/7782726/items/WEUJ22JY"],"uri":["http://zotero.org/users/7782726/items/WEUJ22JY"],"itemData":{"id":136,"type":"article-journal","abstract":"Predicting the spatial and temporal occurrence of rainfall triggered landslides represents an important scientific and operational issue due to the high threat that they pose to human life and property. This study investigates the relationship between rainfall, soil moisture conditions and landslide movement by using recorded movements of a rock slope located in central Italy, the Torgiovannetto landslide. This landslide is a very large rock slide, threatening county and state roads. Data acquired by a network of extensometers and a meteorological station clearly indicate that the movements of the unstable wedge, first detected in 2003, are still proceeding and the alternate phases of quiescence and reactivation are associated with rainfall patterns. By using a multiple linear regression approach, the opening of the tension cracks (as recorded by the extensometers) as a function of rainfall and soil moisture conditions prior the occurrence of rainfall, are predicted for the period 2007–2009. Specifically, soil moisture indicators are obtained through the Soil Water Index, SWI, a product derived by the Advanced SCATterometer (ASCAT) on board the MetOp (Meteorological Operational) satellite and by an Antecedent Precipitation Index, API. Results indicate that the regression performance (in terms of correlation coefficient, r) significantly enhances if an indicator of the soil moisture conditions is included. Specifically, r is equal to 0.40 when only rainfall is used as a predictor variable and increases to r = 0.68 and r = 0.85 if the API and the SWI are used respectively. Therefore, the coarse spatial resolution (25 km) of satellite data notwithstanding, the ASCAT SWI is found to be very useful for the prediction of landslide movements on a local scale. These findings, although valid for a specific area, present new opportunities for the effective use of satellite-derived soil moisture estimates to improve landslide forecasting.","container-title":"Remote Sensing","DOI":"10.3390/rs4051232","issue":"5","language":"en","note":"number: 5\npublisher: Molecular Diversity Preservation International","page":"1232-1244","source":"www.mdpi.com","title":"Improving Landslide Forecasting Using ASCAT-Derived Soil Moisture Data: A Case Study of the Torgiovannetto Landslide in Central Italy","title-short":"Improving Landslide Forecasting Using ASCAT-Derived Soil Moisture Data","volume":"4","author":[{"family":"Brocca","given":"Luca"},{"family":"Ponziani","given":"Francesco"},{"family":"Moramarco","given":"Tommaso"},{"family":"Melone","given":"Florisa"},{"family":"Berni","given":"Nicola"},{"family":"Wagner","given":"Wolfgang"}],"issued":{"date-parts":[["2012",5]]}}},{"id":133,"uris":["http://zotero.org/users/7782726/items/NZKPKP6F"],"uri":["http://zotero.org/users/7782726/items/NZKPKP6F"],"itemData":{"id":133,"type":"article-journal","abstract":"Recently, Crow et al. (2009) developed an algorithm for enhancing satellite-based land rainfall products via the assimilation of remotely sensed surface soil moisture retrievals into a water balance model. As a follow-up, this paper describes the benefits of modifying their approach to incorporate more complex data assimilation and land surface modeling methodologies. Specific modifications improving rainfall estimates are assembled into the Soil Moisture Analysis Rainfall Tool (SMART), and the resulting algorithm is applied outside the contiguous United States for the first time, with an emphasis on West African sites instrumented as part of the African Monsoon Multidisciplinary Analysis experiment. Results demonstrate that the SMART algorithm is superior to the Crow et al. baseline approach and is capable of broadly improving coarse-scale rainfall accumulations measurements with low risk of degradation. Comparisons with existing multisensor, satellite-based precipitation data products suggest that the introduction of soil moisture information from the Advanced Microwave Scanning Radiometer via SMART provides as much coarse-scale (3 day, 1°) rainfall accumulation information as thermal infrared satellite observations and more information than monthly rain gauge observations in poorly instrumented regions.","container-title":"Water Resources Research","DOI":"https://doi.org/10.1029/2011WR010576","ISSN":"1944-7973","issue":"8","language":"en","note":"_eprint: https://agupubs.onlinelibrary.wiley.com/doi/pdf/10.1029/2011WR010576","source":"Wiley Online Library","title":"Correcting rainfall using satellite-based surface soil moisture retrievals: The Soil Moisture Analysis Rainfall Tool (SMART)","title-short":"Correcting rainfall using satellite-based surface soil moisture retrievals","URL":"https://agupubs.onlinelibrary.wiley.com/doi/abs/10.1029/2011WR010576","volume":"47","author":[{"family":"Crow","given":"W. T."},{"family":"Berg","given":"M. J.","dropping-particle":"van den"},{"family":"Huffman","given":"G. J."},{"family":"Pellarin","given":"T."}],"accessed":{"date-parts":[["2021",5,27]]},"issued":{"date-parts":[["2011"]]}}}],"schema":"https://github.com/citation-style-language/schema/raw/master/csl-citation.json"} </w:instrText>
      </w:r>
      <w:r w:rsidR="00A77312">
        <w:fldChar w:fldCharType="separate"/>
      </w:r>
      <w:r w:rsidR="00A77312" w:rsidRPr="00FF425C">
        <w:t>(Brocca et al., 2012; Crow et al., 2011)</w:t>
      </w:r>
      <w:r w:rsidR="00A77312">
        <w:fldChar w:fldCharType="end"/>
      </w:r>
      <w:r w:rsidR="00A77312">
        <w:t xml:space="preserve"> and landslide prediction </w:t>
      </w:r>
      <w:r w:rsidR="00A77312">
        <w:fldChar w:fldCharType="begin"/>
      </w:r>
      <w:r w:rsidR="00A77312">
        <w:instrText xml:space="preserve"> ADDIN ZOTERO_ITEM CSL_CITATION {"citationID":"8kBYfAxO","properties":{"formattedCitation":"(Crow et al., 2012; Ray et al., 2010)","plainCitation":"(Crow et al., 2012; Ray et al., 2010)","noteIndex":0},"citationItems":[{"id":56,"uris":["http://zotero.org/users/7782726/items/IRNEVBSW"],"uri":["http://zotero.org/users/7782726/items/IRNEVBSW"],"itemData":{"id":56,"type":"article-journal","abstract":"The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P."}],"accessed":{"date-parts":[["2021",5,25]]},"issued":{"date-parts":[["2012"]]}}},{"id":139,"uris":["http://zotero.org/users/7782726/items/JZTVTKGP"],"uri":["http://zotero.org/users/7782726/items/JZTVTKGP"],"itemData":{"id":139,"type":"article-journal","abstract":"As soil moisture increases, slope stability decreases. Remotely sensed soil moisture data can provide routine updates of slope conditions necessary for landslide predictions. For regional scale landslide investigations, only remote-sensing methods have the spatial and temporal resolution required to map hazard increases. Here, a dynamic physically-based slope stability model that requires soil moisture is applied using remote-sensing products from multiple Earth observing platforms. The resulting landslide susceptibility maps using the advanced microwave scanning radiometer (AMSR-E) surface soil moisture are compared to those created using variable infiltration capacity (VIC-3L) modeled soil moisture at Cleveland Corral landslide area in California, US. Despite snow cover influences on AMSR-E surface soil moisture estimates, a good relationship between the downscaled AMSR-E's surface soil moisture and the VIC-3L modeled soil moisture is evident. The AMSR-E soil moisture mean (0.17cm3/cm3) and standard deviation (0.02cm3/cm3) are very close to the mean (0.21cm3/cm3) and standard deviation (0.09cm3/cm3) estimated by VIC-3L model. Qualitative results show that the location and extent of landslide prone regions are quite similar. Under the maximum saturation scenario, 0.42% and 0.49% of the study area were highly susceptible using AMSR-E and VIC-3L model soil moisture, respectively.","container-title":"Remote Sensing of Environment","DOI":"10.1016/j.rse.2010.05.033","ISSN":"0034-4257","issue":"11","journalAbbreviation":"Remote Sensing of Environment","language":"en","page":"2624-2636","source":"ScienceDirect","title":"Landslide susceptibility mapping using downscaled AMSR-E soil moisture: A case study from Cleveland Corral, California, US","title-short":"Landslide susceptibility mapping using downscaled AMSR-E soil moisture","volume":"114","author":[{"family":"Ray","given":"Ram L."},{"family":"Jacobs","given":"Jennifer M."},{"family":"Cosh","given":"Michael H."}],"issued":{"date-parts":[["2010",11,15]]}}}],"schema":"https://github.com/citation-style-language/schema/raw/master/csl-citation.json"} </w:instrText>
      </w:r>
      <w:r w:rsidR="00A77312">
        <w:fldChar w:fldCharType="separate"/>
      </w:r>
      <w:r w:rsidR="00A77312" w:rsidRPr="009F0765">
        <w:t>(Crow et al., 2012; Ray et al., 2010)</w:t>
      </w:r>
      <w:r w:rsidR="00A77312">
        <w:fldChar w:fldCharType="end"/>
      </w:r>
      <w:r w:rsidR="00A77312">
        <w:t>.</w:t>
      </w:r>
    </w:p>
    <w:p w14:paraId="7B8AD85C" w14:textId="77777777" w:rsidR="004852AA" w:rsidRDefault="004852AA" w:rsidP="0027788B"/>
    <w:p w14:paraId="0F1B8111" w14:textId="49CEE3F3" w:rsidR="0027788B" w:rsidRDefault="0027788B" w:rsidP="0027788B">
      <w:pPr>
        <w:pStyle w:val="3"/>
      </w:pPr>
      <w:bookmarkStart w:id="17" w:name="_Toc75939817"/>
      <w:r>
        <w:t xml:space="preserve">1.1.5 </w:t>
      </w:r>
      <w:r w:rsidRPr="0027788B">
        <w:t>In Situ Soil Moisture Measurements</w:t>
      </w:r>
      <w:bookmarkEnd w:id="17"/>
    </w:p>
    <w:p w14:paraId="6B493C7E" w14:textId="5C4A850A" w:rsidR="009078A5" w:rsidRDefault="5E4FB5CC" w:rsidP="00A77312">
      <w:pPr>
        <w:rPr>
          <w:lang w:bidi="ar-SA"/>
        </w:rPr>
      </w:pPr>
      <w:r>
        <w:t xml:space="preserve">Currently, soil moisture estimates can be obtained through three primary approaches: (1) in situ measurements, (2) remote sensing observations, and (3) Land Surface Models (LSM). A number of techniques have been developed to measure soil moisture with ground instruments, which can be categorized into classical and modern techniques </w:t>
      </w:r>
      <w:r w:rsidR="00A77312" w:rsidRPr="5E4FB5CC">
        <w:rPr>
          <w:lang w:eastAsia="zh-CN" w:bidi="ar-SA"/>
        </w:rPr>
        <w:fldChar w:fldCharType="begin"/>
      </w:r>
      <w:r w:rsidR="00A77312" w:rsidRPr="5E4FB5CC">
        <w:rPr>
          <w:lang w:eastAsia="zh-CN" w:bidi="ar-SA"/>
        </w:rPr>
        <w:instrText xml:space="preserve"> ADDIN ZOTERO_ITEM CSL_CITATION {"citationID":"EgtryVkF","properties":{"formattedCitation":"(S.u. et al., 2014)","plainCitation":"(S.u. et al., 2014)","noteIndex":0},"citationItems":[{"id":46,"uris":["http://zotero.org/users/7782726/items/KYETB2JG"],"uri":["http://zotero.org/users/7782726/items/KYETB2JG"],"itemData":{"id":46,"type":"article-journal","abstract":"Soil moisture content has paramount importance in dictating engineering, agronomic, geological, ecological, biological and hydrological characteristics of the soil mass. Though earlier researchers have employed various techniques of moisture content determination of soils, both in laboratory and in situ conditions, ascertaining the applicability of these techniques to soils of entirely different characteristics and the ‘types of moisture content’, which they can measure, is still a point of debate. As such, a critical review of all the established and emerging soil moisture measurement techniques with respect to their merits and demerits becomes necessary. With this in view, efforts have been made in this paper to critically evaluate all the soil moisture measurement techniques, limitations associated with them and the influence of various soil-specific parameters (viz., mineralogy, salinity, porosity, ambient temperature, presence of the organic matter and matrix structure of the soil) on the measured soil moisture content. This paper also highlights the importance of various innovations based on Micro Electro Mechanical Systems (MEMS) and nano-sensors that are emerging in this context.","container-title":"Measurement","DOI":"10.1016/j.measurement.2014.04.007","ISSN":"0263-2241","journalAbbreviation":"Measurement","language":"en","page":"92-105","source":"ScienceDirect","title":"A critical review of soil moisture measurement","volume":"54","author":[{"family":"S.u.","given":"Susha Lekshmi"},{"family":"Singh","given":"D. N."},{"family":"Shojaei Baghini","given":"Maryam"}],"issued":{"date-parts":[["2014",8,1]]}}}],"schema":"https://github.com/citation-style-language/schema/raw/master/csl-citation.json"} </w:instrText>
      </w:r>
      <w:r w:rsidR="00A77312" w:rsidRPr="5E4FB5CC">
        <w:rPr>
          <w:lang w:eastAsia="zh-CN" w:bidi="ar-SA"/>
        </w:rPr>
        <w:fldChar w:fldCharType="separate"/>
      </w:r>
      <w:r>
        <w:t>(S.u. et al., 2014)</w:t>
      </w:r>
      <w:r w:rsidR="00A77312" w:rsidRPr="5E4FB5CC">
        <w:rPr>
          <w:lang w:eastAsia="zh-CN" w:bidi="ar-SA"/>
        </w:rPr>
        <w:fldChar w:fldCharType="end"/>
      </w:r>
      <w:r w:rsidRPr="5E4FB5CC">
        <w:rPr>
          <w:lang w:eastAsia="zh-CN" w:bidi="ar-SA"/>
        </w:rPr>
        <w:t xml:space="preserve">. For example, thermo-gravimetric (oven-drying) is a widely used classical soil moisture measurement technique </w:t>
      </w:r>
      <w:r w:rsidR="00A77312" w:rsidRPr="5E4FB5CC">
        <w:rPr>
          <w:lang w:eastAsia="zh-CN" w:bidi="ar-SA"/>
        </w:rPr>
        <w:fldChar w:fldCharType="begin"/>
      </w:r>
      <w:r w:rsidR="00A77312" w:rsidRPr="5E4FB5CC">
        <w:rPr>
          <w:lang w:eastAsia="zh-CN" w:bidi="ar-SA"/>
        </w:rPr>
        <w:instrText xml:space="preserve"> ADDIN ZOTERO_ITEM CSL_CITATION {"citationID":"bKF3deCm","properties":{"formattedCitation":"(Robock et al., 2000)","plainCitation":"(Robock et al., 2000)","noteIndex":0},"citationItems":[{"id":59,"uris":["http://zotero.org/users/7782726/items/3CZGNDJK"],"uri":["http://zotero.org/users/7782726/items/3CZGNDJK"],"itemData":{"id":59,"type":"article-journal","abstract":"&lt;section class=\"abstract\"&gt;&lt;p&gt;Soil moisture is an important variable in the climate system. Understanding and predicting variations of surface temperature, drought, and flood depend critically on knowledge of soil moisture variations, as do impacts of climate change and weather forecasting. An observational dataset of actual in situ measurements is crucial for climatological analysis, for model development and evaluation, and as ground truth for remote sensing. To that end, the Global Soil Moisture Data Bank, a Web site (&lt;a href=\"http://climate.envsci.rutgers.edu/soil_moisture\" target=\"_blank\"&gt;http://climate.envsci.rutgers.edu/soil_moisture&lt;/a&gt;) dedicated to collection, dissemination, and analysis of soil moisture data from around the globe, is described. The data bank currently has soil moisture observations for over 600 stations from a large variety of global climates, including the former Soviet Union, China, Mongolia, India, and the United States. Most of the data are in situ gravimetric observations of soil moisture; all extend for at least 6 years and most for more than 15 years. Most of the stations have grass vegetation, and some are agricultural. The observations have been used to examine the temporal and spatial scales of soil moisture variations, to evaluate Atmospheric Model Intercomparison Project, Project for Intercomparison of Land-Surface Parameterization Schemes, and Global Soil Wetness Project simulations of soil moisture, for remote sensing of soil moisture, for designing new soil moisture observational networks, and to examine soil moisture trends. For the top 1-m soil layers, the temporal scale of soil moisture variation at all midlatitude sites is 1.5 to 2 months and the spatial scale is about 500 km. Land surface models, in general, do not capture the observed soil moisture variations when forced with either model-generated or observed meteorology. In contrast to predictions of summer desiccation with increasing temperatures, for the stations with the longest records summer soil moisture in the top 1 m has increased while temperatures have risen. The increasing trend in precipitation more than compensated for the enhanced evaporation.&lt;/p&gt;&lt;/section&gt;","container-title":"Bulletin of the American Meteorological Society","DOI":"10.1175/1520-0477(2000)081&lt;1281:TGSMDB&gt;2.3.CO;2","ISSN":"0003-0007, 1520-0477","issue":"6","language":"en","note":"publisher: American Meteorological Society\nsection: Bulletin of the American Meteorological Society","page":"1281-1300","source":"journals.ametsoc.org","title":"The Global Soil Moisture Data Bank","volume":"81","author":[{"family":"Robock","given":"Alan"},{"family":"Vinnikov","given":"Konstantin Y."},{"family":"Srinivasan","given":"Govindarajalu"},{"family":"Entin","given":"Jared K."},{"family":"Hollinger","given":"Steven E."},{"family":"Speranskaya","given":"Nina A."},{"family":"Liu","given":"Suxia"},{"family":"Namkhai","given":"A."}],"issued":{"date-parts":[["2000",6,1]]}}}],"schema":"https://github.com/citation-style-language/schema/raw/master/csl-citation.json"} </w:instrText>
      </w:r>
      <w:r w:rsidR="00A77312" w:rsidRPr="5E4FB5CC">
        <w:rPr>
          <w:lang w:eastAsia="zh-CN" w:bidi="ar-SA"/>
        </w:rPr>
        <w:fldChar w:fldCharType="separate"/>
      </w:r>
      <w:r>
        <w:t>(Robock et al., 2000)</w:t>
      </w:r>
      <w:r w:rsidR="00A77312" w:rsidRPr="5E4FB5CC">
        <w:rPr>
          <w:lang w:eastAsia="zh-CN" w:bidi="ar-SA"/>
        </w:rPr>
        <w:fldChar w:fldCharType="end"/>
      </w:r>
      <w:r w:rsidRPr="5E4FB5CC">
        <w:rPr>
          <w:lang w:eastAsia="zh-CN" w:bidi="ar-SA"/>
        </w:rPr>
        <w:t xml:space="preserve">. The modern techniques include  neutron scattering technique </w:t>
      </w:r>
      <w:r w:rsidR="00A77312" w:rsidRPr="5E4FB5CC">
        <w:rPr>
          <w:lang w:eastAsia="zh-CN" w:bidi="ar-SA"/>
        </w:rPr>
        <w:fldChar w:fldCharType="begin"/>
      </w:r>
      <w:r w:rsidR="00A77312" w:rsidRPr="5E4FB5CC">
        <w:rPr>
          <w:lang w:eastAsia="zh-CN" w:bidi="ar-SA"/>
        </w:rPr>
        <w:instrText xml:space="preserve"> ADDIN ZOTERO_ITEM CSL_CITATION {"citationID":"sWkMebdT","properties":{"formattedCitation":"(Hollinger &amp; Isard, 1994)","plainCitation":"(Hollinger &amp; Isard, 1994)","noteIndex":0},"citationItems":[{"id":300,"uris":["http://zotero.org/users/7782726/items/2ZL9NA2J"],"uri":["http://zotero.org/users/7782726/items/2ZL9NA2J"],"itemData":{"id":300,"type":"article-journal","abstract":"&lt;section class=\"abstract\"&gt;&lt;h2 class=\"abstractTitle text-title my-1\" id=\"d91621901e56\"&gt;Abstract&lt;/h2&gt;&lt;p&gt;Ten years of soil moisture measurements (biweekly from March through September and monthly during winter) within the top 1 m of soil at 17 grass-covered sites across Illinois are analyzed to provide a climatology of soil moisture for this important Midwest agricultural region. Sod moisture measurements were obtained with neutron probes that were calibrated for each site. Measurement errors are dependent upon the volumetric water content with errors less than 20 percent when soil moisture is above 10 percent of soil volume. Single point errors in moisture measurements from the top 1 m of soil range from 6 percent to 13 percent when volumetric soil moisture is 30 percent of soil volume. The average depletion in moisture between winter and summer over the 10-year period for the top 2 m of soil in Illinois was 72.3 mm. Three-quarters of this decrease occurred above 0.5 m and only 5 percent occurred between the 1.0-m and 2.0-m depths. The average moisture decrease between winter and summer during a wet year (1985) and a drought year (1988) in the top 2 m of soil was 64 percent and 204 percent of the average for the 10-year period, respectively. Seasonal means in soil moisture averaged for the state show the effects of different seasons and soil types on soil moisture. In the winter and spring a latitudinal gradient exists with the wetter soils in the southern part of the state. During summer and autumn there is a longitudinal gradient with the wetter soils in the eastern half of the state. The longitudinal gradient is closely associated with the depth of loess deposits. A north to south latitudinal gradient of soil moisture variability for the summer season is also evident in the 10 yr of records. A comparison of time series of soil moisture from sites with differing soil texture shows that a silty loam soil holds 2 to 3 times more water in the top 1 m than a loamy sand soil. Time series of soil moisture indicate that seasonal variations in water in the top 1 m at a grass-covered site was 1 to 2 times greater than at an adjacent nonvegetated site.&lt;/p&gt;&lt;/section&gt;","container-title":"Journal of Climate","DOI":"10.1175/1520-0442(1994)007&lt;0822:ASMCOI&gt;2.0.CO;2","ISSN":"0894-8755, 1520-0442","issue":"5","language":"EN","note":"publisher: American Meteorological Society\nsection: Journal of Climate","page":"822-833","source":"journals.ametsoc.org","title":"A Soil Moisture Climatology of Illinois","volume":"7","author":[{"family":"Hollinger","given":"Steven E."},{"family":"Isard","given":"Scott A."}],"issued":{"date-parts":[["1994",5,1]]}}}],"schema":"https://github.com/citation-style-language/schema/raw/master/csl-citation.json"} </w:instrText>
      </w:r>
      <w:r w:rsidR="00A77312" w:rsidRPr="5E4FB5CC">
        <w:rPr>
          <w:lang w:eastAsia="zh-CN" w:bidi="ar-SA"/>
        </w:rPr>
        <w:fldChar w:fldCharType="separate"/>
      </w:r>
      <w:r>
        <w:t>(Hollinger &amp; Isard, 1994)</w:t>
      </w:r>
      <w:r w:rsidR="00A77312" w:rsidRPr="5E4FB5CC">
        <w:rPr>
          <w:lang w:eastAsia="zh-CN" w:bidi="ar-SA"/>
        </w:rPr>
        <w:fldChar w:fldCharType="end"/>
      </w:r>
      <w:r w:rsidRPr="5E4FB5CC">
        <w:rPr>
          <w:lang w:eastAsia="zh-CN" w:bidi="ar-SA"/>
        </w:rPr>
        <w:t xml:space="preserve">, dielectric techniques </w:t>
      </w:r>
      <w:r w:rsidR="00A77312" w:rsidRPr="5E4FB5CC">
        <w:rPr>
          <w:lang w:eastAsia="zh-CN" w:bidi="ar-SA"/>
        </w:rPr>
        <w:fldChar w:fldCharType="begin"/>
      </w:r>
      <w:r w:rsidR="00A77312" w:rsidRPr="5E4FB5CC">
        <w:rPr>
          <w:lang w:eastAsia="zh-CN" w:bidi="ar-SA"/>
        </w:rPr>
        <w:instrText xml:space="preserve"> ADDIN ZOTERO_ITEM CSL_CITATION {"citationID":"ReoiAB8v","properties":{"formattedCitation":"(Selig &amp; Mansukhani, 1975)","plainCitation":"(Selig &amp; Mansukhani, 1975)","noteIndex":0},"citationItems":[{"id":310,"uris":["http://zotero.org/users/7782726/items/VIETW6JG"],"uri":["http://zotero.org/users/7782726/items/VIETW6JG"],"itemData":{"id":310,"type":"article-journal","abstract":"The dielectric property of a material like soil is significantly influenced by the amount of moisture present.The relationships between moisture content and dielectric constant determined for a wide variety of materials in the past are summarized in this paper. A strong correlation is demonstrated between these two parameters when moisture content is expressed in terms of weight of water per unit volume of material. The trends are basically the same for all materials. Sensors developed for moisture monitoring in soils using the dielectric property are briefly described. The related electronic concepts and definitions are also examined.","container-title":"Journal of the Geotechnical Engineering Division","DOI":"10.1061/AJGEB6.0000184","issue":"8","language":"EN","note":"publisher: American Society of Civil Engineers","page":"755-770","source":"ASCE","title":"Relationship of Soil Moisture to the Dielectric Property","volume":"101","author":[{"family":"Selig","given":"Ernest T."},{"family":"Mansukhani","given":"Sundru"}],"issued":{"date-parts":[["1975",8,1]]}}}],"schema":"https://github.com/citation-style-language/schema/raw/master/csl-citation.json"} </w:instrText>
      </w:r>
      <w:r w:rsidR="00A77312" w:rsidRPr="5E4FB5CC">
        <w:rPr>
          <w:lang w:eastAsia="zh-CN" w:bidi="ar-SA"/>
        </w:rPr>
        <w:fldChar w:fldCharType="separate"/>
      </w:r>
      <w:r>
        <w:t>(Selig &amp; Mansukhani, 1975)</w:t>
      </w:r>
      <w:r w:rsidR="00A77312" w:rsidRPr="5E4FB5CC">
        <w:rPr>
          <w:lang w:eastAsia="zh-CN" w:bidi="ar-SA"/>
        </w:rPr>
        <w:fldChar w:fldCharType="end"/>
      </w:r>
      <w:r w:rsidRPr="5E4FB5CC">
        <w:rPr>
          <w:lang w:eastAsia="zh-CN" w:bidi="ar-SA"/>
        </w:rPr>
        <w:t xml:space="preserve">, soil resistivity sensor technique </w:t>
      </w:r>
      <w:r w:rsidR="00A77312" w:rsidRPr="5E4FB5CC">
        <w:rPr>
          <w:lang w:eastAsia="zh-CN" w:bidi="ar-SA"/>
        </w:rPr>
        <w:fldChar w:fldCharType="begin"/>
      </w:r>
      <w:r w:rsidR="00A77312" w:rsidRPr="5E4FB5CC">
        <w:rPr>
          <w:lang w:eastAsia="zh-CN" w:bidi="ar-SA"/>
        </w:rPr>
        <w:instrText xml:space="preserve"> ADDIN ZOTERO_ITEM CSL_CITATION {"citationID":"CXoxOe04","properties":{"formattedCitation":"(Samou\\uc0\\u235{}lian et al., 2005)","plainCitation":"(Samouëlian et al., 2005)","noteIndex":0},"citationItems":[{"id":303,"uris":["http://zotero.org/users/7782726/items/PK49EXTW"],"uri":["http://zotero.org/users/7782726/items/PK49EXTW"],"itemData":{"id":303,"type":"article-journal","abstract":"Electrical resistivity of the soil can be considered as a proxy for the spatial and temporal variability of many other soil physical properties (i.e. structure, water content, or fluid composition). Because the method is non-destructive and very sensitive, it offers a very attractive tool for describing the subsurface properties without digging. It has been already applied in various contexts like: groundwater exploration, landfill and solute transfer delineation, agronomical management by identifying areas of excessive compaction or soil horizon thickness and bedrock depth, and at least assessing the soil hydrological properties. The surveys, depending on the areas heterogeneities can be performed in one-, two- or three-dimensions and also at different scales resolution from the centimetric scale to the regional scale. In this review, based on many electrical resistivity surveys, we expose the theory and the basic principles of the method, we overview the variation of electrical resistivity as a function of soil properties, we listed the main electrical device to performed one-, two- or three-dimensional surveys, and explain the basic principles of the data interpretation. At least, we discuss the main advantages and limits of the method.","container-title":"Soil and Tillage Research","DOI":"10.1016/j.still.2004.10.004","ISSN":"0167-1987","issue":"2","journalAbbreviation":"Soil and Tillage Research","language":"en","page":"173-193","source":"ScienceDirect","title":"Electrical resistivity survey in soil science: a review","title-short":"Electrical resistivity survey in soil science","volume":"83","author":[{"family":"Samouëlian","given":"A."},{"family":"Cousin","given":"I."},{"family":"Tabbagh","given":"A."},{"family":"Bruand","given":"A."},{"family":"Richard","given":"G."}],"issued":{"date-parts":[["2005",9,1]]}}}],"schema":"https://github.com/citation-style-language/schema/raw/master/csl-citation.json"} </w:instrText>
      </w:r>
      <w:r w:rsidR="00A77312" w:rsidRPr="5E4FB5CC">
        <w:rPr>
          <w:lang w:eastAsia="zh-CN" w:bidi="ar-SA"/>
        </w:rPr>
        <w:fldChar w:fldCharType="separate"/>
      </w:r>
      <w:r>
        <w:t>(Samouëlian et al., 2005)</w:t>
      </w:r>
      <w:r w:rsidR="00A77312" w:rsidRPr="5E4FB5CC">
        <w:rPr>
          <w:lang w:eastAsia="zh-CN" w:bidi="ar-SA"/>
        </w:rPr>
        <w:fldChar w:fldCharType="end"/>
      </w:r>
      <w:r w:rsidRPr="5E4FB5CC">
        <w:rPr>
          <w:lang w:eastAsia="zh-CN" w:bidi="ar-SA"/>
        </w:rPr>
        <w:t xml:space="preserve">, heat flux sensor technique </w:t>
      </w:r>
      <w:r w:rsidR="00A77312" w:rsidRPr="5E4FB5CC">
        <w:rPr>
          <w:lang w:eastAsia="zh-CN" w:bidi="ar-SA"/>
        </w:rPr>
        <w:fldChar w:fldCharType="begin"/>
      </w:r>
      <w:r w:rsidR="00A77312" w:rsidRPr="5E4FB5CC">
        <w:rPr>
          <w:lang w:eastAsia="zh-CN" w:bidi="ar-SA"/>
        </w:rPr>
        <w:instrText xml:space="preserve"> ADDIN ZOTERO_ITEM CSL_CITATION {"citationID":"Jcbn06Lr","properties":{"formattedCitation":"(Valente et al., 2006)","plainCitation":"(Valente et al., 2006)","noteIndex":0},"citationItems":[{"id":306,"uris":["http://zotero.org/users/7782726/items/LEUNLNF3"],"uri":["http://zotero.org/users/7782726/items/LEUNLNF3"],"itemData":{"id":306,"type":"article-journal","abstract":"In studies of vadose zone flow and transport processes, there is a need for a multi-functional probe for small-scale measurements of different soil properties measured within identical soil volumes. The proposed multi-functional probe was designed for simultaneous measurement of temperature, volumetric water content, water flow, and salinity in small-scale soil volumes. The probe, without the heater element, will be a 21.4 mm diameter by 50 mm long cylinder. The proposed system includes signal processing circuits, a microcontroller, and a RF transceiver with ZigBee™ protocol. Heat-pulse simulations results showed a reasonably good agreement between measured and fitted data with small deviations at the tail of temperature response curves. In addition, results indicate that the Wenner array configuration provides an excellent tool for EC measurements in soil. In conclusion, results also show that it is possible to implement the multi-functional in a small-scale microsystem.","collection-title":"The 19th European Conference on Solid-State Transducers","container-title":"Sensors and Actuators A: Physical","DOI":"10.1016/j.sna.2006.05.010","ISSN":"0924-4247","issue":"1","journalAbbreviation":"Sensors and Actuators A: Physical","language":"en","page":"70-77","source":"ScienceDirect","title":"Multi-functional probe for small-scale simultaneous measurements of soil thermal properties, water content, and electrical conductivity","volume":"132","author":[{"family":"Valente","given":"A."},{"family":"Morais","given":"R."},{"family":"Tuli","given":"A."},{"family":"Hopmans","given":"J. W."},{"family":"Kluitenberg","given":"G. J."}],"issued":{"date-parts":[["2006",11,8]]}}}],"schema":"https://github.com/citation-style-language/schema/raw/master/csl-citation.json"} </w:instrText>
      </w:r>
      <w:r w:rsidR="00A77312" w:rsidRPr="5E4FB5CC">
        <w:rPr>
          <w:lang w:eastAsia="zh-CN" w:bidi="ar-SA"/>
        </w:rPr>
        <w:fldChar w:fldCharType="separate"/>
      </w:r>
      <w:r>
        <w:t>(Valente et al., 2006)</w:t>
      </w:r>
      <w:r w:rsidR="00A77312" w:rsidRPr="5E4FB5CC">
        <w:rPr>
          <w:lang w:eastAsia="zh-CN" w:bidi="ar-SA"/>
        </w:rPr>
        <w:fldChar w:fldCharType="end"/>
      </w:r>
      <w:r w:rsidRPr="5E4FB5CC">
        <w:rPr>
          <w:lang w:eastAsia="zh-CN" w:bidi="ar-SA"/>
        </w:rPr>
        <w:t xml:space="preserve">, and optical techniques </w:t>
      </w:r>
      <w:r w:rsidR="00A77312" w:rsidRPr="5E4FB5CC">
        <w:rPr>
          <w:lang w:eastAsia="zh-CN" w:bidi="ar-SA"/>
        </w:rPr>
        <w:lastRenderedPageBreak/>
        <w:fldChar w:fldCharType="begin"/>
      </w:r>
      <w:r w:rsidR="00A77312" w:rsidRPr="5E4FB5CC">
        <w:rPr>
          <w:lang w:eastAsia="zh-CN" w:bidi="ar-SA"/>
        </w:rPr>
        <w:instrText xml:space="preserve"> ADDIN ZOTERO_ITEM CSL_CITATION {"citationID":"4GdSoPt2","properties":{"formattedCitation":"(Sayde et al., 2010)","plainCitation":"(Sayde et al., 2010)","noteIndex":0},"citationItems":[{"id":312,"uris":["http://zotero.org/users/7782726/items/Q77YATIL"],"uri":["http://zotero.org/users/7782726/items/Q77YATIL"],"itemData":{"id":312,"type":"article-journal","abstract":"Accurate methods are needed to measure changing soil water content from meter to kilometer scales. Laboratory results demonstrate the feasibility of the heat pulse method implemented with fiber optic temperature sensing to obtain accurate distributed measurements of soil water content. A fiber optic cable with an electrically conductive armoring was buried in variably saturated sand and heated via electrical resistance to create thermal pulses monitored by observing the distributed Raman backscatter. A new and simple interpretation of heat data that takes advantage of the characteristics of fiber optic temperature measurements is presented. The accuracy of the soil water content measurements varied approximately linearly with water content. At volumetric moisture content of 0.05 m3/m3 the standard deviation of the readings was 0.001 m3/m3, and at 0.41 m3/m3 volumetric moisture content the standard deviation was 0.046 m3/m3. This uncertainty could be further reduced by averaging several heat pulse interrogations and through use of a higher-performance fiber optic sensing system.","container-title":"Water Resources Research","DOI":"10.1029/2009WR007846","ISSN":"1944-7973","issue":"6","language":"en","note":"_eprint: https://agupubs.onlinelibrary.wiley.com/doi/pdf/10.1029/2009WR007846","source":"Wiley Online Library","title":"Feasibility of soil moisture monitoring with heated fiber optics","URL":"https://agupubs.onlinelibrary.wiley.com/doi/abs/10.1029/2009WR007846","volume":"46","author":[{"family":"Sayde","given":"Chadi"},{"family":"Gregory","given":"Christopher"},{"family":"Gil-Rodriguez","given":"Maria"},{"family":"Tufillaro","given":"Nick"},{"family":"Tyler","given":"Scott"},{"family":"Giesen","given":"Nick","dropping-particle":"van de"},{"family":"English","given":"Marshall"},{"family":"Cuenca","given":"Richard"},{"family":"Selker","given":"John S."}],"accessed":{"date-parts":[["2021",6,29]]},"issued":{"date-parts":[["2010"]]}}}],"schema":"https://github.com/citation-style-language/schema/raw/master/csl-citation.json"} </w:instrText>
      </w:r>
      <w:r w:rsidR="00A77312" w:rsidRPr="5E4FB5CC">
        <w:rPr>
          <w:lang w:eastAsia="zh-CN" w:bidi="ar-SA"/>
        </w:rPr>
        <w:fldChar w:fldCharType="separate"/>
      </w:r>
      <w:r>
        <w:t>(Sayde et al., 2010)</w:t>
      </w:r>
      <w:r w:rsidR="00A77312" w:rsidRPr="5E4FB5CC">
        <w:rPr>
          <w:lang w:eastAsia="zh-CN" w:bidi="ar-SA"/>
        </w:rPr>
        <w:fldChar w:fldCharType="end"/>
      </w:r>
      <w:r w:rsidRPr="5E4FB5CC">
        <w:rPr>
          <w:lang w:eastAsia="zh-CN" w:bidi="ar-SA"/>
        </w:rPr>
        <w:t xml:space="preserve">. With these techniques, spatially and temporally highly resolved measurements of soil moisture can be obtained at the point scale. In-situ soil moisture measurement techniques have the advantage of easy installation, high spatial and temporal resolutions, and the ability to measure soil moisture at different depths </w:t>
      </w:r>
      <w:r w:rsidR="00A77312" w:rsidRPr="5E4FB5CC">
        <w:rPr>
          <w:lang w:bidi="ar-SA"/>
        </w:rPr>
        <w:fldChar w:fldCharType="begin"/>
      </w:r>
      <w:r w:rsidR="00A77312" w:rsidRPr="5E4FB5CC">
        <w:rPr>
          <w:lang w:bidi="ar-SA"/>
        </w:rPr>
        <w:instrText xml:space="preserve"> ADDIN ZOTERO_ITEM CSL_CITATION {"citationID":"TVh4IhT9","properties":{"formattedCitation":"(Peng et al., 2017)","plainCitation":"(Peng et al., 2017)","noteIndex":0},"citationItems":[{"id":53,"uris":["http://zotero.org/users/7782726/items/Y936GTI7"],"uri":["http://zotero.org/users/7782726/items/Y936GTI7"],"itemData":{"id":53,"type":"article-journal","abstract":"Satellite remote sensing technology has been widely used to estimate surface soil moisture. Numerous efforts have been devoted to develop global soil moisture products. However, these global soil moisture products, normally retrieved from microwave remote sensing data, are typically not suitable for regional hydrological and agricultural applications such as irrigation management and flood predictions, due to their coarse spatial resolution. Therefore, various downscaling methods have been proposed to improve the coarse resolution soil moisture products. The purpose of this paper is to review existing methods for downscaling satellite remotely sensed soil moisture. These methods are assessed and compared in terms of their advantages and limitations. This review also provides the accuracy level of these methods based on published validation studies. In the final part, problems and future trends associated with these methods are analyzed.","container-title":"Reviews of Geophysics","DOI":"https://doi.org/10.1002/2016RG000543","ISSN":"1944-9208","issue":"2","language":"en","note":"_eprint: https://agupubs.onlinelibrary.wiley.com/doi/pdf/10.1002/2016RG000543","page":"341-366","source":"Wiley Online Library","title":"A review of spatial downscaling of satellite remotely sensed soil moisture","volume":"55","author":[{"family":"Peng","given":"Jian"},{"family":"Loew","given":"Alexander"},{"family":"Merlin","given":"Olivier"},{"family":"Verhoest","given":"Niko E. C."}],"issued":{"date-parts":[["2017"]]}}}],"schema":"https://github.com/citation-style-language/schema/raw/master/csl-citation.json"} </w:instrText>
      </w:r>
      <w:r w:rsidR="00A77312" w:rsidRPr="5E4FB5CC">
        <w:rPr>
          <w:lang w:bidi="ar-SA"/>
        </w:rPr>
        <w:fldChar w:fldCharType="separate"/>
      </w:r>
      <w:r>
        <w:t>(Peng et al., 2017)</w:t>
      </w:r>
      <w:r w:rsidR="00A77312" w:rsidRPr="5E4FB5CC">
        <w:rPr>
          <w:lang w:bidi="ar-SA"/>
        </w:rPr>
        <w:fldChar w:fldCharType="end"/>
      </w:r>
      <w:r w:rsidRPr="5E4FB5CC">
        <w:rPr>
          <w:lang w:bidi="ar-SA"/>
        </w:rPr>
        <w:t xml:space="preserve">. </w:t>
      </w:r>
      <w:bookmarkStart w:id="18" w:name="_Hlk75898306"/>
      <w:r w:rsidRPr="5E4FB5CC">
        <w:rPr>
          <w:lang w:bidi="ar-SA"/>
        </w:rPr>
        <w:t xml:space="preserve">Therefore, these measurements are normally recognized as the “ground truth” in validating and calibrating remote sensing and land surface model-based soil moisture retrievals. However, since soil moisture variability generally increases with extent scale </w:t>
      </w:r>
      <w:r w:rsidR="00A77312" w:rsidRPr="5E4FB5CC">
        <w:rPr>
          <w:lang w:bidi="ar-SA"/>
        </w:rPr>
        <w:fldChar w:fldCharType="begin"/>
      </w:r>
      <w:r w:rsidR="00A77312" w:rsidRPr="5E4FB5CC">
        <w:rPr>
          <w:lang w:bidi="ar-SA"/>
        </w:rPr>
        <w:instrText xml:space="preserve"> ADDIN ZOTERO_ITEM CSL_CITATION {"citationID":"5zspE6Bt","properties":{"formattedCitation":"(Famiglietti et al., 2008)","plainCitation":"(Famiglietti et al., 2008)","noteIndex":0},"citationItems":[{"id":50,"uris":["http://zotero.org/users/7782726/items/V85JKI9U"],"uri":["http://zotero.org/users/7782726/items/V85JKI9U"],"itemData":{"id":50,"type":"article-journal","abstract":"In this study, over 36,000 ground-based soil moisture measurements collected during the SGP97, SGP99, SMEX02, and SMEX03 field campaigns were analyzed to characterize the behavior of soil moisture variability across scales. The field campaigns were conducted in Oklahoma and Iowa in the central USA. The Oklahoma study region is sub-humid with moderately rolling topography, while the Iowa study region is humid with low-relief topography. The relationship of soil moisture standard deviation, skewness and the coefficient of variation versus mean moisture content was explored at six distinct extent scales, ranging from 2.5 m to 50 km. Results showed that variability generally increases with extent scale. The standard deviation increased from 0.036 cm3/cm3 at the 2.5-m scale to 0.071 cm3/cm3 at the 50-km scale. The log standard deviation of soil moisture increased linearly with the log extent scale, from 16 m to 1.6 km, indicative of fractal scaling. The soil moisture standard deviation versus mean moisture content exhibited a convex upward relationship at the 800-m and 50-km scales, with maximum values at mean moisture contents of roughly 0.17 cm3/cm3 and 0.19 cm3/cm3, respectively. An empirical model derived from the observed behavior of soil moisture variability was used to estimate uncertainty in the mean moisture content for a fixed number of samples at the 800-m and 50-km scales, as well as the number of ground-truth samples needed to achieve 0.05 cm3/cm3 and 0.03 cm3/cm3 accuracies. The empirical relationships can also be used to parameterize surface soil moisture variations in land surface and hydrological models across a range of scales. To our knowledge, this is the first study to document the behavior of soil moisture variability over this range of extent scales using ground-based measurements. Our results will contribute not only to efficient and reliable satellite validation, but also to better utilization of remotely sensed soil moisture products for enhanced modeling and prediction.","container-title":"Water Resources Research","DOI":"https://doi.org/10.1029/2006WR005804","ISSN":"1944-7973","issue":"1","language":"en","note":"_eprint: https://agupubs.onlinelibrary.wiley.com/doi/pdf/10.1029/2006WR005804","source":"Wiley Online Library","title":"Field observations of soil moisture variability across scales","URL":"https://agupubs.onlinelibrary.wiley.com/doi/abs/10.1029/2006WR005804","volume":"44","author":[{"family":"Famiglietti","given":"James S."},{"family":"Ryu","given":"Dongryeol"},{"family":"Berg","given":"Aaron A."},{"family":"Rodell","given":"Matthew"},{"family":"Jackson","given":"Thomas J."}],"accessed":{"date-parts":[["2021",5,25]]},"issued":{"date-parts":[["2008"]]}}}],"schema":"https://github.com/citation-style-language/schema/raw/master/csl-citation.json"} </w:instrText>
      </w:r>
      <w:r w:rsidR="00A77312" w:rsidRPr="5E4FB5CC">
        <w:rPr>
          <w:lang w:bidi="ar-SA"/>
        </w:rPr>
        <w:fldChar w:fldCharType="separate"/>
      </w:r>
      <w:r w:rsidRPr="5E4FB5CC">
        <w:rPr>
          <w:lang w:bidi="ar-SA"/>
        </w:rPr>
        <w:t>(Famiglietti et al., 2008)</w:t>
      </w:r>
      <w:r w:rsidR="00A77312" w:rsidRPr="5E4FB5CC">
        <w:rPr>
          <w:lang w:bidi="ar-SA"/>
        </w:rPr>
        <w:fldChar w:fldCharType="end"/>
      </w:r>
      <w:r w:rsidRPr="5E4FB5CC">
        <w:rPr>
          <w:lang w:bidi="ar-SA"/>
        </w:rPr>
        <w:t xml:space="preserve">, these point measurements are not able to provide spatial representativeness of neighboring areas over a range of scales </w:t>
      </w:r>
      <w:r w:rsidR="00A77312" w:rsidRPr="5E4FB5CC">
        <w:rPr>
          <w:lang w:bidi="ar-SA"/>
        </w:rPr>
        <w:fldChar w:fldCharType="begin"/>
      </w:r>
      <w:r w:rsidR="00A77312" w:rsidRPr="5E4FB5CC">
        <w:rPr>
          <w:lang w:bidi="ar-SA"/>
        </w:rPr>
        <w:instrText xml:space="preserve"> ADDIN ZOTERO_ITEM CSL_CITATION {"citationID":"Byq6v4TA","properties":{"formattedCitation":"(Crow et al., 2012; Ochsner et al., 2019; Peng et al., 2017)","plainCitation":"(Crow et al., 2012; Ochsner et al., 2019; Peng et al., 2017)","noteIndex":0},"citationItems":[{"id":53,"uris":["http://zotero.org/users/7782726/items/Y936GTI7"],"uri":["http://zotero.org/users/7782726/items/Y936GTI7"],"itemData":{"id":53,"type":"article-journal","abstract":"Satellite remote sensing technology has been widely used to estimate surface soil moisture. Numerous efforts have been devoted to develop global soil moisture products. However, these global soil moisture products, normally retrieved from microwave remote sensing data, are typically not suitable for regional hydrological and agricultural applications such as irrigation management and flood predictions, due to their coarse spatial resolution. Therefore, various downscaling methods have been proposed to improve the coarse resolution soil moisture products. The purpose of this paper is to review existing methods for downscaling satellite remotely sensed soil moisture. These methods are assessed and compared in terms of their advantages and limitations. This review also provides the accuracy level of these methods based on published validation studies. In the final part, problems and future trends associated with these methods are analyzed.","container-title":"Reviews of Geophysics","DOI":"https://doi.org/10.1002/2016RG000543","ISSN":"1944-9208","issue":"2","language":"en","note":"_eprint: https://agupubs.onlinelibrary.wiley.com/doi/pdf/10.1002/2016RG000543","page":"341-366","source":"Wiley Online Library","title":"A review of spatial downscaling of satellite remotely sensed soil moisture","volume":"55","author":[{"family":"Peng","given":"Jian"},{"family":"Loew","given":"Alexander"},{"family":"Merlin","given":"Olivier"},{"family":"Verhoest","given":"Niko E. C."}],"issued":{"date-parts":[["2017"]]}}},{"id":56,"uris":["http://zotero.org/users/7782726/items/IRNEVBSW"],"uri":["http://zotero.org/users/7782726/items/IRNEVBSW"],"itemData":{"id":56,"type":"article-journal","abstract":"The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 operation, this mapping system has revealed complex, dynamic, and depth-specific mesoscale patterns, reflecting the shifting influences of both soil texture and precipitation, with a mean absolute error of ≤0.0576 cm3/cm3 across all three depths.","container-title":"Water Resources Research","DOI":"https://doi.org/10.1029/2018WR024535","ISSN":"1944-7973","issue":"6","language":"en","note":"_eprint: https://onlinelibrary.wiley.com/doi/pdf/10.1029/2018WR024535","page":"4785-4800","source":"Wiley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E."},{"family":"Linde","given":"Evan"},{"family":"Haffner","given":"Matthew"},{"family":"Dong","given":"Jingnuo"}],"issued":{"date-parts":[["2019"]]}}}],"schema":"https://github.com/citation-style-language/schema/raw/master/csl-citation.json"} </w:instrText>
      </w:r>
      <w:r w:rsidR="00A77312" w:rsidRPr="5E4FB5CC">
        <w:rPr>
          <w:lang w:bidi="ar-SA"/>
        </w:rPr>
        <w:fldChar w:fldCharType="separate"/>
      </w:r>
      <w:r w:rsidRPr="5E4FB5CC">
        <w:rPr>
          <w:lang w:bidi="ar-SA"/>
        </w:rPr>
        <w:t>(Crow et al., 2012; Ochsner et al., 2019; Peng et al., 2017)</w:t>
      </w:r>
      <w:r w:rsidR="00A77312" w:rsidRPr="5E4FB5CC">
        <w:rPr>
          <w:lang w:bidi="ar-SA"/>
        </w:rPr>
        <w:fldChar w:fldCharType="end"/>
      </w:r>
      <w:r w:rsidRPr="5E4FB5CC">
        <w:rPr>
          <w:lang w:bidi="ar-SA"/>
        </w:rPr>
        <w:t>.</w:t>
      </w:r>
      <w:bookmarkEnd w:id="18"/>
      <w:r w:rsidRPr="5E4FB5CC">
        <w:rPr>
          <w:lang w:bidi="ar-SA"/>
        </w:rPr>
        <w:t xml:space="preserve"> Although previous studies have used geostatistical techniques to extrapolate in-situ soil moisture measurements to larger scales, these methods are usually complex, time-consuming, and depend on the availability of high-resolution auxiliary variables, especially over land surfaces with high spatial heterogeneity </w:t>
      </w:r>
      <w:r w:rsidR="00A77312" w:rsidRPr="5E4FB5CC">
        <w:rPr>
          <w:lang w:bidi="ar-SA"/>
        </w:rPr>
        <w:fldChar w:fldCharType="begin"/>
      </w:r>
      <w:r w:rsidR="00A77312" w:rsidRPr="5E4FB5CC">
        <w:rPr>
          <w:lang w:bidi="ar-SA"/>
        </w:rPr>
        <w:instrText xml:space="preserve"> ADDIN ZOTERO_ITEM CSL_CITATION {"citationID":"42OvF0VQ","properties":{"formattedCitation":"(Kang et al., 2021; Ochsner et al., 2019; Qin et al., 2013; Wang et al., 2015; X. Zhang, Tang, et al., 2017)","plainCitation":"(Kang et al., 2021; Ochsner et al., 2019; Qin et al., 2013; Wang et al., 2015; X. Zhang, Tang, et al., 2017)","dontUpdate":true,"noteIndex":0},"citationItems":[{"id":122,"uris":["http://zotero.org/users/7782726/items/MQIFFYDZ"],"uri":["http://zotero.org/users/7782726/items/MQIFFYDZ"],"itemData":{"id":122,"type":"article-journal","abstract":"&lt;section class=\"abstract\"&gt;&lt;h2 class=\"abstractTitle text-title my-1\" id=\"d149947833e83\"&gt;Abstract&lt;/h2&gt;&lt;p&gt;In this paper, an experimental soil moisture drought monitoring and seasonal forecasting framework based on the Variable Infiltration Capacity model (VIC) over southwestern China (SW) is presented. Satellite precipitation data are used to force VIC for a near-real-time estimate of land surface hydrologic conditions. Initialized with satellite-aided monitoring (MONIT), the climate model (CFSv2)-based forecast (MONIT+CFSv2) and ensemble streamflow prediction (ESP)-based forecast (MONIT+ESP) are both performed. One dry season drought and one wet season drought are employed to test the ability of this framework in terms of real-time tracking and predicting the evolution of soil moisture (SM) drought, respectively. The results show that the skillful CFSv2 climate forecasts (CFs) are only found at the first month. The satellite-aided monitoring is able to provide a reasonable estimate of forecast initial conditions (ICs) in real-time mode. In the presented cases, MONIT+CFSv2 forecast exhibits comparable performance against the observation-based estimates for the first month, whereas the predictive skill largely drops beyond 1 month. Compared to MONIT+ESP, MONIT+CFSv2 ensembles give more skillful SM drought forecast during the dry season, as indicated by a smaller ensemble range, while the added value of MONIT+CFSv2 is marginal during the wet season. A quantitative attribution analysis of SM forecast uncertainty demonstrates that SM forecast skill is mostly controlled by ICs at the first month and that uncertainties in CFs have the largest contribution to SM forecast errors at longer lead times. This study highlights a value of this framework in generating near-real-time ICs and providing a reliable SM drought prediction with 1 month ahead, which may greatly benefit drought diagnosis, assessment, and early warning.&lt;/p&gt;&lt;/section&gt;","container-title":"Journal of Hydrometeorology","DOI":"10.1175/JHM-D-16-0045.1","ISSN":"1525-7541, 1525-755X","issue":"1","language":"EN","note":"publisher: American Meteorological Society\nsection: Journal of Hydrometeorology","page":"5-23","source":"journals.ametsoc.org","title":"Soil Moisture Drought Monitoring and Forecasting Using Satellite and Climate Model Data over Southwestern China","volume":"18","author":[{"family":"Zhang","given":"Xuejun"},{"family":"Tang","given":"Qiuhong"},{"family":"Liu","given":"Xingcai"},{"family":"Leng","given":"Guoyong"},{"family":"Li","given":"Zhe"}],"issued":{"date-parts":[["2017",1,1]]}}},{"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 operation, this mapping system has revealed complex, dynamic, and depth-specific mesoscale patterns, reflecting the shifting influences of both soil texture and precipitation, with a mean absolute error of ≤0.0576 cm3/cm3 across all three depths.","container-title":"Water Resources Research","DOI":"https://doi.org/10.1029/2018WR024535","ISSN":"1944-7973","issue":"6","language":"en","note":"_eprint: https://onlinelibrary.wiley.com/doi/pdf/10.1029/2018WR024535","page":"4785-4800","source":"Wiley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id":73,"uris":["http://zotero.org/users/7782726/items/RKQRD6S5"],"uri":["http://zotero.org/users/7782726/items/RKQRD6S5"],"itemData":{"id":73,"type":"article-journal","abstract":"Soil moisture plays an essential role in the terrestrial water cycle. It is very important to obtain soil moisture for many applications. Soil moisture acquired by remote sensing, land surface modeling, and data assimilation must be evaluated against in-situ measurements before being used, but a procedure should be performed to upscale the point-scale measurements to the grid-scale or footprint-scale. In this study, a new upscaling algorithm is developed by introducing MODIS-derived apparent thermal inertia (ATI). First, a functional relationship between the station-averaged soil moisture and the pixel-averaged ATI is constructed. Second, this relationship is used to calculate the representative soil moisture time series at a certain spatial scale. Last, the Bayesian linear regression is applied to obtain the upscaled area-averaged soil moisture by using in-situ measurements as independent variables. The algorithm is evaluated using a network of in-situ moisture sensors in the central Tibetan Plateau. The results indicate that it can effectively obtain the area-averaged soil moisture, reducing the root mean square error (RMSE) from 0.023m3/m3 before upscaling to 0.013m3/m3 after upscaling. Finally, the algorithm is implemented to the 100km×100km grid box where the network is installed, and the temporal pattern of the upscaled soil moisture agrees with the hydro-meteorological knowledge of this region.","container-title":"Remote Sensing of Environment","DOI":"10.1016/j.rse.2013.07.003","ISSN":"0034-4257","journalAbbreviation":"Remote Sensing of Environment","language":"en","page":"1-9","source":"ScienceDirect","title":"Spatial upscaling of in-situ soil moisture measurements based on MODIS-derived apparent thermal inertia","volume":"138","author":[{"family":"Qin","given":"Jun"},{"family":"Yang","given":"Kun"},{"family":"Lu","given":"Ning"},{"family":"Chen","given":"Yingying"},{"family":"Zhao","given":"Long"},{"family":"Han","given":"Menglei"}],"issued":{"date-parts":[["2013",11,1]]}}},{"id":67,"uris":["http://zotero.org/users/7782726/items/H59SY39J"],"uri":["http://zotero.org/users/7782726/items/H59SY39J"],"itemData":{"id":67,"type":"article-journal","abstract":"Validation of satellite-based soil moisture products is necessary to provide users with an assessment of their accuracy and reliability and to ensure quality of information. A key step in the validation process is to upscale point-scale, ground-based soil moisture observations to satellite-scale pixel averages. When soil moisture shows high spatial heterogeneity within pixels, a strategy which captures the spatial characteristics is essential for the upscaling process. In addition, temporal variation in soil moisture must be taken into account when measurement times of ground-based and satellite-based observations are not the same. We applied spatio-temporal regression block kriging (STRBK) to upscale  in situ soil moisture observations collected as time series at multiple locations to pixel averages. STRBK incorporates auxiliary information such as maps of vegetation and land surface temperature to improve predictions and exploits the spatio-temporal correlation structure of the point-scale soil moisture observations. In addition, STRBK also quantifies the uncertainty associated with the upscaled soil moisture which allows bias detection and significance testing of satellite-based soil moisture products. The approach is illustrated with a real-world application for upscaling in situ soil moisture observations for validating the Polarimetric L-band Multi-beam Radiometer (PLMR) retrieved soil moisture product in the Heihe Water Allied Telemetry Experimental Research experiment (HiWATER). The results show that STRBK yields upscaled soil moisture predictions that are sufficiently accurate  for validation purposes. Comparison of the upscaled predictions with PLMR soil moisture observations shows that the root-mean-squared error of the PLMR soil moisture product  is about 0.03 m3·m−3 and can be used as a high-resolution soil moisture product for watershed-scale soil moisture monitoring.","container-title":"Remote Sensing","DOI":"10.3390/rs70911372","issue":"9","language":"en","note":"number: 9\npublisher: Multidisciplinary Digital Publishing Institute","page":"11372-11388","source":"www.mdpi.com","title":"Upscaling In Situ Soil Moisture Observations to Pixel Averages with Spatio-Temporal Geostatistics","volume":"7","author":[{"family":"Wang","given":"Jianghao"},{"family":"Ge","given":"Yong"},{"family":"Heuvelink","given":"Gerard B. M."},{"family":"Zhou","given":"Chenghu"}],"issued":{"date-parts":[["2015",9]]}}},{"id":70,"uris":["http://zotero.org/users/7782726/items/DYMY4PI4"],"uri":["http://zotero.org/users/7782726/items/DYMY4PI4"],"itemData":{"id":70,"type":"article-journal","abstract":"In recent decades, microwave remote sensing (RS) has been used to measure soil moisture (SM). Long-term and large-scale RS SM datasets derived from various microwave sensors have been used in environmental fields. Understanding the accuracies of RS SM products is essential for their proper applications. However, due to the mismatched spatial scale between the ground-based and RS observations, the truth at the pixel scale may not be accurately represented by ground-based observations, especially when the spatial density of in situ measurements is low. Because ground-based observations are often sparsely distributed, temporal upscaling was adopted to transform a few in situ measurements into SM values at a pixel scale of 1 km by introducing the temperature vegetation dryness index (TVDI) related to SM. The upscaled SM showed high consistency with in situ SM observations and could accurately capture rainfall events. The upscaled SM was considered as the reference data to evaluate RS SM products at different spatial scales. In regard to the validation results, in addition to the correlation coefficient (R) of the Soil Moisture Active Passive (SMAP) SM being slightly lower than that of the Climate Change Initiative (CCI) SM, SMAP had the best performance in terms of the root-mean-square error (RMSE), unbiased RMSE and bias, followed by the CCI. The Soil Moisture and Ocean Salinity (SMOS) products were in worse agreement with the upscaled SM and were inferior to the R value of the X-band SM of the Advanced Microwave Scanning Radiometer 2 (AMSR2). In conclusion, in the study area, the SMAP and CCI SM are more reliable, although both products were underestimated by 0.060 cm3 cm&amp;minus;3 and 0.077 cm3 cm&amp;minus;3, respectively. If the biases are corrected, then the improved SMAP with an RMSE of 0.043 cm3 cm&amp;minus;3 and the CCI with an RMSE of 0.039 cm3 cm&amp;minus;3 will hopefully reach the application requirement for an accuracy with an RMSE less than 0.040 cm3 cm&amp;minus;3.","container-title":"Remote Sensing","DOI":"10.3390/rs13020228","issue":"2","language":"en","note":"number: 2\npublisher: Multidisciplinary Digital Publishing Institute","page":"228","source":"www.mdpi.com","title":"Mapping High Spatiotemporal-Resolution Soil Moisture by Upscaling Sparse Ground-Based Observations Using a Bayesian Linear Regression Method for Comparison with Microwave Remotely Sensed Soil Moisture Products","volume":"13","author":[{"family":"Kang","given":"Jian"},{"family":"Jin","given":"Rui"},{"family":"Li","given":"Xin"},{"family":"Zhang","given":"Yang"}],"issued":{"date-parts":[["2021",1]]}}}],"schema":"https://github.com/citation-style-language/schema/raw/master/csl-citation.json"} </w:instrText>
      </w:r>
      <w:r w:rsidR="00A77312" w:rsidRPr="5E4FB5CC">
        <w:rPr>
          <w:lang w:bidi="ar-SA"/>
        </w:rPr>
        <w:fldChar w:fldCharType="separate"/>
      </w:r>
      <w:r>
        <w:t>(Kang et al., 2021; Ochsner et al., 2019; Qin et al., 2013; Wang et al., 2015; Zhang et al., 2017)</w:t>
      </w:r>
      <w:r w:rsidR="00A77312" w:rsidRPr="5E4FB5CC">
        <w:rPr>
          <w:lang w:bidi="ar-SA"/>
        </w:rPr>
        <w:fldChar w:fldCharType="end"/>
      </w:r>
      <w:r w:rsidRPr="5E4FB5CC">
        <w:rPr>
          <w:lang w:bidi="ar-SA"/>
        </w:rPr>
        <w:t>.</w:t>
      </w:r>
    </w:p>
    <w:p w14:paraId="51FFBF7D" w14:textId="77777777" w:rsidR="004852AA" w:rsidRDefault="004852AA" w:rsidP="00A77312">
      <w:pPr>
        <w:rPr>
          <w:lang w:bidi="ar-SA"/>
        </w:rPr>
      </w:pPr>
    </w:p>
    <w:p w14:paraId="77273681" w14:textId="133A44F6" w:rsidR="00E94A31" w:rsidRDefault="00E94A31" w:rsidP="00E94A31">
      <w:pPr>
        <w:pStyle w:val="3"/>
      </w:pPr>
      <w:bookmarkStart w:id="19" w:name="_Toc75939818"/>
      <w:r>
        <w:t xml:space="preserve">1.1.6 Model-simulated </w:t>
      </w:r>
      <w:r w:rsidRPr="0027788B">
        <w:t>Soil Moisture</w:t>
      </w:r>
      <w:bookmarkEnd w:id="19"/>
    </w:p>
    <w:p w14:paraId="7FAC8A0D" w14:textId="4D9C95B3" w:rsidR="00A77312" w:rsidRDefault="5E4FB5CC" w:rsidP="00445F04">
      <w:bookmarkStart w:id="20" w:name="_Hlk75898730"/>
      <w:r>
        <w:t>Model-simulated soil moisture</w:t>
      </w:r>
      <w:bookmarkEnd w:id="20"/>
      <w:r>
        <w:t xml:space="preserve"> is another source of spatially continuous soil moisture. Land surface models such as the Global Land Data Assimilation System (GLDAS; </w:t>
      </w:r>
      <w:r w:rsidR="00E94A31">
        <w:fldChar w:fldCharType="begin"/>
      </w:r>
      <w:r w:rsidR="00E94A31">
        <w:instrText xml:space="preserve"> ADDIN ZOTERO_ITEM CSL_CITATION {"citationID":"NW1yz1Yp","properties":{"formattedCitation":"(Rodell et al., 2004)","plainCitation":"(Rodell et al., 2004)","dontUpdate":true,"noteIndex":0},"citationItems":[{"id":141,"uris":["http://zotero.org/users/7782726/items/KFPTRE8G"],"uri":["http://zotero.org/users/7782726/items/KFPTRE8G"],"itemData":{"id":141,"type":"article-journal","abstract":"&lt;section class=\"abstract\"&gt;&lt;p&gt;A Global Land Data Assimilation System (GLDAS) has been developed. Its purpose is to ingest satellite- and ground-based observational data products, using advanced land surface modeling and data assimilation techniques, in order to generate optimal fields of land surface states and fluxes. GLDAS is unique in that it is an uncoupled land surface modeling system that drives multiple models, integrates a huge quantity of observation-based data, runs globally at high resolution (0.25°), and produces results in near–real time (typically within 48 h of the present). GLDAS is also a test bed for innovative modeling and assimilation capabilities. A vegetation-based “tiling” approach is used to simulate subgrid-scale variability, with a 1-km global vegetation dataset as its basis. Soil and elevation parameters are based on high-resolution global datasets. Observation-based precipitation and downward radiation and output fields from the best available global coupled atmospheric data assimilation systems are employed as forcing data. The high-quality, global land surface fields provided by GLDAS will be used to initialize weather and climate prediction models and will promote various hydrometeorological studies and applications. The ongoing GLDAS archive (started in 2001) of modeled and observed, global, surface meteorological data, parameter maps, and output is publicly available.&lt;/p&gt;&lt;/section&gt;","container-title":"Bulletin of the American Meteorological Society","DOI":"10.1175/BAMS-85-3-381","ISSN":"0003-0007, 1520-0477","issue":"3","language":"en","note":"publisher: American Meteorological Society\nsection: Bulletin of the American Meteorological Society","page":"381-394","source":"journals.ametsoc.org","title":"The Global Land Data Assimilation System","volume":"85","author":[{"family":"Rodell","given":"M."},{"family":"Houser","given":"P. R."},{"family":"Jambor","given":"U."},{"family":"Gottschalck","given":"J."},{"family":"Mitchell","given":"K."},{"family":"Meng","given":"C.-J."},{"family":"Arsenault","given":"K."},{"family":"Cosgrove","given":"B."},{"family":"Radakovich","given":"J."},{"family":"Bosilovich","given":"M."},{"family":"Entin","given":"J. K."},{"family":"Walker","given":"J. P."},{"family":"Lohmann","given":"D."},{"family":"Toll","given":"D."}],"issued":{"date-parts":[["2004",3,1]]}}}],"schema":"https://github.com/citation-style-language/schema/raw/master/csl-citation.json"} </w:instrText>
      </w:r>
      <w:r w:rsidR="00E94A31">
        <w:fldChar w:fldCharType="separate"/>
      </w:r>
      <w:r>
        <w:t>Rodell et al., 2004)</w:t>
      </w:r>
      <w:r w:rsidR="00E94A31">
        <w:fldChar w:fldCharType="end"/>
      </w:r>
      <w:r>
        <w:t xml:space="preserve"> and North American Land Data Assimilation System (NLDAS; </w:t>
      </w:r>
      <w:r w:rsidR="00E94A31">
        <w:fldChar w:fldCharType="begin"/>
      </w:r>
      <w:r w:rsidR="00E94A31">
        <w:instrText xml:space="preserve"> ADDIN ZOTERO_ITEM CSL_CITATION {"citationID":"QR1oZUUl","properties":{"formattedCitation":"(Mitchell et al., 2004)","plainCitation":"(Mitchell et al., 2004)","dontUpdate":true,"noteIndex":0},"citationItems":[{"id":144,"uris":["http://zotero.org/users/7782726/items/TUX2JZMZ"],"uri":["http://zotero.org/users/7782726/items/TUX2JZMZ"],"itemData":{"id":144,"type":"article-journal","abstract":"Results are presented from the multi-institution partnership to develop a real-time and retrospective North American Land Data Assimilation System (NLDAS). NLDAS consists of (1) four land models executing in parallel in uncoupled mode, (2) common hourly surface forcing, and (3) common streamflow routing: all using a 1/8° grid over the continental United States. The initiative is largely sponsored by the Global Energy and Water Cycle Experiment (GEWEX) Continental-Scale International Project (GCIP). As the overview for nine NLDAS papers, this paper describes and evaluates the 3-year NLDAS execution of 1 October 1996 to 30 September 1999, a period rich in observations for validation. The validation emphasizes (1) the land states, fluxes, and input forcing of four land models, (2) the application of new GCIP-sponsored products, and (3) a multiscale approach. The validation includes (1) mesoscale observing networks of land surface forcing, fluxes, and states, (2) regional snowpack measurements, (3) daily streamflow measurements, and (4) satellite-based retrievals of snow cover, land surface skin temperature (LST), and surface insolation. The results show substantial intermodel differences in surface evaporation and runoff (especially over nonsparse vegetation), soil moisture storage, snowpack, and LST. Owing to surprisingly large intermodel differences in aerodynamic conductance, intermodel differences in midday summer LST were unlike those expected from the intermodel differences in Bowen ratio. Last, anticipating future assimilation of LST, an NLDAS effort unique to this overview paper assesses geostationary-satellite-derived LST, determines the latter to be of good quality, and applies the latter to validate modeled LST.","container-title":"Journal of Geophysical Research: Atmospheres","DOI":"https://doi.org/10.1029/2003JD003823","ISSN":"2156-2202","issue":"D7","language":"en","note":"_eprint: https://agupubs.onlinelibrary.wiley.com/doi/pdf/10.1029/2003JD003823","source":"Wiley Online Library","title":"The multi-institution North American Land Data Assimilation System (NLDAS): Utilizing multiple GCIP products and partners in a continental distributed hydrological modeling system","title-short":"The multi-institution North American Land Data Assimilation System (NLDAS)","URL":"https://agupubs.onlinelibrary.wiley.com/doi/abs/10.1029/2003JD003823","volume":"109","author":[{"family":"Mitchell","given":"Kenneth E."},{"family":"Lohmann","given":"Dag"},{"family":"Houser","given":"Paul R."},{"family":"Wood","given":"Eric F."},{"family":"Schaake","given":"John C."},{"family":"Robock","given":"Alan"},{"family":"Cosgrove","given":"Brian A."},{"family":"Sheffield","given":"Justin"},{"family":"Duan","given":"Qingyun"},{"family":"Luo","given":"Lifeng"},{"family":"Higgins","given":"R. Wayne"},{"family":"Pinker","given":"Rachel T."},{"family":"Tarpley","given":"J. Dan"},{"family":"Lettenmaier","given":"Dennis P."},{"family":"Marshall","given":"Curtis H."},{"family":"Entin","given":"Jared K."},{"family":"Pan","given":"Ming"},{"family":"Shi","given":"Wei"},{"family":"Koren","given":"Victor"},{"family":"Meng","given":"Jesse"},{"family":"Ramsay","given":"Bruce H."},{"family":"Bailey","given":"Andrew A."}],"accessed":{"date-parts":[["2021",5,27]]},"issued":{"date-parts":[["2004"]]}}}],"schema":"https://github.com/citation-style-language/schema/raw/master/csl-citation.json"} </w:instrText>
      </w:r>
      <w:r w:rsidR="00E94A31">
        <w:fldChar w:fldCharType="separate"/>
      </w:r>
      <w:r>
        <w:t>Mitchell et al., 2004)</w:t>
      </w:r>
      <w:r w:rsidR="00E94A31">
        <w:fldChar w:fldCharType="end"/>
      </w:r>
      <w:r>
        <w:t xml:space="preserve"> can provide soil moisture estimates at various depths with high spatio-temporal resolution. Compared with in-situ measurements, Chen et al. (2013) found that all four GLDAS LSMs systematically underestimate the surface soil moisture in the Tibetan Plateau. Soil moisture simulations from NLDAS phase 2 (NLDAS-2) are also found to have large biases when compared to in-situ observations (Xia et al., 2014). Therefore, the reliability of model-simulated soil moisture varies </w:t>
      </w:r>
      <w:r>
        <w:lastRenderedPageBreak/>
        <w:t xml:space="preserve">significantly from model to model, and over time and space. Models generally perform well in representing the variations in soil moisture and soil moisture anomalies </w:t>
      </w:r>
      <w:r w:rsidR="00E94A31">
        <w:fldChar w:fldCharType="begin"/>
      </w:r>
      <w:r w:rsidR="00E94A31">
        <w:instrText xml:space="preserve"> ADDIN ZOTERO_ITEM CSL_CITATION {"citationID":"DQSUmihy","properties":{"formattedCitation":"(Albergel et al., 2012; Downer &amp; Ogden, 2003; Meng &amp; Quiring, 2008)","plainCitation":"(Albergel et al., 2012; Downer &amp; Ogden, 2003; Meng &amp; Quiring, 2008)","noteIndex":0},"citationItems":[{"id":321,"uris":["http://zotero.org/users/7782726/items/EX5RMIIL"],"uri":["http://zotero.org/users/7782726/items/EX5RMIIL"],"itemData":{"id":321,"type":"article-journal","abstract":"In situ soil moisture data from more than 200 stations located in Africa, Australia, Europe and the United States are used to determine the reliability of three soil moisture products, one analysis from the ECMWF (European Centre for Medium-Range Weather Forecasts) numerical weather prediction system (SM-DAS-2) and two remotely sensed soil moisture products, namely ASCAT (Advanced scatterometer) and SMOS (Soil Moisture Ocean Salinity). SM-DAS-2 is produced offline at ECMWF and relies on an advanced surface data assimilation system (Extended Kalman Filter) used to optimally combine conventional observations with satellite measurements. ASCAT remotely sensed surface soil moisture is provided in near real time by EUMETSAT. At ECMWF, ASCAT is used for soil moisture analyses in SM-DAS-2, also. Finally the SMOS remotely sensed soil moisture data level two product developed at CESBIO is used. Evaluation of the times series as well as of the anomaly values, shows good performances of the three products to capture surface soil moisture annual cycle and short term variability. Correlations with in situ data are very satisfactory over most of the investigated sites located in contrasted biomes and climate conditions with averaged values of 0.70 for SM-DAS-2, 0.53 for ASCAT and 0.54 for SMOS. Although radio frequency interference disturbs the natural microwave emission of the Earth observed by SMOS in several parts of the world, hence the soil moisture retrieval, performances of SMOS over Australia are very encouraging.","container-title":"Remote Sensing of Environment","DOI":"10.1016/j.rse.2011.11.017","ISSN":"0034-4257","journalAbbreviation":"Remote Sensing of Environment","language":"en","page":"215-226","source":"ScienceDirect","title":"Evaluation of remotely sensed and modelled soil moisture products using global ground-based in situ observations","volume":"118","author":[{"family":"Albergel","given":"Clement"},{"family":"Rosnay","given":"Patricia","non-dropping-particle":"de"},{"family":"Gruhier","given":"Claire"},{"family":"Muñoz-Sabater","given":"Joaquin"},{"family":"Hasenauer","given":"Stefan"},{"family":"Isaksen","given":"Lars"},{"family":"Kerr","given":"Yann"},{"family":"Wagner","given":"Wolfgang"}],"issued":{"date-parts":[["2012",3,15]]}}},{"id":323,"uris":["http://zotero.org/users/7782726/items/QDEZ7QSE"],"uri":["http://zotero.org/users/7782726/items/QDEZ7QSE"],"itemData":{"id":323,"type":"article-journal","abstract":"The application of physically based hydrologic models implies they properly simulate processes at the computational scale. A chief criticism is that model predictions are compared only to discharge data. The physically based, hydrologic model CASC2D is reformulated such that soil moistures and fluxes can be computed using Richards' equation. The gridded surface subsurface hydrologic analysis (GSSHA) model is calibrated and verified against outlet discharge measurements during the growing season. The verified model is used to simulate an extended period during which measurements of soil moisture are available. Though soil moisture data are not used in the calibration and verification efforts, the model reproduces both the trends and the magnitude of soil moisture during the growing season. With additional formulation enhancements, soil moistures during the nongrowing season are also reproduced within a root-mean-square error of 0.1. However, more work is needed to understand the underprediction of runoff during the nongrowing season.","container-title":"Water Resources Research","DOI":"10.1029/2002WR001439","ISSN":"1944-7973","issue":"3","language":"en","note":"_eprint: https://agupubs.onlinelibrary.wiley.com/doi/pdf/10.1029/2002WR001439","source":"Wiley Online Library","title":"Prediction of runoff and soil moistures at the watershed scale: Effects of model complexity and parameter assignment","title-short":"Prediction of runoff and soil moistures at the watershed scale","URL":"https://agupubs.onlinelibrary.wiley.com/doi/abs/10.1029/2002WR001439","volume":"39","author":[{"family":"Downer","given":"Charles W."},{"family":"Ogden","given":"Fred L."}],"accessed":{"date-parts":[["2021",6,29]]},"issued":{"date-parts":[["2003"]]}}},{"id":326,"uris":["http://zotero.org/users/7782726/items/FQBNPGR6"],"uri":["http://zotero.org/users/7782726/items/FQBNPGR6"],"itemData":{"id":326,"type":"article-journal","abstract":"&lt;section class=\"abstract\"&gt;&lt;h2 class=\"abstractTitle text-title my-1\" id=\"d8251468e66\"&gt;Abstract&lt;/h2&gt;&lt;p&gt;Because of the lack of field measurements, models are often used to monitor soil moisture conditions. Therefore, it is important to find a model that can accurately simulate soil moisture under a variety of land surface conditions. In this paper, three models of varying complexities [the Variable Infiltration Capacity (VIC), Decision Support System for Agrotechnology Transfer (DSSAT), and Climatic Water Budget (CWB) models] that are commonly used for simulating soil moisture were evaluated and compared using soil moisture data (1997–2005) from three Soil Climate Analysis Network (SCAN) sites (Bushland, Texas; Prairie View, Texas; Powder Mill, Maryland). Results demonstrated that DSSAT and VIC simulated soil moisture more accurately than CWB at the three SCAN sites. DSSAT and VIC both accurately simulated the annual cycle of soil moisture and the wetting and drying in response to weather conditions, as evidenced by the relatively strong correlations, but could not accurately simulate the actual soil water content in the upper soil layers (the mean coefficients of efficiency &lt;em&gt;E&lt;/em&gt; for all DSSAT and VIC simulations were −0.8 and −2.6, respectively). CWB could not accurately simulate soil moisture at any of the SCAN sites. Model performance varied significantly not only from model to model but also from year to year and from location to location. Model sensitivity analysis using the factorial approach suggests that DSSAT is more sensitive than VIC and that model sensitivity varies by locations, indicating that parameter sensitivity is more strongly controlled by climatic gradients than by changes in soil properties.&lt;/p&gt;&lt;/section&gt;","container-title":"Journal of Hydrometeorology","DOI":"10.1175/2008JHM916.1","ISSN":"1525-7541, 1525-755X","issue":"4","language":"EN","note":"publisher: American Meteorological Society\nsection: Journal of Hydrometeorology","page":"641-659","source":"journals.ametsoc.org","title":"A Comparison of Soil Moisture Models Using Soil Climate Analysis Network Observations","volume":"9","author":[{"family":"Meng","given":"Lei"},{"family":"Quiring","given":"Steven M."}],"issued":{"date-parts":[["2008",8,1]]}}}],"schema":"https://github.com/citation-style-language/schema/raw/master/csl-citation.json"} </w:instrText>
      </w:r>
      <w:r w:rsidR="00E94A31">
        <w:fldChar w:fldCharType="separate"/>
      </w:r>
      <w:r>
        <w:t>(Albergel et al., 2012; Downer &amp; Ogden, 2003; Meng &amp; Quiring, 2008)</w:t>
      </w:r>
      <w:r w:rsidR="00E94A31">
        <w:fldChar w:fldCharType="end"/>
      </w:r>
      <w:r>
        <w:t xml:space="preserve">, but they tend to have large biases in simulating the absolute volumetric water content of the soil </w:t>
      </w:r>
      <w:r w:rsidR="00E94A31">
        <w:fldChar w:fldCharType="begin"/>
      </w:r>
      <w:r w:rsidR="00E94A31">
        <w:instrText xml:space="preserve"> ADDIN ZOTERO_ITEM CSL_CITATION {"citationID":"FXtf1YQh","properties":{"formattedCitation":"(Bi et al., 2016; Xia et al., 2014)","plainCitation":"(Bi et al., 2016; Xia et al., 2014)","noteIndex":0},"citationItems":[{"id":329,"uris":["http://zotero.org/users/7782726/items/UESTJ4EV"],"uri":["http://zotero.org/users/7782726/items/UESTJ4EV"],"itemData":{"id":329,"type":"article-journal","abstract":"Soil moisture is a key state variable in many hydrological processes. The Global Land Data Assimilation System (GLDAS) can produce global and continuous soil moisture data sets which have been used in many applications. In this study, simulated soil moisture from four land surface models (LSM) (Mosaic, Noah, Community Land Model, and Variable Infiltration Capacity) in GLDAS-1 and the more recent GLDAS-2 were evaluated against in situ soil moisture measurements collected from two soil moisture networks located on the Tibetan Plateau at different soil depths. The two networks provide a representation of different climates and land surface conditions on the Tibetan Plateau which can make the evaluation results more robust and reliable. The results show that all the LSMs can well capture the temporal variation of observed soil moisture with the correlation coefficients mostly being above 0.5. However, they all display biases with the surface soil moisture being systematically underestimated in both of two network regions, and the Mosaic model always shows the largest bias that even reaches 0.192 m3/m3. The causes of the biases were investigated in detail, and we found that the biases may mainly be caused by the soil stratification phenomenon over the Tibetan Plateau. Moreover, errors in model parameters, especially the soil properties data, deficiencies in model structures, and mismatch of the spatial scale and soil depth between LSM simulations and in situ measurements may contribute to the biases as well. Additionally, it was found that GLDAS-2 nearly does not show superior performance than GLDAS-1 over the Tibetan Plateau.","container-title":"Journal of Geophysical Research: Atmospheres","DOI":"10.1002/2015JD024131","ISSN":"2169-8996","issue":"6","language":"en","note":"_eprint: https://agupubs.onlinelibrary.wiley.com/doi/pdf/10.1002/2015JD024131","page":"2658-2678","source":"Wiley Online Library","title":"Comparison of soil moisture in GLDAS model simulations and in situ observations over the Tibetan Plateau","volume":"121","author":[{"family":"Bi","given":"Haiyun"},{"family":"Ma","given":"Jianwen"},{"family":"Zheng","given":"Wenjun"},{"family":"Zeng","given":"Jiangyuan"}],"issued":{"date-parts":[["2016"]]}}},{"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00E94A31">
        <w:fldChar w:fldCharType="separate"/>
      </w:r>
      <w:r>
        <w:t>(Bi et al., 2016; Xia et al., 2014)</w:t>
      </w:r>
      <w:r w:rsidR="00E94A31">
        <w:fldChar w:fldCharType="end"/>
      </w:r>
      <w:r>
        <w:t xml:space="preserve">. Moreover, uncertainties due to model forcing, parameters, structure, and calibration affect the reliability of these soil moisture estimates </w:t>
      </w:r>
      <w:r w:rsidR="00E94A31">
        <w:fldChar w:fldCharType="begin"/>
      </w:r>
      <w:r w:rsidR="00E94A31">
        <w:instrText xml:space="preserve"> ADDIN ZOTERO_ITEM CSL_CITATION {"citationID":"s6YczFZ7","properties":{"formattedCitation":"(Brocca et al., 2017)","plainCitation":"(Brocca et al., 2017)","noteIndex":0},"citationItems":[{"id":147,"uris":["http://zotero.org/users/7782726/items/WSSSIQXW"],"uri":["http://zotero.org/users/7782726/items/WSSSIQXW"],"itemData":{"id":147,"type":"article-journal","abstract":"Remote sensing of soil moisture has reached a level of good maturity and accuracy for which the retrieved products are ready to use in real-world applications. Due to the importance of soil moisture in the partitioning of the water and energy fluxes between the land surface and the atmosphere, a wide range of applications can benefit from the availability of satellite soil moisture products. Specifically, the Advanced SCATterometer (ASCAT) on board the series of Meteorological Operational (Metop) satellites is providing a near real time (and long-term, 9+ years starting from January 2007) soil moisture product, with a nearly daily (sub-daily after the launch of Metop-B) revisit time and a spatial sampling of 12.5 and 25 km. This study first performs a review of the climatic, meteorological, and hydrological studies that use satellite soil moisture products for a better understanding of the water and energy cycle. Specifically, applications that consider satellite soil moisture product for improving their predictions are analyzed and discussed. Moreover, four real examples are shown in which ASCAT soil moisture observations have been successfully applied toward: 1) numerical weather prediction, 2) rainfall estimation, 3) flood forecasting, and 4) drought monitoring and prediction. Finally, the strengths and limitations of ASCAT soil moisture products and the way forward for fully exploiting these data in real-world applications are discussed.","container-title":"IEEE Journal of Selected Topics in Applied Earth Observations and Remote Sensing","DOI":"10.1109/JSTARS.2017.2651140","ISSN":"2151-1535","issue":"5","note":"event: IEEE Journal of Selected Topics in Applied Earth Observations and Remote Sensing","page":"2285-2306","source":"IEEE Xplore","title":"A Review of the Applications of ASCAT Soil Moisture Products","volume":"10","author":[{"family":"Brocca","given":"Luca"},{"family":"Crow","given":"Wade T."},{"family":"Ciabatta","given":"Luca"},{"family":"Massari","given":"Christian"},{"family":"Rosnay","given":"Patricia","non-dropping-particle":"de"},{"family":"Enenkel","given":"Markus"},{"family":"Hahn","given":"Sebastian"},{"family":"Amarnath","given":"Giriraj"},{"family":"Camici","given":"Stefania"},{"family":"Tarpanelli","given":"Angelica"},{"family":"Wagner","given":"Wolfgang"}],"issued":{"date-parts":[["2017",5]]}}}],"schema":"https://github.com/citation-style-language/schema/raw/master/csl-citation.json"} </w:instrText>
      </w:r>
      <w:r w:rsidR="00E94A31">
        <w:fldChar w:fldCharType="separate"/>
      </w:r>
      <w:r>
        <w:t>(Brocca et al., 2017)</w:t>
      </w:r>
      <w:r w:rsidR="00E94A31">
        <w:fldChar w:fldCharType="end"/>
      </w:r>
      <w:r>
        <w:t xml:space="preserve">. </w:t>
      </w:r>
    </w:p>
    <w:p w14:paraId="53C5C63B" w14:textId="77777777" w:rsidR="004852AA" w:rsidRDefault="004852AA" w:rsidP="00445F04"/>
    <w:p w14:paraId="1DC966EC" w14:textId="2B83928F" w:rsidR="006922A9" w:rsidRDefault="006922A9" w:rsidP="006922A9">
      <w:pPr>
        <w:pStyle w:val="3"/>
      </w:pPr>
      <w:bookmarkStart w:id="21" w:name="_Toc75939819"/>
      <w:r>
        <w:t xml:space="preserve">1.1.7 </w:t>
      </w:r>
      <w:r w:rsidR="00077E88" w:rsidRPr="00077E88">
        <w:t>Remotely Sensed Soil Moisture Estimations</w:t>
      </w:r>
      <w:bookmarkEnd w:id="21"/>
    </w:p>
    <w:p w14:paraId="649A6D93" w14:textId="77777777" w:rsidR="00F90A21" w:rsidRDefault="00CB5CE6" w:rsidP="00F90A21">
      <w:r>
        <w:t>R</w:t>
      </w:r>
      <w:r w:rsidR="00A77312">
        <w:t xml:space="preserve">emote sensing soil moisture products from various sensors (e.g., microwave, optical and thermal sensors) provide global-scale soil moisture measurements but with limited spatial and temporal resolutions </w:t>
      </w:r>
      <w:r w:rsidR="00A77312">
        <w:fldChar w:fldCharType="begin"/>
      </w:r>
      <w:r w:rsidR="00A77312">
        <w:instrText xml:space="preserve"> ADDIN ZOTERO_ITEM CSL_CITATION {"citationID":"d7kyHXxx","properties":{"formattedCitation":"(Brocca et al., 2017)","plainCitation":"(Brocca et al., 2017)","noteIndex":0},"citationItems":[{"id":147,"uris":["http://zotero.org/users/7782726/items/WSSSIQXW"],"uri":["http://zotero.org/users/7782726/items/WSSSIQXW"],"itemData":{"id":147,"type":"article-journal","abstract":"Remote sensing of soil moisture has reached a level of good maturity and accuracy for which the retrieved products are ready to use in real-world applications. Due to the importance of soil moisture in the partitioning of the water and energy fluxes between the land surface and the atmosphere, a wide range of applications can benefit from the availability of satellite soil moisture products. Specifically, the Advanced SCATterometer (ASCAT) on board the series of Meteorological Operational (Metop) satellites is providing a near real time (and long-term, 9+ years starting from January 2007) soil moisture product, with a nearly daily (sub-daily after the launch of Metop-B) revisit time and a spatial sampling of 12.5 and 25 km. This study first performs a review of the climatic, meteorological, and hydrological studies that use satellite soil moisture products for a better understanding of the water and energy cycle. Specifically, applications that consider satellite soil moisture product for improving their predictions are analyzed and discussed. Moreover, four real examples are shown in which ASCAT soil moisture observations have been successfully applied toward: 1) numerical weather prediction, 2) rainfall estimation, 3) flood forecasting, and 4) drought monitoring and prediction. Finally, the strengths and limitations of ASCAT soil moisture products and the way forward for fully exploiting these data in real-world applications are discussed.","container-title":"IEEE Journal of Selected Topics in Applied Earth Observations and Remote Sensing","DOI":"10.1109/JSTARS.2017.2651140","ISSN":"2151-1535","issue":"5","note":"event: IEEE Journal of Selected Topics in Applied Earth Observations and Remote Sensing","page":"2285-2306","source":"IEEE Xplore","title":"A Review of the Applications of ASCAT Soil Moisture Products","volume":"10","author":[{"family":"Brocca","given":"Luca"},{"family":"Crow","given":"Wade T."},{"family":"Ciabatta","given":"Luca"},{"family":"Massari","given":"Christian"},{"family":"Rosnay","given":"Patricia","non-dropping-particle":"de"},{"family":"Enenkel","given":"Markus"},{"family":"Hahn","given":"Sebastian"},{"family":"Amarnath","given":"Giriraj"},{"family":"Camici","given":"Stefania"},{"family":"Tarpanelli","given":"Angelica"},{"family":"Wagner","given":"Wolfgang"}],"issued":{"date-parts":[["2017",5]]}}}],"schema":"https://github.com/citation-style-language/schema/raw/master/csl-citation.json"} </w:instrText>
      </w:r>
      <w:r w:rsidR="00A77312">
        <w:fldChar w:fldCharType="separate"/>
      </w:r>
      <w:r w:rsidR="00A77312" w:rsidRPr="00FF41D0">
        <w:t>(Brocca et al., 2017)</w:t>
      </w:r>
      <w:r w:rsidR="00A77312">
        <w:fldChar w:fldCharType="end"/>
      </w:r>
      <w:r w:rsidR="00A77312">
        <w:t xml:space="preserve">. Microwave remote sensing techniques have gained momentum over the past 20 years with their advantages in the retrieval of soil moisture </w:t>
      </w:r>
      <w:r w:rsidR="00A77312">
        <w:fldChar w:fldCharType="begin"/>
      </w:r>
      <w:r w:rsidR="00A77312">
        <w:instrText xml:space="preserve"> ADDIN ZOTERO_ITEM CSL_CITATION {"citationID":"ZwFMcITi","properties":{"formattedCitation":"(Mohanty et al., 2017)","plainCitation":"(Mohanty et al., 2017)","noteIndex":0},"citationItems":[{"id":149,"uris":["http://zotero.org/users/7782726/items/ZG7ZG5QK"],"uri":["http://zotero.org/users/7782726/items/ZG7ZG5QK"],"itemData":{"id":149,"type":"article-journal","abstract":"Core Ideas Satellites, particularly at L-band frequency, can globally map near-surface soil moisture. Near-surface moisture is extended to the root zone using models and data assimilation. Validation uses core monitoring sites, monitoring networks, field campaigns, and multi-satellite comparisons. Efforts are underway to associate soil moisture variability dynamics with land surface attributes. This is an update to the special section “Remote Sensing for Vadose Zone Hydrology—A Synthesis from the Vantage Point” [Vadose Zone Journal 12(3)]. Satellites (e.g., Soil Moisture Active Passive [SMAP] and Soil Moisture and Ocean Salinity [SMOS]) using passive microwave techniques, in particular at L-band frequency, have shown good promise for global mapping of near-surface (0–5-cm) soil moisture at a spatial resolution of 25 to 40 km and temporal resolution of 2 to 3 d. C- and X-band soil moisture records date back to 1978, making available an invaluable data set for long-term climate research. Near-surface soil moisture is further extended to the root zone (top 1 m) using process-based models and data assimilation schemes. Validation of remotely sensed soil moisture products has been ongoing using core monitoring sites, sparse monitoring networks, intensive field campaigns, as well as multi-satellite comparison studies. To transfer empirical observations across space and time scales and to develop improved retrieval algorithms at various resolutions, several efforts are underway to associate soil moisture variability dynamics with land surface attributes in various energy- and water-rich environments. We describe the most recent scientific and technological advances in soil moisture remote sensing. We anticipate that remotely sensed soil moisture will find many applications in vadose zone hydrology in the coming decades.","container-title":"Vadose Zone Journal","DOI":"https://doi.org/10.2136/vzj2016.10.0105","ISSN":"1539-1663","issue":"1","language":"en","note":"_eprint: https://acsess.onlinelibrary.wiley.com/doi/pdf/10.2136/vzj2016.10.0105","page":"vzj2016.10.0105","source":"Wiley Online Library","title":"Soil Moisture Remote Sensing: State-of-the-Science","title-short":"Soil Moisture Remote Sensing","volume":"16","author":[{"family":"Mohanty","given":"Binayak P."},{"family":"Cosh","given":"Michael H."},{"family":"Lakshmi","given":"Venkat"},{"family":"Montzka","given":"Carsten"}],"issued":{"date-parts":[["2017"]]}}}],"schema":"https://github.com/citation-style-language/schema/raw/master/csl-citation.json"} </w:instrText>
      </w:r>
      <w:r w:rsidR="00A77312">
        <w:fldChar w:fldCharType="separate"/>
      </w:r>
      <w:r w:rsidR="00A77312" w:rsidRPr="00D855D0">
        <w:t>(Mohanty et al., 2017)</w:t>
      </w:r>
      <w:r w:rsidR="00A77312">
        <w:fldChar w:fldCharType="end"/>
      </w:r>
      <w:r w:rsidR="00A77312">
        <w:t>. These techniques can be categorized into two groups: active and passive microwave remote sensing. Active microwave sensors generate a series of microwave pulses which are sent to the object they observe and then they receive radiation that is reflected or backscattered from that object. Passive microwave sensors measure the thermal radiation emission from the land surface instead of sending and receiving microwave pulses</w:t>
      </w:r>
      <w:r w:rsidR="008B087A">
        <w:t xml:space="preserve"> </w:t>
      </w:r>
      <w:r w:rsidR="008B087A">
        <w:fldChar w:fldCharType="begin"/>
      </w:r>
      <w:r w:rsidR="008B087A">
        <w:instrText xml:space="preserve"> ADDIN ZOTERO_ITEM CSL_CITATION {"citationID":"vy52tNzI","properties":{"formattedCitation":"(Jackson et al., 1996)","plainCitation":"(Jackson et al., 1996)","noteIndex":0},"citationItems":[{"id":334,"uris":["http://zotero.org/users/7782726/items/EY8K5NBY"],"uri":["http://zotero.org/users/7782726/items/EY8K5NBY"],"itemData":{"id":334,"type":"article-journal","container-title":"Hydrological Sciences Journal","issue":"4","note":"ISBN: 0262-6667\npublisher: Taylor &amp; Francis","page":"517-530","title":"Remote sensing applications to hydrology: soil moisture","volume":"41","author":[{"family":"Jackson","given":"Thomas J."},{"family":"Schmugge","given":"J."},{"family":"Engman","given":"E. T."}],"issued":{"date-parts":[["1996"]]}}}],"schema":"https://github.com/citation-style-language/schema/raw/master/csl-citation.json"} </w:instrText>
      </w:r>
      <w:r w:rsidR="008B087A">
        <w:fldChar w:fldCharType="separate"/>
      </w:r>
      <w:r w:rsidR="008B087A" w:rsidRPr="008B087A">
        <w:t>(Jackson et al., 1996)</w:t>
      </w:r>
      <w:r w:rsidR="008B087A">
        <w:fldChar w:fldCharType="end"/>
      </w:r>
      <w:r w:rsidR="00A77312">
        <w:t xml:space="preserve">. Active microwave remote sensing measurements monitor soil moisture at spatial resolutions that range from tens of meters to a few kilometers. However, their low temporal resolution due to narrow operation swaths and long revisit time suppress their application in global soil moisture measurements. Passive microwave remote sensing measurements have higher temporal resolution, but also have much more coarse satellite footprints than that of active remote sensing systems. Therefore, it is difficult to use in-situ networks to validate satellite-based estimates due to the scale </w:t>
      </w:r>
      <w:r w:rsidR="00A77312">
        <w:lastRenderedPageBreak/>
        <w:t xml:space="preserve">mismatch between the two. In addition, all microwave remote sensing soil moisture measurements using C, X and L bands only measure soil moisture in the top five cm (or less) of the soil under low to moderate vegetation cover condition </w:t>
      </w:r>
      <w:r w:rsidR="00A77312">
        <w:fldChar w:fldCharType="begin"/>
      </w:r>
      <w:r w:rsidR="00A77312">
        <w:instrText xml:space="preserve"> ADDIN ZOTERO_ITEM CSL_CITATION {"citationID":"M8ZYAX0C","properties":{"formattedCitation":"(Entekhabi et al., 2014)","plainCitation":"(Entekhabi et al., 2014)","noteIndex":0},"citationItems":[{"id":155,"uris":["http://zotero.org/users/7782726/items/JUDVIJHB"],"uri":["http://zotero.org/users/7782726/items/JUDVIJHB"],"itemData":{"id":155,"type":"article-journal","note":"publisher: JPL publication 400-1567; https://www. google. com/url? sa= t&amp;rct= j&amp;q …","title":"SMAP handbook","author":[{"family":"Entekhabi","given":"Dara"},{"family":"Yueh","given":"Simon"},{"family":"De Lannoy","given":"Gabrielle"}],"issued":{"date-parts":[["2014"]]}}}],"schema":"https://github.com/citation-style-language/schema/raw/master/csl-citation.json"} </w:instrText>
      </w:r>
      <w:r w:rsidR="00A77312">
        <w:fldChar w:fldCharType="separate"/>
      </w:r>
      <w:r w:rsidR="00A77312" w:rsidRPr="005136C2">
        <w:t>(Entekhabi et al., 2014)</w:t>
      </w:r>
      <w:r w:rsidR="00A77312">
        <w:fldChar w:fldCharType="end"/>
      </w:r>
      <w:r w:rsidR="00A77312">
        <w:t xml:space="preserve">. </w:t>
      </w:r>
    </w:p>
    <w:p w14:paraId="100A0BC7" w14:textId="3D258CE1" w:rsidR="008B087A" w:rsidRDefault="00E9463D" w:rsidP="00F90A21">
      <w:pPr>
        <w:pStyle w:val="3"/>
      </w:pPr>
      <w:bookmarkStart w:id="22" w:name="_Toc75939820"/>
      <w:r>
        <w:t>1.1.8 Soil Moisture Measurements in Oklahoma</w:t>
      </w:r>
      <w:bookmarkEnd w:id="22"/>
    </w:p>
    <w:p w14:paraId="00299441" w14:textId="0D68DF9D" w:rsidR="00E9463D" w:rsidRPr="00E258A4" w:rsidRDefault="00864195" w:rsidP="00E258A4">
      <w:pPr>
        <w:rPr>
          <w:rFonts w:eastAsia="Times New Roman"/>
          <w:lang w:bidi="ar-SA"/>
        </w:rPr>
      </w:pPr>
      <w:r w:rsidRPr="00864195">
        <w:rPr>
          <w:lang w:bidi="ar-SA"/>
        </w:rPr>
        <w:t>There are several large-scale soil moisture networks designed for monitoring soil moisture at large spatio-temporal scales operating within the United States, including the various state Mesonets, the Atmospheric Radiation Measurement Southern Great Plains site (ARM-SGP), and the Soil Climate Analysis Network</w:t>
      </w:r>
      <w:r>
        <w:rPr>
          <w:lang w:bidi="ar-SA"/>
        </w:rPr>
        <w:t xml:space="preserve"> </w:t>
      </w:r>
      <w:r>
        <w:rPr>
          <w:lang w:bidi="ar-SA"/>
        </w:rPr>
        <w:fldChar w:fldCharType="begin"/>
      </w:r>
      <w:r>
        <w:rPr>
          <w:lang w:bidi="ar-SA"/>
        </w:rPr>
        <w:instrText xml:space="preserve"> ADDIN ZOTERO_ITEM CSL_CITATION {"citationID":"rYJWO5JW","properties":{"formattedCitation":"(Crow et al., 2012)","plainCitation":"(Crow et al., 2012)","noteIndex":0},"citationItems":[{"id":56,"uris":["http://zotero.org/users/7782726/items/IRNEVBSW"],"uri":["http://zotero.org/users/7782726/items/IRNEVBSW"],"itemData":{"id":56,"type":"article-journal","abstract":"The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P."}],"accessed":{"date-parts":[["2021",5,25]]},"issued":{"date-parts":[["2012"]]}}}],"schema":"https://github.com/citation-style-language/schema/raw/master/csl-citation.json"} </w:instrText>
      </w:r>
      <w:r>
        <w:rPr>
          <w:lang w:bidi="ar-SA"/>
        </w:rPr>
        <w:fldChar w:fldCharType="separate"/>
      </w:r>
      <w:r w:rsidRPr="00864195">
        <w:t>(Crow et al., 2012)</w:t>
      </w:r>
      <w:r>
        <w:rPr>
          <w:lang w:bidi="ar-SA"/>
        </w:rPr>
        <w:fldChar w:fldCharType="end"/>
      </w:r>
      <w:r w:rsidRPr="00864195">
        <w:rPr>
          <w:lang w:bidi="ar-SA"/>
        </w:rPr>
        <w:t xml:space="preserve">. </w:t>
      </w:r>
      <w:r w:rsidR="00C70ADF" w:rsidRPr="00C70ADF">
        <w:rPr>
          <w:rFonts w:eastAsia="Times New Roman"/>
          <w:spacing w:val="-2"/>
          <w:lang w:bidi="ar-SA"/>
        </w:rPr>
        <w:t>Established in January 1994, the Oklahoma Mesonet is a multipurpose network operating more than 110 automated stations with at least one station in each of Oklahoma’s 77 counties</w:t>
      </w:r>
      <w:r w:rsidR="00C70ADF">
        <w:rPr>
          <w:rFonts w:eastAsia="Times New Roman"/>
          <w:spacing w:val="-2"/>
          <w:lang w:bidi="ar-SA"/>
        </w:rPr>
        <w:t xml:space="preserve"> </w:t>
      </w:r>
      <w:r w:rsidR="00C70ADF">
        <w:rPr>
          <w:rFonts w:eastAsia="Times New Roman"/>
          <w:spacing w:val="-2"/>
          <w:lang w:bidi="ar-SA"/>
        </w:rPr>
        <w:fldChar w:fldCharType="begin"/>
      </w:r>
      <w:r w:rsidR="00C70ADF">
        <w:rPr>
          <w:rFonts w:eastAsia="Times New Roman"/>
          <w:spacing w:val="-2"/>
          <w:lang w:bidi="ar-SA"/>
        </w:rPr>
        <w:instrText xml:space="preserve"> ADDIN ZOTERO_ITEM CSL_CITATION {"citationID":"Pos9mFRB","properties":{"formattedCitation":"(Brock et al., 1995; McPherson et al., 2007)","plainCitation":"(Brock et al., 1995; McPherson et al., 2007)","noteIndex":0},"citationItems":[{"id":17,"uris":["http://zotero.org/users/7782726/items/42KGE6UN"],"uri":["http://zotero.org/users/7782726/items/42KGE6UN"],"itemData":{"id":17,"type":"article-journal","abstract":"&lt;section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rsidR="00C70ADF">
        <w:rPr>
          <w:rFonts w:eastAsia="Times New Roman"/>
          <w:spacing w:val="-2"/>
          <w:lang w:bidi="ar-SA"/>
        </w:rPr>
        <w:fldChar w:fldCharType="separate"/>
      </w:r>
      <w:r w:rsidR="00C70ADF" w:rsidRPr="00C70ADF">
        <w:t>(Brock et al., 1995; McPherson et al., 2007)</w:t>
      </w:r>
      <w:r w:rsidR="00C70ADF">
        <w:rPr>
          <w:rFonts w:eastAsia="Times New Roman"/>
          <w:spacing w:val="-2"/>
          <w:lang w:bidi="ar-SA"/>
        </w:rPr>
        <w:fldChar w:fldCharType="end"/>
      </w:r>
      <w:r w:rsidR="00C70ADF" w:rsidRPr="00C70ADF">
        <w:rPr>
          <w:rFonts w:eastAsia="Times New Roman"/>
          <w:spacing w:val="-2"/>
          <w:lang w:bidi="ar-SA"/>
        </w:rPr>
        <w:t xml:space="preserve">. Quality-assured data including temperature, humidity, solar radiation, wind speed and direction, and soil moisture are available through an operations center located at the Oklahoma Climatological Survey (OCS). Soil moisture data are collected every 30 min by soil moisture sensors at each site at four different depths (5, 25, 60, and 75 cm below the surface) </w:t>
      </w:r>
      <w:r w:rsidR="00C70ADF" w:rsidRPr="00C70ADF">
        <w:rPr>
          <w:rFonts w:eastAsia="Times New Roman"/>
          <w:spacing w:val="-2"/>
          <w:lang w:bidi="ar-SA"/>
        </w:rPr>
        <w:fldChar w:fldCharType="begin"/>
      </w:r>
      <w:r w:rsidR="00C70ADF">
        <w:rPr>
          <w:rFonts w:eastAsia="Times New Roman"/>
          <w:spacing w:val="-2"/>
          <w:lang w:bidi="ar-SA"/>
        </w:rPr>
        <w:instrText xml:space="preserve"> ADDIN ZOTERO_ITEM CSL_CITATION {"citationID":"MGkZpTg2","properties":{"formattedCitation":"(Illston et al., 2008)","plainCitation":"(Illston et al., 2008)","noteIndex":0},"citationItems":[{"id":193,"uris":["http://zotero.org/users/7782726/items/VNJR8K7G"],"uri":["http://zotero.org/users/7782726/items/VNJR8K7G"],"itemData":{"id":193,"type":"article-journal","abstract":"&lt;section class=\"abstract\"&gt;&lt;h2 class=\"abstractTitle text-title my-1\" id=\"d155138061e110\"&gt;Abstract&lt;/h2&gt;&lt;p&gt;Soil moisture is an important component in many hydrologic and land–atmosphere interactions. Understanding the spatial and temporal nature of soil moisture on the mesoscale is vital to determine the influence that land surface processes have on the atmosphere. Recognizing the need for improved in situ soil moisture measurements, the Oklahoma Mesonet, an automated network of 116 remote meteorological stations across Oklahoma, installed Campbell Scientific 229-L devices to measure soil moisture conditions. Herein, background information on the soil moisture measurements, the technical design of the soil moisture network embedded within the Oklahoma Mesonet, and the quality assurance (QA) techniques applied to the observations are provided. This project also demonstrated the importance of operational QA regarding the data collected, whereby the percentage of observations that passed the QA procedures increased significantly once daily QA was applied.&lt;/p&gt;&lt;/section&gt;","container-title":"Journal of Atmospheric and Oceanic Technology","DOI":"10.1175/2007JTECHA993.1","ISSN":"0739-0572, 1520-0426","issue":"2","language":"EN","note":"publisher: American Meteorological Society\nsection: Journal of Atmospheric and Oceanic Technology","page":"167-182","source":"journals.ametsoc.org","title":"Mesoscale Monitoring of Soil Moisture across a Statewide Network","volume":"25","author":[{"family":"Illston","given":"Bradley G."},{"family":"Basara","given":"Jeffrey B."},{"family":"Fiebrich","given":"Christopher A."},{"family":"Crawford","given":"Kenneth C."},{"family":"Hunt","given":"Eric"},{"family":"Fisher","given":"Daniel K."},{"family":"Elliott","given":"Ronald"},{"family":"Humes","given":"Karen"}],"issued":{"date-parts":[["2008",2,1]]}}}],"schema":"https://github.com/citation-style-language/schema/raw/master/csl-citation.json"} </w:instrText>
      </w:r>
      <w:r w:rsidR="00C70ADF" w:rsidRPr="00C70ADF">
        <w:rPr>
          <w:rFonts w:eastAsia="Times New Roman"/>
          <w:spacing w:val="-2"/>
          <w:lang w:bidi="ar-SA"/>
        </w:rPr>
        <w:fldChar w:fldCharType="separate"/>
      </w:r>
      <w:r w:rsidR="00C70ADF" w:rsidRPr="00C70ADF">
        <w:rPr>
          <w:lang w:bidi="ar-SA"/>
        </w:rPr>
        <w:t>(Illston et al., 2008)</w:t>
      </w:r>
      <w:r w:rsidR="00C70ADF" w:rsidRPr="00C70ADF">
        <w:rPr>
          <w:rFonts w:eastAsia="Times New Roman"/>
          <w:spacing w:val="-2"/>
          <w:lang w:bidi="ar-SA"/>
        </w:rPr>
        <w:fldChar w:fldCharType="end"/>
      </w:r>
      <w:r w:rsidR="00C70ADF" w:rsidRPr="00C70ADF">
        <w:rPr>
          <w:rFonts w:eastAsia="Times New Roman"/>
          <w:spacing w:val="-2"/>
          <w:lang w:bidi="ar-SA"/>
        </w:rPr>
        <w:t>.</w:t>
      </w:r>
      <w:r w:rsidR="00C70ADF">
        <w:rPr>
          <w:rFonts w:eastAsia="Times New Roman"/>
          <w:spacing w:val="-2"/>
          <w:lang w:bidi="ar-SA"/>
        </w:rPr>
        <w:t xml:space="preserve"> </w:t>
      </w:r>
      <w:r w:rsidR="00FC5B0E">
        <w:rPr>
          <w:rFonts w:eastAsia="Times New Roman"/>
          <w:spacing w:val="-2"/>
          <w:lang w:bidi="ar-SA"/>
        </w:rPr>
        <w:t>The Oklahoma Mesonet has been widely used</w:t>
      </w:r>
      <w:r w:rsidR="00FC5B0E" w:rsidRPr="00FC5B0E">
        <w:rPr>
          <w:rFonts w:eastAsia="Times New Roman"/>
          <w:spacing w:val="-2"/>
          <w:lang w:bidi="ar-SA"/>
        </w:rPr>
        <w:t xml:space="preserve"> for validating and calibrating remote sensing and land surface model-based soil moisture retrievals</w:t>
      </w:r>
      <w:r w:rsidR="009E399A">
        <w:rPr>
          <w:rFonts w:eastAsia="Times New Roman"/>
          <w:spacing w:val="-2"/>
          <w:lang w:bidi="ar-SA"/>
        </w:rPr>
        <w:t xml:space="preserve"> </w:t>
      </w:r>
      <w:r w:rsidR="009E399A">
        <w:rPr>
          <w:rFonts w:eastAsia="Times New Roman"/>
          <w:spacing w:val="-2"/>
          <w:lang w:bidi="ar-SA"/>
        </w:rPr>
        <w:fldChar w:fldCharType="begin"/>
      </w:r>
      <w:r w:rsidR="003844DE">
        <w:rPr>
          <w:rFonts w:eastAsia="Times New Roman"/>
          <w:spacing w:val="-2"/>
          <w:lang w:bidi="ar-SA"/>
        </w:rPr>
        <w:instrText xml:space="preserve"> ADDIN ZOTERO_ITEM CSL_CITATION {"citationID":"Aexq8wDd","properties":{"formattedCitation":"(Ford &amp; Quiring, 2019; Gao et al., 2006; Swenson et al., 2008; Xia et al., 2014; Xu et al., 2021)","plainCitation":"(Ford &amp; Quiring, 2019; Gao et al., 2006; Swenson et al., 2008; Xia et al., 2014; Xu et al., 2021)","noteIndex":0},"citationItems":[{"id":338,"uris":["http://zotero.org/users/7782726/items/FWZRLY72"],"uri":["http://zotero.org/users/7782726/items/FWZRLY72"],"itemData":{"id":338,"type":"article-journal","abstract":"Soil moisture is a key drought indicator; however, current in situ soil moisture infrastructure is inadequate for large-scale drought monitoring. One initiative of the ongoing National Soil Moisture Network program is the development of a near real-time drought monitoring product that integrates in situ, model, and satellite remote sensing data. Data integration from diverse sources requires large-scale validation prior to integration. This study develops a framework for assessing the fidelity of in situ, model, and satellite soil moisture data sets. Here we evaluate data from over 100 in situ monitoring stations that are part of nine monitoring networks; North American Land Data Assimilation System Phase 2 and Climate Prediction Center land surface models; and Soil Moisture Active-Passive, Soil Moisture and Ocean Salinity, and European Space Agency-Climate Change Initiative (ESA-CCI) satellite products. The results indicate the majority of in situ stations exhibit low error variance and are spatially representative; however, some networks and individual stations exhibit anomalously high error variance or are sited in a way that make them not spatially representative of a larger area. Overall, North American Land Data Assimilation System Phase 2 is the modeled product that consistently performed best, and Soil Moisture Active-Passive L3 is the remotely sensed product that consistently performed the best. They were able to both capture in situ soil moisture variability and provide an accurate depiction of drought conditions. The methods and verification framework applied in this study can be used to evaluate any soil moisture data set in any region of the world.","container-title":"Water Resources Research","DOI":"10.1029/2018WR024039","ISSN":"1944-7973","issue":"2","language":"en","note":"_eprint: https://agupubs.onlinelibrary.wiley.com/doi/pdf/10.1029/2018WR024039","page":"1565-1582","source":"Wiley Online Library","title":"Comparison of Contemporary In Situ, Model, and Satellite Remote Sensing Soil Moisture With a Focus on Drought Monitoring","volume":"55","author":[{"family":"Ford","given":"Trent W."},{"family":"Quiring","given":"Steven M."}],"issued":{"date-parts":[["2019"]]}}},{"id":341,"uris":["http://zotero.org/users/7782726/items/KV23B9DE"],"uri":["http://zotero.org/users/7782726/items/KV23B9DE"],"itemData":{"id":341,"type":"article-journal","abstract":"&lt;section class=\"abstract\"&gt;&lt;h2 class=\"abstractTitle text-title my-1\" id=\"d8515184e84\"&gt;Abstract&lt;/h2&gt;&lt;p&gt;Passive microwave remote sensing has been recognized as a potential method for measuring soil moisture. Combined with field observations and hydrological modeling brightness temperatures can be used to infer soil moisture states and fluxes in real time at large scales. However, operationally acquiring reliable soil moisture products from satellite observations has been hindered by three limitations: suitable low-frequency passive radiometric sensors that are sensitive to soil moisture and its changes; a retrieval model (parameterization) that provides operational estimates of soil moisture from top-of-atmosphere (TOA) microwave brightness temperature measurements at continental scales; and suitable, large-scale validation datasets. In this paper, soil moisture is retrieved across the southern United States using measurements from the Tropical Rainfall Measuring Mission (TRMM) Microwave Imager (TMI) X-band (10.65 GHz) radiometer with a land surface microwave emission model (LSMEM) developed by the authors. Surface temperatures required for the retrieval algorithm were obtained from the Variable Infiltration Capacity (VIC) hydrological model using North American Land Data Assimilation System (NLDAS) forcing data. Because of the limited information content on soil moisture in the observed brightness temperatures over regions characterized by heavy vegetation, active precipitation, snow, and frozen ground, quality control flags for the retrieved soil moisture are provided. The resulting retrieved soil moisture database will be available through the NASA Goddard Space Flight Center (GSFC) Distributed Active Archive Center (DAAC) at a 1/8° spatial resolution across the southern United States for the 5-yr period of January 1998 through December 2002. Initial comparisons with in situ observations obtained from the Oklahoma Mesonet resulted in seasonal correlation coefficients exceeding 0.7 for half of the time covered by the dataset. The dynamic range of the satellite-derived soil moisture dataset is considerably higher compared to the in situ data. The spatial pattern of the TMI soil moisture product is consistent with the corresponding precipitation fields.&lt;/p&gt;&lt;/section&gt;","container-title":"Journal of Hydrometeorology","DOI":"10.1175/JHM473.1","ISSN":"1525-7541, 1525-755X","issue":"1","language":"EN","note":"publisher: American Meteorological Society\nsection: Journal of Hydrometeorology","page":"23-38","source":"journals.ametsoc.org","title":"Using TRMM/TMI to Retrieve Surface Soil Moisture over the Southern United States from 1998 to 2002","volume":"7","author":[{"family":"Gao","given":"H."},{"family":"Wood","given":"E. F."},{"family":"Jackson","given":"T. J."},{"family":"Drusch","given":"M."},{"family":"Bindlish","given":"R."}],"issued":{"date-parts":[["2006",2,1]]}}},{"id":335,"uris":["http://zotero.org/users/7782726/items/BZBLGNDA"],"uri":["http://zotero.org/users/7782726/items/BZBLGNDA"],"itemData":{"id":335,"type":"article-journal","abstract":"In this study we estimate a time series of regional groundwater anomalies by combining terrestrial water storage estimates from the Gravity Recovery and Climate Experiment (GRACE) satellite mission with in situ soil moisture observations from the Oklahoma Mesonet. Using supplementary data from the Department of Energy's Atmospheric Radiation Measurement (DOE ARM) network, we develop an empirical scaling factor with which to relate the soil moisture variability in the top 75 cm sampled by the Mesonet sites to the total variability in the upper 4 m of the unsaturated zone. By subtracting this estimate of the full unsaturated zone soil moisture anomalies, we arrive at a time series of groundwater anomalies, spatially averaged over a region approximately 280,000 km2 in area. Results are compared to observed well level data from a larger surrounding region, and show consistent phase and relative inter-annual variability.","container-title":"Water Resources Research","DOI":"10.1029/2007WR006057","ISSN":"1944-7973","issue":"1","language":"en","note":"_eprint: https://agupubs.onlinelibrary.wiley.com/doi/pdf/10.1029/2007WR006057","source":"Wiley Online Library","title":"Estimating profile soil moisture and groundwater variations using GRACE and Oklahoma Mesonet soil moisture data","URL":"https://agupubs.onlinelibrary.wiley.com/doi/abs/10.1029/2007WR006057","volume":"44","author":[{"family":"Swenson","given":"Sean"},{"family":"Famiglietti","given":"James"},{"family":"Basara","given":"Jeffrey"},{"family":"Wahr","given":"John"}],"accessed":{"date-parts":[["2021",6,29]]},"issued":{"date-parts":[["2008"]]}}},{"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F."}],"issued":{"date-parts":[["2014",5,6]]}}},{"id":160,"uris":["http://zotero.org/users/7782726/items/6P9U8FU8"],"uri":["http://zotero.org/users/7782726/items/6P9U8FU8"],"itemData":{"id":160,"type":"article-journal","container-title":"Remote Sensing of Environment","note":"ISBN: 0034-4257\npublisher: Elsevier","page":"112248","title":"In-situ and triple-collocation based evaluations of eight global root zone soil moisture products","volume":"254","author":[{"family":"Xu","given":"Lei"},{"family":"Chen","given":"Nengcheng"},{"family":"Zhang","given":"Xiang"},{"family":"Moradkhani","given":"Hamid"},{"family":"Zhang","given":"Chong"},{"family":"Hu","given":"Chuli"}],"issued":{"date-parts":[["2021"]]}}}],"schema":"https://github.com/citation-style-language/schema/raw/master/csl-citation.json"} </w:instrText>
      </w:r>
      <w:r w:rsidR="009E399A">
        <w:rPr>
          <w:rFonts w:eastAsia="Times New Roman"/>
          <w:spacing w:val="-2"/>
          <w:lang w:bidi="ar-SA"/>
        </w:rPr>
        <w:fldChar w:fldCharType="separate"/>
      </w:r>
      <w:r w:rsidR="003844DE" w:rsidRPr="003844DE">
        <w:t>(Ford &amp; Quiring, 2019; Gao et al., 2006; Swenson et al., 2008; Xia et al., 2014; Xu et al., 2021)</w:t>
      </w:r>
      <w:r w:rsidR="009E399A">
        <w:rPr>
          <w:rFonts w:eastAsia="Times New Roman"/>
          <w:spacing w:val="-2"/>
          <w:lang w:bidi="ar-SA"/>
        </w:rPr>
        <w:fldChar w:fldCharType="end"/>
      </w:r>
      <w:r w:rsidR="00FC5B0E">
        <w:rPr>
          <w:rFonts w:eastAsia="Times New Roman"/>
          <w:spacing w:val="-2"/>
          <w:lang w:bidi="ar-SA"/>
        </w:rPr>
        <w:t>.</w:t>
      </w:r>
      <w:r w:rsidR="009E399A">
        <w:rPr>
          <w:rFonts w:eastAsia="Times New Roman"/>
          <w:spacing w:val="-2"/>
          <w:lang w:bidi="ar-SA"/>
        </w:rPr>
        <w:t xml:space="preserve"> </w:t>
      </w:r>
      <w:r w:rsidR="002F1C88" w:rsidRPr="003013FA">
        <w:rPr>
          <w:lang w:bidi="ar-SA"/>
        </w:rPr>
        <w:t xml:space="preserve">However, since soil moisture variability generally increases with extent scale </w:t>
      </w:r>
      <w:r w:rsidR="002F1C88" w:rsidRPr="003013FA">
        <w:rPr>
          <w:lang w:bidi="ar-SA"/>
        </w:rPr>
        <w:fldChar w:fldCharType="begin"/>
      </w:r>
      <w:r w:rsidR="00E258A4">
        <w:rPr>
          <w:lang w:bidi="ar-SA"/>
        </w:rPr>
        <w:instrText xml:space="preserve"> ADDIN ZOTERO_ITEM CSL_CITATION {"citationID":"X20j768r","properties":{"formattedCitation":"(Famiglietti et al., 2008)","plainCitation":"(Famiglietti et al., 2008)","noteIndex":0},"citationItems":[{"id":50,"uris":["http://zotero.org/users/7782726/items/V85JKI9U"],"uri":["http://zotero.org/users/7782726/items/V85JKI9U"],"itemData":{"id":50,"type":"article-journal","abstract":"In this study, over 36,000 ground-based soil moisture measurements collected during the SGP97, SGP99, SMEX02, and SMEX03 field campaigns were analyzed to characterize the behavior of soil moisture variability across scales. The field campaigns were conducted in Oklahoma and Iowa in the central USA. The Oklahoma study region is sub-humid with moderately rolling topography, while the Iowa study region is humid with low-relief topography. The relationship of soil moisture standard deviation, skewness and the coefficient of variation versus mean moisture content was explored at six distinct extent scales, ranging from 2.5 m to 50 km. Results showed that variability generally increases with extent scale. The standard deviation increased from 0.036 cm3/cm3 at the 2.5-m scale to 0.071 cm3/cm3 at the 50-km scale. The log standard deviation of soil moisture increased linearly with the log extent scale, from 16 m to 1.6 km, indicative of fractal scaling. The soil moisture standard deviation versus mean moisture content exhibited a convex upward relationship at the 800-m and 50-km scales, with maximum values at mean moisture contents of roughly 0.17 cm3/cm3 and 0.19 cm3/cm3, respectively. An empirical model derived from the observed behavior of soil moisture variability was used to estimate uncertainty in the mean moisture content for a fixed number of samples at the 800-m and 50-km scales, as well as the number of ground-truth samples needed to achieve 0.05 cm3/cm3 and 0.03 cm3/cm3 accuracies. The empirical relationships can also be used to parameterize surface soil moisture variations in land surface and hydrological models across a range of scales. To our knowledge, this is the first study to document the behavior of soil moisture variability over this range of extent scales using ground-based measurements. Our results will contribute not only to efficient and reliable satellite validation, but also to better utilization of remotely sensed soil moisture products for enhanced modeling and prediction.","container-title":"Water Resources Research","DOI":"https://doi.org/10.1029/2006WR005804","ISSN":"1944-7973","issue":"1","language":"en","note":"_eprint: https://agupubs.onlinelibrary.wiley.com/doi/pdf/10.1029/2006WR005804","source":"Wiley Online Library","title":"Field observations of soil moisture variability across scales","URL":"https://agupubs.onlinelibrary.wiley.com/doi/abs/10.1029/2006WR005804","volume":"44","author":[{"family":"Famiglietti","given":"James S."},{"family":"Ryu","given":"Dongryeol"},{"family":"Berg","given":"Aaron A."},{"family":"Rodell","given":"Matthew"},{"family":"Jackson","given":"Thomas J."}],"accessed":{"date-parts":[["2021",5,25]]},"issued":{"date-parts":[["2008"]]}}}],"schema":"https://github.com/citation-style-language/schema/raw/master/csl-citation.json"} </w:instrText>
      </w:r>
      <w:r w:rsidR="002F1C88" w:rsidRPr="003013FA">
        <w:rPr>
          <w:lang w:bidi="ar-SA"/>
        </w:rPr>
        <w:fldChar w:fldCharType="separate"/>
      </w:r>
      <w:r w:rsidR="002F1C88" w:rsidRPr="0045317F">
        <w:rPr>
          <w:lang w:bidi="ar-SA"/>
        </w:rPr>
        <w:t>(Famiglietti et al., 2008)</w:t>
      </w:r>
      <w:r w:rsidR="002F1C88" w:rsidRPr="003013FA">
        <w:rPr>
          <w:lang w:bidi="ar-SA"/>
        </w:rPr>
        <w:fldChar w:fldCharType="end"/>
      </w:r>
      <w:r w:rsidR="002F1C88" w:rsidRPr="003013FA">
        <w:rPr>
          <w:lang w:bidi="ar-SA"/>
        </w:rPr>
        <w:t xml:space="preserve">, these point measurements are not able to provide spatial representativeness of neighboring areas over a range of scales </w:t>
      </w:r>
      <w:r w:rsidR="002F1C88" w:rsidRPr="003013FA">
        <w:rPr>
          <w:lang w:bidi="ar-SA"/>
        </w:rPr>
        <w:fldChar w:fldCharType="begin"/>
      </w:r>
      <w:r w:rsidR="00E258A4">
        <w:rPr>
          <w:lang w:bidi="ar-SA"/>
        </w:rPr>
        <w:instrText xml:space="preserve"> ADDIN ZOTERO_ITEM CSL_CITATION {"citationID":"U5cAPxsG","properties":{"formattedCitation":"(Crow et al., 2012; Ochsner et al., 2019; Peng et al., 2017)","plainCitation":"(Crow et al., 2012; Ochsner et al., 2019; Peng et al., 2017)","noteIndex":0},"citationItems":[{"id":53,"uris":["http://zotero.org/users/7782726/items/Y936GTI7"],"uri":["http://zotero.org/users/7782726/items/Y936GTI7"],"itemData":{"id":53,"type":"article-journal","abstract":"Satellite remote sensing technology has been widely used to estimate surface soil moisture. Numerous efforts have been devoted to develop global soil moisture products. However, these global soil moisture products, normally retrieved from microwave remote sensing data, are typically not suitable for regional hydrological and agricultural applications such as irrigation management and flood predictions, due to their coarse spatial resolution. Therefore, various downscaling methods have been proposed to improve the coarse resolution soil moisture products. The purpose of this paper is to review existing methods for downscaling satellite remotely sensed soil moisture. These methods are assessed and compared in terms of their advantages and limitations. This review also provides the accuracy level of these methods based on published validation studies. In the final part, problems and future trends associated with these methods are analyzed.","container-title":"Reviews of Geophysics","DOI":"https://doi.org/10.1002/2016RG000543","ISSN":"1944-9208","issue":"2","language":"en","note":"_eprint: https://agupubs.onlinelibrary.wiley.com/doi/pdf/10.1002/2016RG000543","page":"341-366","source":"Wiley Online Library","title":"A review of spatial downscaling of satellite remotely sensed soil moisture","volume":"55","author":[{"family":"Peng","given":"Jian"},{"family":"Loew","given":"Alexander"},{"family":"Merlin","given":"Olivier"},{"family":"Verhoest","given":"Niko E. C."}],"issued":{"date-parts":[["2017"]]}}},{"id":56,"uris":["http://zotero.org/users/7782726/items/IRNEVBSW"],"uri":["http://zotero.org/users/7782726/items/IRNEVBSW"],"itemData":{"id":56,"type":"article-journal","abstract":"The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 operation, this mapping system ha</w:instrText>
      </w:r>
      <w:r w:rsidR="00E258A4" w:rsidRPr="5E4FB5CC">
        <w:rPr>
          <w:lang w:bidi="ar-SA"/>
        </w:rPr>
        <w:instrText>s revealed complex, dynamic, and depth-specific mesoscale patterns, reflecting the shifting influences of both soil texture and precipitation, with a mean absolute error of ≤0.0576 cm3/cm3 across all three depths.","container-title":"Water Resources Resea</w:instrText>
      </w:r>
      <w:r w:rsidR="00E258A4">
        <w:rPr>
          <w:lang w:bidi="ar-SA"/>
        </w:rPr>
        <w:instrText xml:space="preserve">rch","DOI":"https://doi.org/10.1029/2018WR024535","ISSN":"1944-7973","issue":"6","language":"en","note":"_eprint: https://onlinelibrary.wiley.com/doi/pdf/10.1029/2018WR024535","page":"4785-4800","source":"Wiley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E."},{"family":"Linde","given":"Evan"},{"family":"Haffner","given":"Matthew"},{"family":"Dong","given":"Jingnuo"}],"issued":{"date-parts":[["2019"]]}}}],"schema":"https://github.com/citation-style-language/schema/raw/master/csl-citation.json"} </w:instrText>
      </w:r>
      <w:r w:rsidR="002F1C88" w:rsidRPr="003013FA">
        <w:rPr>
          <w:lang w:bidi="ar-SA"/>
        </w:rPr>
        <w:fldChar w:fldCharType="separate"/>
      </w:r>
      <w:r w:rsidR="002F1C88" w:rsidRPr="0045317F">
        <w:rPr>
          <w:lang w:bidi="ar-SA"/>
        </w:rPr>
        <w:t>(Crow et al., 2012; Ochsner et al., 2019; Peng et al., 2017)</w:t>
      </w:r>
      <w:r w:rsidR="002F1C88" w:rsidRPr="003013FA">
        <w:rPr>
          <w:lang w:bidi="ar-SA"/>
        </w:rPr>
        <w:fldChar w:fldCharType="end"/>
      </w:r>
      <w:r w:rsidR="002F1C88" w:rsidRPr="003013FA">
        <w:rPr>
          <w:lang w:bidi="ar-SA"/>
        </w:rPr>
        <w:t>.</w:t>
      </w:r>
      <w:r w:rsidR="002F1C88">
        <w:rPr>
          <w:lang w:bidi="ar-SA"/>
        </w:rPr>
        <w:t xml:space="preserve"> </w:t>
      </w:r>
      <w:r w:rsidR="00823681">
        <w:rPr>
          <w:lang w:bidi="ar-SA"/>
        </w:rPr>
        <w:t xml:space="preserve">Land surface models and remote sensing techniques </w:t>
      </w:r>
      <w:r w:rsidR="00823681">
        <w:t xml:space="preserve">can provide soil moisture estimates at large scales. </w:t>
      </w:r>
      <w:r w:rsidR="00823681">
        <w:rPr>
          <w:lang w:bidi="ar-SA"/>
        </w:rPr>
        <w:t xml:space="preserve">For example, </w:t>
      </w:r>
      <w:r w:rsidR="00361F35">
        <w:rPr>
          <w:rFonts w:eastAsia="Times New Roman"/>
          <w:lang w:bidi="ar-SA"/>
        </w:rPr>
        <w:t>t</w:t>
      </w:r>
      <w:r w:rsidR="00361F35" w:rsidRPr="00361F35">
        <w:rPr>
          <w:rFonts w:eastAsia="Times New Roman"/>
          <w:lang w:bidi="ar-SA"/>
        </w:rPr>
        <w:t>he Noah model of NLDAS-2</w:t>
      </w:r>
      <w:r w:rsidR="00361F35">
        <w:rPr>
          <w:rFonts w:eastAsia="Times New Roman"/>
          <w:lang w:bidi="ar-SA"/>
        </w:rPr>
        <w:t xml:space="preserve"> </w:t>
      </w:r>
      <w:r w:rsidR="00361F35" w:rsidRPr="00361F35">
        <w:rPr>
          <w:rFonts w:eastAsia="Times New Roman"/>
          <w:lang w:bidi="ar-SA"/>
        </w:rPr>
        <w:t>provides hourly soil moisture fields at 1/8° resolution from 1979 to present at four soil layers: 0–10, 10–40, 40–100, and 100–200 cm</w:t>
      </w:r>
      <w:r w:rsidR="00E258A4">
        <w:rPr>
          <w:rFonts w:eastAsia="Times New Roman"/>
          <w:lang w:bidi="ar-SA"/>
        </w:rPr>
        <w:t xml:space="preserve"> </w:t>
      </w:r>
      <w:r w:rsidR="00E258A4">
        <w:rPr>
          <w:rFonts w:eastAsia="Times New Roman"/>
          <w:lang w:bidi="ar-SA"/>
        </w:rPr>
        <w:fldChar w:fldCharType="begin"/>
      </w:r>
      <w:r w:rsidR="00E258A4">
        <w:rPr>
          <w:rFonts w:eastAsia="Times New Roman"/>
          <w:lang w:bidi="ar-SA"/>
        </w:rPr>
        <w:instrText xml:space="preserve"> ADDIN ZOTERO_ITEM CSL_CITATION {"citationID":"IRQAEMKH","properties":{"formattedCitation":"(Xia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00E258A4">
        <w:rPr>
          <w:rFonts w:eastAsia="Times New Roman"/>
          <w:lang w:bidi="ar-SA"/>
        </w:rPr>
        <w:fldChar w:fldCharType="separate"/>
      </w:r>
      <w:r w:rsidR="00E258A4" w:rsidRPr="00E258A4">
        <w:t>(Xia et al., 2014)</w:t>
      </w:r>
      <w:r w:rsidR="00E258A4">
        <w:rPr>
          <w:rFonts w:eastAsia="Times New Roman"/>
          <w:lang w:bidi="ar-SA"/>
        </w:rPr>
        <w:fldChar w:fldCharType="end"/>
      </w:r>
      <w:r w:rsidR="00361F35" w:rsidRPr="00361F35">
        <w:rPr>
          <w:rFonts w:eastAsia="Times New Roman"/>
          <w:lang w:bidi="ar-SA"/>
        </w:rPr>
        <w:t xml:space="preserve">. </w:t>
      </w:r>
      <w:r w:rsidR="00E258A4">
        <w:rPr>
          <w:rFonts w:eastAsia="Times New Roman"/>
          <w:lang w:bidi="ar-SA"/>
        </w:rPr>
        <w:t xml:space="preserve">SMOS and SMAP, </w:t>
      </w:r>
      <w:r w:rsidR="00E258A4" w:rsidRPr="00E258A4">
        <w:rPr>
          <w:rFonts w:eastAsia="Times New Roman"/>
          <w:lang w:bidi="ar-SA"/>
        </w:rPr>
        <w:t xml:space="preserve">which have spatial resolution of roughly </w:t>
      </w:r>
      <w:r w:rsidR="00E258A4" w:rsidRPr="00E258A4">
        <w:rPr>
          <w:rFonts w:eastAsia="Times New Roman"/>
          <w:lang w:bidi="ar-SA"/>
        </w:rPr>
        <w:lastRenderedPageBreak/>
        <w:t>25‐40 km</w:t>
      </w:r>
      <w:r w:rsidR="00E258A4">
        <w:rPr>
          <w:rFonts w:eastAsia="Times New Roman"/>
          <w:lang w:bidi="ar-SA"/>
        </w:rPr>
        <w:t>, can provide l</w:t>
      </w:r>
      <w:r w:rsidR="00E258A4" w:rsidRPr="00E258A4">
        <w:rPr>
          <w:rFonts w:eastAsia="Times New Roman"/>
          <w:lang w:bidi="ar-SA"/>
        </w:rPr>
        <w:t>arge‐scale spatial patterns in surface soil moisture with extents &gt;100 km</w:t>
      </w:r>
      <w:r w:rsidR="00883461">
        <w:rPr>
          <w:rFonts w:eastAsia="Times New Roman"/>
          <w:lang w:bidi="ar-SA"/>
        </w:rPr>
        <w:t xml:space="preserve"> </w:t>
      </w:r>
      <w:r w:rsidR="00883461">
        <w:rPr>
          <w:rFonts w:eastAsia="Times New Roman"/>
          <w:lang w:bidi="ar-SA"/>
        </w:rPr>
        <w:fldChar w:fldCharType="begin"/>
      </w:r>
      <w:r w:rsidR="00883461">
        <w:rPr>
          <w:rFonts w:eastAsia="Times New Roman"/>
          <w:lang w:bidi="ar-SA"/>
        </w:rPr>
        <w:instrText xml:space="preserve"> ADDIN ZOTERO_ITEM CSL_CITATION {"citationID":"wH1cOiP6","properties":{"formattedCitation":"(Mohanty et al., 2017; Ochsner et al., 2019)","plainCitation":"(Mohanty et al., 2017; Ochsner et al., 2019)","noteIndex":0},"citationItems":[{"id":149,"uris":["http://zotero.org/users/7782726/items/ZG7ZG5QK"],"uri":["http://zotero.org/users/7782726/items/ZG7ZG5QK"],"itemData":{"id":149,"type":"article-journal","abstract":"Core Ideas Satellites, particularly at L-band frequency, can globally map near-surface soil moisture. Near-surface moisture is extended to the root zone using models and data assimilation. Validation uses core monitoring sites, monitoring networks, field campaigns, and multi-satellite comparisons. Efforts are underway to associate soil moisture variability dynamics with land surface attributes. This is an update to the special section “Remote Sensing for Vadose Zone Hydrology—A Synthesis from the Vantage Point” [Vadose Zone Journal 12(3)]. Satellites (e.g., Soil Moisture Active Passive [SMAP] and Soil Moisture and Ocean Salinity [SMOS]) using passive microwave techniques, in particular at L-band frequency, have shown good promise for global mapping of near-surface (0–5-cm) soil moisture at a spatial resolution of 25 to 40 km and temporal resolution of 2 to 3 d. C- and X-band soil moisture records date back to 1978, making available an invaluable data set for long-term climate research. Near-surface soil moisture is further extended to the root zone (top 1 m) using process-based models and data assimilation schemes. Validation of remotely sensed soil moisture products has been ongoing using core monitoring sites, sparse monitoring networks, intensive field campaigns, as well as multi-satellite comparison studies. To transfer empirical observations across space and time scales and to develop improved retrieval algorithms at various resolutions, several efforts are underway to associate soil moisture variability dynamics with land surface attributes in various energy- and water-rich environments. We describe the most recent scientific and technological advances in soil moisture remote sensing. We anticipate that remotely sensed soil moisture will find many applications in vadose zone hydrology in the coming decades.","container-title":"Vadose Zone Journal","DOI":"https://doi.org/10.2136/vzj2016.10.0105","ISSN":"1539-1663","issue":"1","language":"en","note":"_eprint: https://acsess.onlinelibrary.wiley.com/doi/pdf/10.2136/vzj2016.10.0105","page":"vzj2016.10.0105","source":"Wiley Online Library","title":"Soil Moisture Remote Sensing: State-of-the-Science","title-short":"Soil Moisture Remote Sensing","volume":"16","author":[{"family":"Mohanty","given":"Binayak P."},{"family":"Cosh","given":"Michael H."},{"family":"Lakshmi","given":"Venkat"},{"family":"Montzka","given":"Carsten"}],"issued":{"date-parts":[["2017"]]}}},{"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 operation, this mapping system has revealed complex, dynamic, and depth-specific mesoscale patterns, reflecting the shifting influences of both soil texture and precipitation, with a mean absolute error of ≤0.0576 cm3/cm3 across all three depths.","container-title":"Water Resources Research","DOI":"https://doi.org/10.1029/2018WR024535","ISSN":"1944-7973","issue":"6","language":"en","note":"_eprint: https://onlinelibrary.wiley.com/doi/pdf/10.1029/2018WR024535","page":"4785-4800","source":"Wiley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E."},{"family":"Linde","given":"Evan"},{"family":"Haffner","given":"Matthew"},{"family":"Dong","given":"Jingnuo"}],"issued":{"date-parts":[["2019"]]}}}],"schema":"https://github.com/citation-style-language/schema/raw/master/csl-citation.json"} </w:instrText>
      </w:r>
      <w:r w:rsidR="00883461">
        <w:rPr>
          <w:rFonts w:eastAsia="Times New Roman"/>
          <w:lang w:bidi="ar-SA"/>
        </w:rPr>
        <w:fldChar w:fldCharType="separate"/>
      </w:r>
      <w:r w:rsidR="00883461" w:rsidRPr="00883461">
        <w:t>(Mohanty et al., 2017; Ochsner et al., 2019)</w:t>
      </w:r>
      <w:r w:rsidR="00883461">
        <w:rPr>
          <w:rFonts w:eastAsia="Times New Roman"/>
          <w:lang w:bidi="ar-SA"/>
        </w:rPr>
        <w:fldChar w:fldCharType="end"/>
      </w:r>
      <w:r w:rsidR="00E258A4">
        <w:rPr>
          <w:rFonts w:eastAsia="Times New Roman"/>
          <w:lang w:bidi="ar-SA"/>
        </w:rPr>
        <w:t xml:space="preserve">. </w:t>
      </w:r>
      <w:r w:rsidR="00DC4F30">
        <w:rPr>
          <w:rFonts w:eastAsia="Times New Roman"/>
          <w:lang w:bidi="ar-SA"/>
        </w:rPr>
        <w:t xml:space="preserve">However, </w:t>
      </w:r>
      <w:r w:rsidR="00DC4F30" w:rsidRPr="00E94A31">
        <w:t xml:space="preserve">the reliability of </w:t>
      </w:r>
      <w:r w:rsidR="00DC4F30">
        <w:t>these</w:t>
      </w:r>
      <w:r w:rsidR="00DC4F30" w:rsidRPr="00E94A31">
        <w:t xml:space="preserve"> soil moisture</w:t>
      </w:r>
      <w:r w:rsidR="00DC4F30">
        <w:t xml:space="preserve"> products</w:t>
      </w:r>
      <w:r w:rsidR="00DC4F30" w:rsidRPr="00E94A31">
        <w:t xml:space="preserve"> varies significantly from </w:t>
      </w:r>
      <w:r w:rsidR="00DC4F30">
        <w:t>one</w:t>
      </w:r>
      <w:r w:rsidR="00DC4F30" w:rsidRPr="00E94A31">
        <w:t xml:space="preserve"> to </w:t>
      </w:r>
      <w:r w:rsidR="00DC4F30">
        <w:t>one</w:t>
      </w:r>
      <w:r w:rsidR="00DC4F30" w:rsidRPr="00E94A31">
        <w:t>, and over time and space</w:t>
      </w:r>
      <w:r w:rsidR="008100BB">
        <w:t xml:space="preserve"> </w:t>
      </w:r>
      <w:r w:rsidR="008100BB">
        <w:fldChar w:fldCharType="begin"/>
      </w:r>
      <w:r w:rsidR="008100BB">
        <w:instrText xml:space="preserve"> ADDIN ZOTERO_ITEM CSL_CITATION {"citationID":"hi68snU9","properties":{"formattedCitation":"(Brocca et al., 2017)","plainCitation":"(Brocca et al., 2017)","noteIndex":0},"citationItems":[{"id":147,"uris":["http://zotero.org/users/7782726/items/WSSSIQXW"],"uri":["http://zotero.org/users/7782726/items/WSSSIQXW"],"itemData":{"id":147,"type":"article-journal","abstract":"Remote sensing of soil moisture has reached a level of good maturity and accuracy for which the retrieved products are ready to use in real-world applications. Due to the importance of soil moisture in the partitioning of the water and energy fluxes between the land surface and the atmosphere, a wide range of applications can benefit from the availability of satellite soil moisture products. Specifically, the Advanced SCATterometer (ASCAT) on board the series of Meteorological Operational (Metop) satellites is providing a near real time (and long-term, 9+ years starting from January 2007) soil moisture product, with a nearly daily (sub-daily after the launch of Metop-B) revisit time and a spatial sampling of 12.5 and 25 km. This study first performs a review of the climatic, meteorological, and hydrological studies that use satellite soil moisture products for a better understanding of the water and energy cycle. Specifically, applications that consider satellite soil moisture product for improving their predictions are analyzed and discussed. Moreover, four real examples are shown in which ASCAT soil moisture observations have been successfully applied toward: 1) numerical weather prediction, 2) rainfall estimation, 3) flood forecasting, and 4) drought monitoring and prediction. Finally, the strengths and limitations of ASCAT soil moisture products and the way forward for fully exploiting these data in real-world applications are discussed.","container-title":"IEEE Journal of Selected Topics in Applied Earth Observations and Remote Sensing","DOI":"10.1109/JSTARS.2017.2651140","ISSN":"2151-1535","issue":"5","note":"event: IEEE Journal of Selected Topics in Applied Earth Observations and Remote Sensing","page":"2285-2306","source":"IEEE Xplore","title":"A Review of the Applications of ASCAT Soil Moisture Products","volume":"10","author":[{"family":"Brocca","given":"Luca"},{"family":"Crow","given":"Wade T."},{"family":"Ciabatta","given":"Luca"},{"family":"Massari","given":"Christian"},{"family":"Rosnay","given":"Patricia","non-dropping-particle":"de"},{"family":"Enenkel","given":"Markus"},{"family":"Hahn","given":"Sebastian"},{"family":"Amarnath","given":"Giriraj"},{"family":"Camici","given":"Stefania"},{"family":"Tarpanelli","given":"Angelica"},{"family":"Wagner","given":"Wolfgang"}],"issued":{"date-parts":[["2017",5]]}}}],"schema":"https://github.com/citation-style-language/schema/raw/master/csl-citation.json"} </w:instrText>
      </w:r>
      <w:r w:rsidR="008100BB">
        <w:fldChar w:fldCharType="separate"/>
      </w:r>
      <w:r w:rsidR="008100BB" w:rsidRPr="008100BB">
        <w:t>(Brocca et al., 2017)</w:t>
      </w:r>
      <w:r w:rsidR="008100BB">
        <w:fldChar w:fldCharType="end"/>
      </w:r>
      <w:r w:rsidR="00DC4F30" w:rsidRPr="00E94A31">
        <w:t>.</w:t>
      </w:r>
      <w:r w:rsidR="00DC4F30">
        <w:t xml:space="preserve"> </w:t>
      </w:r>
      <w:r w:rsidR="00823681" w:rsidRPr="00823681">
        <w:rPr>
          <w:lang w:bidi="ar-SA"/>
        </w:rPr>
        <w:t>In summary, each source of soil moisture observations has its strengths and weaknesses. However, none of them, at least by themselves, are adequate for providing accurate soil moisture data at high temporal and spatial resolutions. Therefore, it is vital and useful to combine these three independent data sources to capitalize on the strengths of each and to generate an optimal soil moisture product to facilitate real-world applications after comprehensive evaluation of their accuracy and error characteristics.</w:t>
      </w:r>
    </w:p>
    <w:p w14:paraId="6D490E8F" w14:textId="77777777" w:rsidR="00E9463D" w:rsidRDefault="00E9463D" w:rsidP="00A77312">
      <w:pPr>
        <w:rPr>
          <w:lang w:eastAsia="zh-CN"/>
        </w:rPr>
      </w:pPr>
    </w:p>
    <w:p w14:paraId="278D64C4" w14:textId="6AAAA842" w:rsidR="00705F2A" w:rsidRPr="00705F2A" w:rsidRDefault="005A5CF1" w:rsidP="00A77312">
      <w:pPr>
        <w:pStyle w:val="2"/>
        <w:rPr>
          <w:lang w:eastAsia="zh-CN"/>
        </w:rPr>
      </w:pPr>
      <w:bookmarkStart w:id="23" w:name="_Toc278101730"/>
      <w:bookmarkStart w:id="24" w:name="_Toc75939821"/>
      <w:r>
        <w:rPr>
          <w:lang w:eastAsia="zh-CN"/>
        </w:rPr>
        <w:t xml:space="preserve">1.2 </w:t>
      </w:r>
      <w:bookmarkEnd w:id="23"/>
      <w:r w:rsidR="0099127E" w:rsidRPr="0099127E">
        <w:rPr>
          <w:lang w:eastAsia="zh-CN"/>
        </w:rPr>
        <w:t>Research Goal and Objectives</w:t>
      </w:r>
      <w:bookmarkEnd w:id="24"/>
    </w:p>
    <w:p w14:paraId="2FB9AE7E" w14:textId="271D5AF2" w:rsidR="00CB4D9A" w:rsidRDefault="5E4FB5CC" w:rsidP="00FE21C6">
      <w:pPr>
        <w:rPr>
          <w:lang w:eastAsia="zh-CN"/>
        </w:rPr>
      </w:pPr>
      <w:r w:rsidRPr="5E4FB5CC">
        <w:rPr>
          <w:lang w:eastAsia="zh-CN"/>
        </w:rPr>
        <w:t>This dissertation aims to develop contributions to two important topics for the sustainability of Oklahoma that are related to earthquakes and water resources: (1) the effects of deep underground waste-water injection on triggering regional seismicity and (2) the quantification of state-wide shallow-soil water content as a new tool for multiple applications in reservoir management, water resources, agriculture, natural hazards, and water management. To achieve this goal, three main tasks will be undertaken:</w:t>
      </w:r>
    </w:p>
    <w:p w14:paraId="27534E19" w14:textId="5B4A6560" w:rsidR="004054E7" w:rsidRDefault="0078580B" w:rsidP="00D20401">
      <w:pPr>
        <w:pStyle w:val="aff0"/>
        <w:numPr>
          <w:ilvl w:val="0"/>
          <w:numId w:val="15"/>
        </w:numPr>
        <w:rPr>
          <w:lang w:eastAsia="zh-CN"/>
        </w:rPr>
      </w:pPr>
      <w:r>
        <w:rPr>
          <w:lang w:eastAsia="zh-CN"/>
        </w:rPr>
        <w:t>Perform</w:t>
      </w:r>
      <w:r w:rsidR="00363F76">
        <w:rPr>
          <w:lang w:eastAsia="zh-CN"/>
        </w:rPr>
        <w:t>ing</w:t>
      </w:r>
      <w:r>
        <w:rPr>
          <w:lang w:eastAsia="zh-CN"/>
        </w:rPr>
        <w:t xml:space="preserve"> </w:t>
      </w:r>
      <w:r w:rsidRPr="0078580B">
        <w:rPr>
          <w:lang w:eastAsia="zh-CN"/>
        </w:rPr>
        <w:t>a spatiotemporal analysis of the recent seismicity and industry-related wastewater injection activity in Oklahoma</w:t>
      </w:r>
      <w:r>
        <w:rPr>
          <w:lang w:eastAsia="zh-CN"/>
        </w:rPr>
        <w:t xml:space="preserve"> and develop a</w:t>
      </w:r>
      <w:r w:rsidRPr="0078580B">
        <w:rPr>
          <w:lang w:eastAsia="zh-CN"/>
        </w:rPr>
        <w:t xml:space="preserve"> parsimonious predictive tool to estimate the lagged effect of previous month’s injection volumes on subsequent regional seismic activity.</w:t>
      </w:r>
    </w:p>
    <w:p w14:paraId="62DC4CD1" w14:textId="55255E70" w:rsidR="0078580B" w:rsidRDefault="00D7112C" w:rsidP="00D20401">
      <w:pPr>
        <w:pStyle w:val="aff0"/>
        <w:numPr>
          <w:ilvl w:val="0"/>
          <w:numId w:val="15"/>
        </w:numPr>
        <w:rPr>
          <w:lang w:eastAsia="zh-CN"/>
        </w:rPr>
      </w:pPr>
      <w:r>
        <w:rPr>
          <w:lang w:eastAsia="zh-CN"/>
        </w:rPr>
        <w:lastRenderedPageBreak/>
        <w:t>C</w:t>
      </w:r>
      <w:r w:rsidRPr="00D7112C">
        <w:rPr>
          <w:lang w:eastAsia="zh-CN"/>
        </w:rPr>
        <w:t>onduc</w:t>
      </w:r>
      <w:r w:rsidR="00897C98">
        <w:rPr>
          <w:lang w:eastAsia="zh-CN"/>
        </w:rPr>
        <w:t>t</w:t>
      </w:r>
      <w:r w:rsidR="00363F76">
        <w:rPr>
          <w:lang w:eastAsia="zh-CN"/>
        </w:rPr>
        <w:t>ing</w:t>
      </w:r>
      <w:r w:rsidRPr="00D7112C">
        <w:rPr>
          <w:lang w:eastAsia="zh-CN"/>
        </w:rPr>
        <w:t xml:space="preserve"> a </w:t>
      </w:r>
      <w:r w:rsidR="006A140C" w:rsidRPr="006A140C">
        <w:rPr>
          <w:lang w:eastAsia="zh-CN"/>
        </w:rPr>
        <w:t>cross-evaluat</w:t>
      </w:r>
      <w:r w:rsidR="006A140C">
        <w:rPr>
          <w:lang w:eastAsia="zh-CN"/>
        </w:rPr>
        <w:t>ion of</w:t>
      </w:r>
      <w:r w:rsidR="006A140C" w:rsidRPr="006A140C">
        <w:rPr>
          <w:lang w:eastAsia="zh-CN"/>
        </w:rPr>
        <w:t xml:space="preserve"> three </w:t>
      </w:r>
      <w:r w:rsidR="006A140C">
        <w:rPr>
          <w:lang w:eastAsia="zh-CN"/>
        </w:rPr>
        <w:t xml:space="preserve">independently </w:t>
      </w:r>
      <w:r w:rsidR="006A140C" w:rsidRPr="006A140C">
        <w:rPr>
          <w:lang w:eastAsia="zh-CN"/>
        </w:rPr>
        <w:t xml:space="preserve">soil moisture products, as estimated from in-situ, satellite, and modeling methods over </w:t>
      </w:r>
      <w:r w:rsidR="006A140C">
        <w:rPr>
          <w:lang w:eastAsia="zh-CN"/>
        </w:rPr>
        <w:t>Oklahoma</w:t>
      </w:r>
      <w:r w:rsidR="006A140C" w:rsidRPr="006A140C">
        <w:rPr>
          <w:lang w:eastAsia="zh-CN"/>
        </w:rPr>
        <w:t xml:space="preserve"> and over various land cover types.</w:t>
      </w:r>
    </w:p>
    <w:p w14:paraId="58569B8A" w14:textId="6FCA1C66" w:rsidR="006A140C" w:rsidRDefault="000A6AEF" w:rsidP="00D20401">
      <w:pPr>
        <w:pStyle w:val="aff0"/>
        <w:numPr>
          <w:ilvl w:val="0"/>
          <w:numId w:val="15"/>
        </w:numPr>
        <w:rPr>
          <w:lang w:eastAsia="zh-CN"/>
        </w:rPr>
      </w:pPr>
      <w:r w:rsidRPr="000A6AEF">
        <w:rPr>
          <w:lang w:eastAsia="zh-CN"/>
        </w:rPr>
        <w:t>Propo</w:t>
      </w:r>
      <w:r w:rsidR="00363F76">
        <w:rPr>
          <w:lang w:eastAsia="zh-CN"/>
        </w:rPr>
        <w:t>sing</w:t>
      </w:r>
      <w:r w:rsidRPr="000A6AEF">
        <w:rPr>
          <w:lang w:eastAsia="zh-CN"/>
        </w:rPr>
        <w:t xml:space="preserve"> an operational method for large-scale soil moisture mapping by blending in-situ, modeled and remote sensing data</w:t>
      </w:r>
      <w:r>
        <w:rPr>
          <w:lang w:eastAsia="zh-CN"/>
        </w:rPr>
        <w:t>.</w:t>
      </w:r>
    </w:p>
    <w:p w14:paraId="1BFB6D37" w14:textId="065E8470" w:rsidR="000A6AEF" w:rsidRDefault="00E11FFA" w:rsidP="00400B5B">
      <w:pPr>
        <w:rPr>
          <w:lang w:eastAsia="zh-CN"/>
        </w:rPr>
      </w:pPr>
      <w:r>
        <w:rPr>
          <w:lang w:eastAsia="zh-CN"/>
        </w:rPr>
        <w:t xml:space="preserve">Objective 1 will </w:t>
      </w:r>
      <w:r w:rsidRPr="00E11FFA">
        <w:rPr>
          <w:lang w:eastAsia="zh-CN"/>
        </w:rPr>
        <w:t xml:space="preserve">provide an assessment of the regional collocation of wastewater injection activity and number/magnitude of earthquakes and their spatial association. Then, it explores the temporal correlations between wastewater injection volumes and number of earthquakes to develop a predictive </w:t>
      </w:r>
      <w:r w:rsidR="001327E2">
        <w:rPr>
          <w:lang w:eastAsia="zh-CN"/>
        </w:rPr>
        <w:t>m</w:t>
      </w:r>
      <w:r w:rsidRPr="00E11FFA">
        <w:rPr>
          <w:lang w:eastAsia="zh-CN"/>
        </w:rPr>
        <w:t xml:space="preserve">odel </w:t>
      </w:r>
      <w:r w:rsidR="001327E2">
        <w:rPr>
          <w:lang w:eastAsia="zh-CN"/>
        </w:rPr>
        <w:t>which will be</w:t>
      </w:r>
      <w:r w:rsidRPr="00E11FFA">
        <w:rPr>
          <w:lang w:eastAsia="zh-CN"/>
        </w:rPr>
        <w:t xml:space="preserve"> evaluated in terms of observations and two recently published models.</w:t>
      </w:r>
      <w:r w:rsidR="001327E2">
        <w:rPr>
          <w:lang w:eastAsia="zh-CN"/>
        </w:rPr>
        <w:t xml:space="preserve"> </w:t>
      </w:r>
      <w:r w:rsidR="00381FA0">
        <w:rPr>
          <w:lang w:eastAsia="zh-CN"/>
        </w:rPr>
        <w:t xml:space="preserve">The results of this </w:t>
      </w:r>
      <w:r w:rsidR="00685D63">
        <w:rPr>
          <w:lang w:eastAsia="zh-CN"/>
        </w:rPr>
        <w:t>effort</w:t>
      </w:r>
      <w:r w:rsidR="00381FA0">
        <w:rPr>
          <w:lang w:eastAsia="zh-CN"/>
        </w:rPr>
        <w:t xml:space="preserve"> </w:t>
      </w:r>
      <w:r w:rsidR="001941F3" w:rsidRPr="001941F3">
        <w:rPr>
          <w:lang w:eastAsia="zh-CN"/>
        </w:rPr>
        <w:t xml:space="preserve">could help setting sustainable limits for </w:t>
      </w:r>
      <w:r w:rsidR="00685D63">
        <w:rPr>
          <w:lang w:eastAsia="zh-CN"/>
        </w:rPr>
        <w:t xml:space="preserve">the </w:t>
      </w:r>
      <w:r w:rsidR="001941F3" w:rsidRPr="001941F3">
        <w:rPr>
          <w:lang w:eastAsia="zh-CN"/>
        </w:rPr>
        <w:t>oil and gas extraction industry in order to minimize the expected number and magnitude of induced quakes, thus avoiding future human and property losses</w:t>
      </w:r>
      <w:r w:rsidR="003E4AD7" w:rsidRPr="003E4AD7">
        <w:rPr>
          <w:lang w:eastAsia="zh-CN"/>
        </w:rPr>
        <w:t>.</w:t>
      </w:r>
    </w:p>
    <w:p w14:paraId="737BFCCD" w14:textId="129AAC47" w:rsidR="00BA742E" w:rsidRDefault="5E4FB5CC" w:rsidP="00400B5B">
      <w:pPr>
        <w:rPr>
          <w:lang w:eastAsia="zh-CN"/>
        </w:rPr>
      </w:pPr>
      <w:r w:rsidRPr="5E4FB5CC">
        <w:rPr>
          <w:lang w:eastAsia="zh-CN"/>
        </w:rPr>
        <w:t xml:space="preserve">Objective 2 will consist of a comprehensive assessment of the Satellite SMAP_L3 (SMAP), Land Surface NOAH Model (Noah), and the interpolated Mesonet soil moisture (Mesonet) products across the State of Oklahoma at daily and seasonal timescales using the </w:t>
      </w:r>
      <w:r w:rsidR="00965954">
        <w:rPr>
          <w:lang w:eastAsia="zh-CN"/>
        </w:rPr>
        <w:t>triple collocation</w:t>
      </w:r>
      <w:r w:rsidRPr="5E4FB5CC">
        <w:rPr>
          <w:lang w:eastAsia="zh-CN"/>
        </w:rPr>
        <w:t xml:space="preserve"> method evaluated over different land cover types. The results of this objective are expected to provide not only a new perspective for comparatively assessing multi-source soil moisture products but also a basis for objective data merging to capitalize the strengths of multi-sensor multiplatform soil moisture products.</w:t>
      </w:r>
    </w:p>
    <w:p w14:paraId="74048823" w14:textId="18BE85DA" w:rsidR="00BF7482" w:rsidRDefault="001E0CAE" w:rsidP="00F633F5">
      <w:pPr>
        <w:rPr>
          <w:lang w:eastAsia="zh-CN"/>
        </w:rPr>
      </w:pPr>
      <w:r>
        <w:rPr>
          <w:lang w:eastAsia="zh-CN"/>
        </w:rPr>
        <w:t>The effort</w:t>
      </w:r>
      <w:r w:rsidR="007A64C6">
        <w:rPr>
          <w:lang w:eastAsia="zh-CN"/>
        </w:rPr>
        <w:t xml:space="preserve"> </w:t>
      </w:r>
      <w:r>
        <w:rPr>
          <w:lang w:eastAsia="zh-CN"/>
        </w:rPr>
        <w:t>of</w:t>
      </w:r>
      <w:r w:rsidR="007A64C6">
        <w:rPr>
          <w:lang w:eastAsia="zh-CN"/>
        </w:rPr>
        <w:t xml:space="preserve"> </w:t>
      </w:r>
      <w:r>
        <w:rPr>
          <w:lang w:eastAsia="zh-CN"/>
        </w:rPr>
        <w:t>o</w:t>
      </w:r>
      <w:r w:rsidR="00EE40FB">
        <w:rPr>
          <w:lang w:eastAsia="zh-CN"/>
        </w:rPr>
        <w:t xml:space="preserve">bjective 3 </w:t>
      </w:r>
      <w:r w:rsidR="00A7683C" w:rsidRPr="00A7683C">
        <w:rPr>
          <w:lang w:eastAsia="zh-CN"/>
        </w:rPr>
        <w:t>adopt</w:t>
      </w:r>
      <w:r>
        <w:rPr>
          <w:lang w:eastAsia="zh-CN"/>
        </w:rPr>
        <w:t>s</w:t>
      </w:r>
      <w:r w:rsidR="00A7683C" w:rsidRPr="00A7683C">
        <w:rPr>
          <w:lang w:eastAsia="zh-CN"/>
        </w:rPr>
        <w:t xml:space="preserve"> the TC based least square weighting method to merge the Satellite SMAP_L3, Land Surface NOAH Model, and the interpolated Mesonet soil moisture products across the State of Oklahoma and compare the merged product with equal weights merging product and SMAP L4 soil moisture product using the Automated Soil Moisture Mapping </w:t>
      </w:r>
      <w:r w:rsidR="00A7683C" w:rsidRPr="00A7683C">
        <w:rPr>
          <w:lang w:eastAsia="zh-CN"/>
        </w:rPr>
        <w:lastRenderedPageBreak/>
        <w:t>System.</w:t>
      </w:r>
      <w:r w:rsidR="00A7683C">
        <w:rPr>
          <w:lang w:eastAsia="zh-CN"/>
        </w:rPr>
        <w:t xml:space="preserve"> </w:t>
      </w:r>
      <w:r w:rsidR="00363A32" w:rsidRPr="00363A32">
        <w:rPr>
          <w:lang w:eastAsia="zh-CN"/>
        </w:rPr>
        <w:t>The results of this objective will be beneficial for multiple applications in water resources management, agriculture and natural hazards.</w:t>
      </w:r>
    </w:p>
    <w:p w14:paraId="0EFF8856" w14:textId="77777777" w:rsidR="001E0CAE" w:rsidRPr="00334F06" w:rsidRDefault="001E0CAE" w:rsidP="00F633F5">
      <w:pPr>
        <w:rPr>
          <w:lang w:eastAsia="zh-CN"/>
        </w:rPr>
      </w:pPr>
    </w:p>
    <w:p w14:paraId="5429782A" w14:textId="0AAE00EA" w:rsidR="00637993" w:rsidRPr="00637993" w:rsidRDefault="005A5CF1" w:rsidP="00F633F5">
      <w:pPr>
        <w:pStyle w:val="2"/>
      </w:pPr>
      <w:bookmarkStart w:id="25" w:name="_Toc278101731"/>
      <w:bookmarkStart w:id="26" w:name="_Toc75939822"/>
      <w:r>
        <w:t xml:space="preserve">1.3 </w:t>
      </w:r>
      <w:bookmarkEnd w:id="25"/>
      <w:r w:rsidR="001603EA" w:rsidRPr="001603EA">
        <w:t>Organization of Dissertation</w:t>
      </w:r>
      <w:bookmarkEnd w:id="26"/>
    </w:p>
    <w:p w14:paraId="506CC576" w14:textId="40D56838" w:rsidR="00CB4D9A" w:rsidRDefault="74CFCC90" w:rsidP="00FE21C6">
      <w:r>
        <w:t xml:space="preserve">This dissertation is organized into five chapters. Chapter 1 gives an introduction and lays out the research objectives. Chapters 2, 3 and 4 are dedicated to the three objectives outlined in section 1.3. These three chapters are written and formatted as stand-alone journal </w:t>
      </w:r>
      <w:r w:rsidR="00F757C1">
        <w:t>manuscripts,</w:t>
      </w:r>
      <w:r>
        <w:t xml:space="preserve"> and each has its own introduction, data, methods, discussion and conclusion sections. Chapter 5 summarizes the results from all objectives and provides conclusions and a discussion of future research. </w:t>
      </w:r>
    </w:p>
    <w:p w14:paraId="0E95EADE" w14:textId="4B98ACCE" w:rsidR="00165B45" w:rsidRDefault="00D14BAE" w:rsidP="00D14BAE">
      <w:pPr>
        <w:pStyle w:val="2"/>
      </w:pPr>
      <w:bookmarkStart w:id="27" w:name="_Toc75939823"/>
      <w:r>
        <w:t>References</w:t>
      </w:r>
      <w:bookmarkEnd w:id="27"/>
    </w:p>
    <w:p w14:paraId="1F33CF4E" w14:textId="77777777" w:rsidR="002F44FD" w:rsidRDefault="002F44FD" w:rsidP="002F44FD">
      <w:pPr>
        <w:ind w:left="480" w:hanging="480"/>
        <w:jc w:val="left"/>
        <w:rPr>
          <w:lang w:bidi="ar-SA"/>
        </w:rPr>
      </w:pPr>
      <w:r>
        <w:t xml:space="preserve">Albergel, C., de Rosnay, P., Gruhier, C., Muñoz-Sabater, J., Hasenauer, S., Isaksen, L., Kerr, Y., &amp; Wagner, W. (2012). Evaluation of remotely sensed and modelled soil moisture products using global ground-based in situ observations. </w:t>
      </w:r>
      <w:r>
        <w:rPr>
          <w:i/>
          <w:iCs/>
        </w:rPr>
        <w:t>Remote Sensing of Environment</w:t>
      </w:r>
      <w:r>
        <w:t xml:space="preserve">, </w:t>
      </w:r>
      <w:r>
        <w:rPr>
          <w:i/>
          <w:iCs/>
        </w:rPr>
        <w:t>118</w:t>
      </w:r>
      <w:r>
        <w:t xml:space="preserve">, 215–226. </w:t>
      </w:r>
      <w:hyperlink r:id="rId9" w:history="1">
        <w:r>
          <w:rPr>
            <w:rStyle w:val="afc"/>
          </w:rPr>
          <w:t>https://doi.org/10.1016/j.rse.2011.11.017</w:t>
        </w:r>
      </w:hyperlink>
    </w:p>
    <w:p w14:paraId="21A49CA9" w14:textId="77777777" w:rsidR="002F44FD" w:rsidRDefault="002F44FD" w:rsidP="002F44FD">
      <w:pPr>
        <w:ind w:left="480" w:hanging="480"/>
      </w:pPr>
      <w:r>
        <w:t xml:space="preserve">Barbour, A. J., Norbeck, J. H., &amp; Rubinstein, J. L. (2017). The effects of varying injection rates in Osage County, Oklahoma, on the 2016 M w 5.8 Pawnee earthquake. </w:t>
      </w:r>
      <w:r>
        <w:rPr>
          <w:i/>
          <w:iCs/>
        </w:rPr>
        <w:t>Seismological Research Letters</w:t>
      </w:r>
      <w:r>
        <w:t xml:space="preserve">, </w:t>
      </w:r>
      <w:r>
        <w:rPr>
          <w:i/>
          <w:iCs/>
        </w:rPr>
        <w:t>88</w:t>
      </w:r>
      <w:r>
        <w:t>(4), 1040–1053.</w:t>
      </w:r>
    </w:p>
    <w:p w14:paraId="431AB126" w14:textId="77777777" w:rsidR="002F44FD" w:rsidRDefault="002F44FD" w:rsidP="002F44FD">
      <w:pPr>
        <w:ind w:left="480" w:hanging="480"/>
      </w:pPr>
      <w:r>
        <w:t xml:space="preserve">Bi, H., Ma, J., Zheng, W., &amp; Zeng, J. (2016). Comparison of soil moisture in GLDAS model simulations and in situ observations over the Tibetan Plateau. </w:t>
      </w:r>
      <w:r>
        <w:rPr>
          <w:i/>
          <w:iCs/>
        </w:rPr>
        <w:t>Journal of Geophysical Research: Atmospheres</w:t>
      </w:r>
      <w:r>
        <w:t xml:space="preserve">, </w:t>
      </w:r>
      <w:r>
        <w:rPr>
          <w:i/>
          <w:iCs/>
        </w:rPr>
        <w:t>121</w:t>
      </w:r>
      <w:r>
        <w:t xml:space="preserve">(6), 2658–2678. </w:t>
      </w:r>
      <w:hyperlink r:id="rId10" w:history="1">
        <w:r>
          <w:rPr>
            <w:rStyle w:val="afc"/>
          </w:rPr>
          <w:t>https://doi.org/10.1002/2015JD024131</w:t>
        </w:r>
      </w:hyperlink>
    </w:p>
    <w:p w14:paraId="720AC9A8" w14:textId="77777777" w:rsidR="002F44FD" w:rsidRDefault="002F44FD" w:rsidP="002F44FD">
      <w:pPr>
        <w:ind w:left="480" w:hanging="480"/>
      </w:pPr>
      <w:r>
        <w:t xml:space="preserve">Brocca, L., Crow, W. T., Ciabatta, L., Massari, C., de Rosnay, P., Enenkel, M., Hahn, S., Amarnath, G., Camici, S., Tarpanelli, A., &amp; Wagner, W. (2017). A Review of the Applications of ASCAT Soil Moisture Products. </w:t>
      </w:r>
      <w:r>
        <w:rPr>
          <w:i/>
          <w:iCs/>
        </w:rPr>
        <w:t xml:space="preserve">IEEE Journal of Selected Topics in Applied </w:t>
      </w:r>
      <w:r>
        <w:rPr>
          <w:i/>
          <w:iCs/>
        </w:rPr>
        <w:lastRenderedPageBreak/>
        <w:t>Earth Observations and Remote Sensing</w:t>
      </w:r>
      <w:r>
        <w:t xml:space="preserve">, </w:t>
      </w:r>
      <w:r>
        <w:rPr>
          <w:i/>
          <w:iCs/>
        </w:rPr>
        <w:t>10</w:t>
      </w:r>
      <w:r>
        <w:t xml:space="preserve">(5), 2285–2306. </w:t>
      </w:r>
      <w:hyperlink r:id="rId11" w:history="1">
        <w:r>
          <w:rPr>
            <w:rStyle w:val="afc"/>
          </w:rPr>
          <w:t>https://doi.org/10.1109/JSTARS.2017.2651140</w:t>
        </w:r>
      </w:hyperlink>
    </w:p>
    <w:p w14:paraId="22E71D7B" w14:textId="77777777" w:rsidR="002F44FD" w:rsidRDefault="002F44FD" w:rsidP="002F44FD">
      <w:pPr>
        <w:ind w:left="480" w:hanging="480"/>
      </w:pPr>
      <w:r>
        <w:t xml:space="preserve">Brock, F. V., Crawford, K. C., Elliott, R. L., Cuperus, G. W., Stadler, S. J., Johnson, H. L., &amp; Eilts, M. D. (1995). The Oklahoma Mesonet: A Technical Overview. </w:t>
      </w:r>
      <w:r>
        <w:rPr>
          <w:i/>
          <w:iCs/>
        </w:rPr>
        <w:t>Journal of Atmospheric and Oceanic Technology</w:t>
      </w:r>
      <w:r>
        <w:t xml:space="preserve">, </w:t>
      </w:r>
      <w:r>
        <w:rPr>
          <w:i/>
          <w:iCs/>
        </w:rPr>
        <w:t>12</w:t>
      </w:r>
      <w:r>
        <w:t xml:space="preserve">(1), 5–19. </w:t>
      </w:r>
      <w:hyperlink r:id="rId12" w:history="1">
        <w:r>
          <w:rPr>
            <w:rStyle w:val="afc"/>
          </w:rPr>
          <w:t>https://doi.org/10.1175/1520-0426(1995)012&lt;0005:TOMATO&gt;2.0.CO;2</w:t>
        </w:r>
      </w:hyperlink>
    </w:p>
    <w:p w14:paraId="1762BD72" w14:textId="77777777" w:rsidR="002F44FD" w:rsidRDefault="002F44FD" w:rsidP="002F44FD">
      <w:pPr>
        <w:ind w:left="480" w:hanging="480"/>
      </w:pPr>
      <w:r>
        <w:t xml:space="preserve">Chen, X., Nakata, N., Pennington, C., Haffener, J., Chang, J. C., He, X., Zhan, Z., Ni, S., &amp; Walter, J. I. (2017). The Pawnee earthquake as a result of the interplay among injection, faults and foreshocks. </w:t>
      </w:r>
      <w:r>
        <w:rPr>
          <w:i/>
          <w:iCs/>
        </w:rPr>
        <w:t>Scientific Reports</w:t>
      </w:r>
      <w:r>
        <w:t xml:space="preserve">, </w:t>
      </w:r>
      <w:r>
        <w:rPr>
          <w:i/>
          <w:iCs/>
        </w:rPr>
        <w:t>7</w:t>
      </w:r>
      <w:r>
        <w:t>(1), 1–18.</w:t>
      </w:r>
    </w:p>
    <w:p w14:paraId="420A7603" w14:textId="77777777" w:rsidR="002F44FD" w:rsidRDefault="002F44FD" w:rsidP="002F44FD">
      <w:pPr>
        <w:ind w:left="480" w:hanging="480"/>
      </w:pPr>
      <w:r>
        <w:t xml:space="preserve">Chen, Y., Yang, K., Qin, J., Zhao, L., Tang, W., &amp; Han, M. (2013). Evaluation of AMSR-E retrievals and GLDAS simulations against observations of a soil moisture network on the central Tibetan Plateau. </w:t>
      </w:r>
      <w:r>
        <w:rPr>
          <w:i/>
          <w:iCs/>
        </w:rPr>
        <w:t>Journal of Geophysical Research: Atmospheres</w:t>
      </w:r>
      <w:r>
        <w:t xml:space="preserve">, </w:t>
      </w:r>
      <w:r>
        <w:rPr>
          <w:i/>
          <w:iCs/>
        </w:rPr>
        <w:t>118</w:t>
      </w:r>
      <w:r>
        <w:t xml:space="preserve">(10), 4466–4475. </w:t>
      </w:r>
      <w:hyperlink r:id="rId13" w:history="1">
        <w:r>
          <w:rPr>
            <w:rStyle w:val="afc"/>
          </w:rPr>
          <w:t>https://doi.org/10.1002/jgrd.50301</w:t>
        </w:r>
      </w:hyperlink>
    </w:p>
    <w:p w14:paraId="265E2264" w14:textId="77777777" w:rsidR="002F44FD" w:rsidRDefault="002F44FD" w:rsidP="002F44FD">
      <w:pPr>
        <w:ind w:left="480" w:hanging="480"/>
      </w:pPr>
      <w:r>
        <w:rPr>
          <w:i/>
          <w:iCs/>
        </w:rPr>
        <w:t>Comparison of NLDAS-2 Simulated and NASMD Observed Daily Soil Moisture. Part I: Comparison and Analysis in: Journal of Hydrometeorology Volume 16 Issue 5 (2015)</w:t>
      </w:r>
      <w:r>
        <w:t xml:space="preserve">. (n.d.). Retrieved June 29, 2021, from </w:t>
      </w:r>
      <w:hyperlink r:id="rId14" w:history="1">
        <w:r>
          <w:rPr>
            <w:rStyle w:val="afc"/>
          </w:rPr>
          <w:t>https://journals.ametsoc.org/view/journals/hydr/16/5/jhm-d-14-0096_1.xml</w:t>
        </w:r>
      </w:hyperlink>
    </w:p>
    <w:p w14:paraId="045A0CE1" w14:textId="77777777" w:rsidR="002F44FD" w:rsidRDefault="002F44FD" w:rsidP="002F44FD">
      <w:pPr>
        <w:ind w:left="480" w:hanging="480"/>
      </w:pPr>
      <w:r>
        <w:t xml:space="preserve">Crow, W. T., Berg, A. A., Cosh, M. H., Loew, A., Mohanty, B. P., Panciera, R., Rosnay, P. de, Ryu, D., &amp; Walker, J. P. (2012). Upscaling sparse ground-based soil moisture observations for the validation of coarse-resolution satellite soil moisture products. </w:t>
      </w:r>
      <w:r>
        <w:rPr>
          <w:i/>
          <w:iCs/>
        </w:rPr>
        <w:t>Reviews of Geophysics</w:t>
      </w:r>
      <w:r>
        <w:t xml:space="preserve">, </w:t>
      </w:r>
      <w:r>
        <w:rPr>
          <w:i/>
          <w:iCs/>
        </w:rPr>
        <w:t>50</w:t>
      </w:r>
      <w:r>
        <w:t xml:space="preserve">(2). </w:t>
      </w:r>
      <w:hyperlink r:id="rId15" w:history="1">
        <w:r>
          <w:rPr>
            <w:rStyle w:val="afc"/>
          </w:rPr>
          <w:t>https://doi.org/10.1029/2011RG000372</w:t>
        </w:r>
      </w:hyperlink>
    </w:p>
    <w:p w14:paraId="0DACD035" w14:textId="77777777" w:rsidR="002F44FD" w:rsidRDefault="002F44FD" w:rsidP="002F44FD">
      <w:pPr>
        <w:ind w:left="480" w:hanging="480"/>
      </w:pPr>
      <w:r>
        <w:lastRenderedPageBreak/>
        <w:t xml:space="preserve">Dean, T. J., Bell, J. P., &amp; Baty, A. J. B. (1987). Soil moisture measurement by an improved capacitance technique, Part I. Sensor design and performance. </w:t>
      </w:r>
      <w:r>
        <w:rPr>
          <w:i/>
          <w:iCs/>
        </w:rPr>
        <w:t>Journal of Hydrology</w:t>
      </w:r>
      <w:r>
        <w:t xml:space="preserve">, </w:t>
      </w:r>
      <w:r>
        <w:rPr>
          <w:i/>
          <w:iCs/>
        </w:rPr>
        <w:t>93</w:t>
      </w:r>
      <w:r>
        <w:t xml:space="preserve">(1), 67–78. </w:t>
      </w:r>
      <w:hyperlink r:id="rId16" w:history="1">
        <w:r>
          <w:rPr>
            <w:rStyle w:val="afc"/>
          </w:rPr>
          <w:t>https://doi.org/10.1016/0022-1694(87)90194-6</w:t>
        </w:r>
      </w:hyperlink>
    </w:p>
    <w:p w14:paraId="39BC4B22" w14:textId="77777777" w:rsidR="002F44FD" w:rsidRDefault="002F44FD" w:rsidP="002F44FD">
      <w:pPr>
        <w:ind w:left="480" w:hanging="480"/>
      </w:pPr>
      <w:r>
        <w:t xml:space="preserve">Downer, C. W., &amp; Ogden, F. L. (2003). Prediction of runoff and soil moistures at the watershed scale: Effects of model complexity and parameter assignment. </w:t>
      </w:r>
      <w:r>
        <w:rPr>
          <w:i/>
          <w:iCs/>
        </w:rPr>
        <w:t>Water Resources Research</w:t>
      </w:r>
      <w:r>
        <w:t xml:space="preserve">, </w:t>
      </w:r>
      <w:r>
        <w:rPr>
          <w:i/>
          <w:iCs/>
        </w:rPr>
        <w:t>39</w:t>
      </w:r>
      <w:r>
        <w:t xml:space="preserve">(3). </w:t>
      </w:r>
      <w:hyperlink r:id="rId17" w:history="1">
        <w:r>
          <w:rPr>
            <w:rStyle w:val="afc"/>
          </w:rPr>
          <w:t>https://doi.org/10.1029/2002WR001439</w:t>
        </w:r>
      </w:hyperlink>
    </w:p>
    <w:p w14:paraId="079B34F1" w14:textId="77777777" w:rsidR="002F44FD" w:rsidRDefault="002F44FD" w:rsidP="002F44FD">
      <w:pPr>
        <w:ind w:left="480" w:hanging="480"/>
      </w:pPr>
      <w:r>
        <w:t xml:space="preserve">Ellsworth, W. L. (2013). Injection-induced earthquakes. </w:t>
      </w:r>
      <w:r>
        <w:rPr>
          <w:i/>
          <w:iCs/>
        </w:rPr>
        <w:t>Science</w:t>
      </w:r>
      <w:r>
        <w:t xml:space="preserve">, </w:t>
      </w:r>
      <w:r>
        <w:rPr>
          <w:i/>
          <w:iCs/>
        </w:rPr>
        <w:t>341</w:t>
      </w:r>
      <w:r>
        <w:t>(6142).</w:t>
      </w:r>
    </w:p>
    <w:p w14:paraId="684AB001" w14:textId="77777777" w:rsidR="002F44FD" w:rsidRDefault="002F44FD" w:rsidP="002F44FD">
      <w:pPr>
        <w:ind w:left="480" w:hanging="480"/>
      </w:pPr>
      <w:r>
        <w:t xml:space="preserve">Entekhabi, D., Yueh, S., &amp; De Lannoy, G. (2014). </w:t>
      </w:r>
      <w:r>
        <w:rPr>
          <w:i/>
          <w:iCs/>
        </w:rPr>
        <w:t>SMAP handbook</w:t>
      </w:r>
      <w:r>
        <w:t>.</w:t>
      </w:r>
    </w:p>
    <w:p w14:paraId="144F07E2" w14:textId="77777777" w:rsidR="002F44FD" w:rsidRDefault="002F44FD" w:rsidP="002F44FD">
      <w:pPr>
        <w:ind w:left="480" w:hanging="480"/>
      </w:pPr>
      <w:r>
        <w:t xml:space="preserve">Famiglietti, J. S., Ryu, D., Berg, A. A., Rodell, M., &amp; Jackson, T. J. (2008). Field observations of soil moisture variability across scales. </w:t>
      </w:r>
      <w:r>
        <w:rPr>
          <w:i/>
          <w:iCs/>
        </w:rPr>
        <w:t>Water Resources Research</w:t>
      </w:r>
      <w:r>
        <w:t xml:space="preserve">, </w:t>
      </w:r>
      <w:r>
        <w:rPr>
          <w:i/>
          <w:iCs/>
        </w:rPr>
        <w:t>44</w:t>
      </w:r>
      <w:r>
        <w:t xml:space="preserve">(1). </w:t>
      </w:r>
      <w:hyperlink r:id="rId18" w:history="1">
        <w:r>
          <w:rPr>
            <w:rStyle w:val="afc"/>
          </w:rPr>
          <w:t>https://doi.org/10.1029/2006WR005804</w:t>
        </w:r>
      </w:hyperlink>
    </w:p>
    <w:p w14:paraId="36EE23B2" w14:textId="77777777" w:rsidR="002F44FD" w:rsidRDefault="002F44FD" w:rsidP="002F44FD">
      <w:pPr>
        <w:ind w:left="480" w:hanging="480"/>
      </w:pPr>
      <w:r>
        <w:t xml:space="preserve">Findell, K. L., &amp; Eltahir, E. A. B. (2003). Atmospheric controls on soil moisture-boundary layer interactions: Three-dimensional wind effects. </w:t>
      </w:r>
      <w:r>
        <w:rPr>
          <w:i/>
          <w:iCs/>
        </w:rPr>
        <w:t>Journal of Geophysical Research: Atmospheres</w:t>
      </w:r>
      <w:r>
        <w:t xml:space="preserve">, </w:t>
      </w:r>
      <w:r>
        <w:rPr>
          <w:i/>
          <w:iCs/>
        </w:rPr>
        <w:t>108</w:t>
      </w:r>
      <w:r>
        <w:t xml:space="preserve">(D8). </w:t>
      </w:r>
      <w:hyperlink r:id="rId19" w:history="1">
        <w:r>
          <w:rPr>
            <w:rStyle w:val="afc"/>
          </w:rPr>
          <w:t>https://doi.org/10.1029/2001JD001515</w:t>
        </w:r>
      </w:hyperlink>
    </w:p>
    <w:p w14:paraId="68DC3F26" w14:textId="77777777" w:rsidR="002F44FD" w:rsidRDefault="002F44FD" w:rsidP="002F44FD">
      <w:pPr>
        <w:ind w:left="480" w:hanging="480"/>
      </w:pPr>
      <w:r>
        <w:t xml:space="preserve">Ford, T. W., &amp; Quiring, S. M. (2019). Comparison of Contemporary In Situ, Model, and Satellite Remote Sensing Soil Moisture With a Focus on Drought Monitoring. </w:t>
      </w:r>
      <w:r>
        <w:rPr>
          <w:i/>
          <w:iCs/>
        </w:rPr>
        <w:t>Water Resources Research</w:t>
      </w:r>
      <w:r>
        <w:t xml:space="preserve">, </w:t>
      </w:r>
      <w:r>
        <w:rPr>
          <w:i/>
          <w:iCs/>
        </w:rPr>
        <w:t>55</w:t>
      </w:r>
      <w:r>
        <w:t xml:space="preserve">(2), 1565–1582. </w:t>
      </w:r>
      <w:hyperlink r:id="rId20" w:history="1">
        <w:r>
          <w:rPr>
            <w:rStyle w:val="afc"/>
          </w:rPr>
          <w:t>https://doi.org/10.1029/2018WR024039</w:t>
        </w:r>
      </w:hyperlink>
    </w:p>
    <w:p w14:paraId="646F8CB0" w14:textId="77777777" w:rsidR="002F44FD" w:rsidRDefault="002F44FD" w:rsidP="002F44FD">
      <w:pPr>
        <w:ind w:left="480" w:hanging="480"/>
      </w:pPr>
      <w:r>
        <w:t xml:space="preserve">Gao, H., Wood, E. F., Jackson, T. J., Drusch, M., &amp; Bindlish, R. (2006). Using TRMM/TMI to Retrieve Surface Soil Moisture over the Southern United States from 1998 to 2002. </w:t>
      </w:r>
      <w:r>
        <w:rPr>
          <w:i/>
          <w:iCs/>
        </w:rPr>
        <w:t>Journal of Hydrometeorology</w:t>
      </w:r>
      <w:r>
        <w:t xml:space="preserve">, </w:t>
      </w:r>
      <w:r>
        <w:rPr>
          <w:i/>
          <w:iCs/>
        </w:rPr>
        <w:t>7</w:t>
      </w:r>
      <w:r>
        <w:t xml:space="preserve">(1), 23–38. </w:t>
      </w:r>
      <w:hyperlink r:id="rId21" w:history="1">
        <w:r>
          <w:rPr>
            <w:rStyle w:val="afc"/>
          </w:rPr>
          <w:t>https://doi.org/10.1175/JHM473.1</w:t>
        </w:r>
      </w:hyperlink>
    </w:p>
    <w:p w14:paraId="26752DC1" w14:textId="77777777" w:rsidR="002F44FD" w:rsidRDefault="002F44FD" w:rsidP="002F44FD">
      <w:pPr>
        <w:ind w:left="480" w:hanging="480"/>
      </w:pPr>
      <w:r>
        <w:t xml:space="preserve">Healy, J. H., Rubey, W. W., Griggs, D. T., &amp; Raleigh, C. B. (1968). The denver earthquakes. </w:t>
      </w:r>
      <w:r>
        <w:rPr>
          <w:i/>
          <w:iCs/>
        </w:rPr>
        <w:t>Science</w:t>
      </w:r>
      <w:r>
        <w:t xml:space="preserve">, </w:t>
      </w:r>
      <w:r>
        <w:rPr>
          <w:i/>
          <w:iCs/>
        </w:rPr>
        <w:t>161</w:t>
      </w:r>
      <w:r>
        <w:t>(3848), 1301–1310.</w:t>
      </w:r>
    </w:p>
    <w:p w14:paraId="78691B94" w14:textId="77777777" w:rsidR="002F44FD" w:rsidRDefault="002F44FD" w:rsidP="002F44FD">
      <w:pPr>
        <w:ind w:left="480" w:hanging="480"/>
      </w:pPr>
      <w:r>
        <w:lastRenderedPageBreak/>
        <w:t xml:space="preserve">Hincks, T., Aspinall, W., Cooke, R., &amp; Gernon, T. (2018). Oklahoma’s induced seismicity strongly linked to wastewater injection depth. </w:t>
      </w:r>
      <w:r>
        <w:rPr>
          <w:i/>
          <w:iCs/>
        </w:rPr>
        <w:t>Science</w:t>
      </w:r>
      <w:r>
        <w:t xml:space="preserve">, </w:t>
      </w:r>
      <w:r>
        <w:rPr>
          <w:i/>
          <w:iCs/>
        </w:rPr>
        <w:t>359</w:t>
      </w:r>
      <w:r>
        <w:t>(6381), 1251–1255.</w:t>
      </w:r>
    </w:p>
    <w:p w14:paraId="7353EE21" w14:textId="77777777" w:rsidR="002F44FD" w:rsidRDefault="002F44FD" w:rsidP="002F44FD">
      <w:pPr>
        <w:ind w:left="480" w:hanging="480"/>
      </w:pPr>
      <w:r>
        <w:t xml:space="preserve">Holland, A. A. (2013). Earthquakes triggered by hydraulic fracturing in south‐central Oklahoma. </w:t>
      </w:r>
      <w:r>
        <w:rPr>
          <w:i/>
          <w:iCs/>
        </w:rPr>
        <w:t>Bulletin of the Seismological Society of America</w:t>
      </w:r>
      <w:r>
        <w:t xml:space="preserve">, </w:t>
      </w:r>
      <w:r>
        <w:rPr>
          <w:i/>
          <w:iCs/>
        </w:rPr>
        <w:t>103</w:t>
      </w:r>
      <w:r>
        <w:t>(3), 1784–1792.</w:t>
      </w:r>
    </w:p>
    <w:p w14:paraId="75E36172" w14:textId="77777777" w:rsidR="002F44FD" w:rsidRDefault="002F44FD" w:rsidP="002F44FD">
      <w:pPr>
        <w:ind w:left="480" w:hanging="480"/>
      </w:pPr>
      <w:r>
        <w:t xml:space="preserve">Hollinger, S. E., &amp; Isard, S. A. (1994). A Soil Moisture Climatology of Illinois. </w:t>
      </w:r>
      <w:r>
        <w:rPr>
          <w:i/>
          <w:iCs/>
        </w:rPr>
        <w:t>Journal of Climate</w:t>
      </w:r>
      <w:r>
        <w:t xml:space="preserve">, </w:t>
      </w:r>
      <w:r>
        <w:rPr>
          <w:i/>
          <w:iCs/>
        </w:rPr>
        <w:t>7</w:t>
      </w:r>
      <w:r>
        <w:t xml:space="preserve">(5), 822–833. </w:t>
      </w:r>
      <w:hyperlink r:id="rId22" w:history="1">
        <w:r>
          <w:rPr>
            <w:rStyle w:val="afc"/>
          </w:rPr>
          <w:t>https://doi.org/10.1175/1520-0442(1994)007&lt;0822:ASMCOI&gt;2.0.CO;2</w:t>
        </w:r>
      </w:hyperlink>
    </w:p>
    <w:p w14:paraId="2F1E3D30" w14:textId="77777777" w:rsidR="002F44FD" w:rsidRDefault="002F44FD" w:rsidP="002F44FD">
      <w:pPr>
        <w:ind w:left="480" w:hanging="480"/>
      </w:pPr>
      <w:r>
        <w:t xml:space="preserve">Horton, S. (2012). Disposal of hydrofracking waste fluid by injection into subsurface aquifers triggers earthquake swarm in central Arkansas with potential for damaging earthquake. </w:t>
      </w:r>
      <w:r>
        <w:rPr>
          <w:i/>
          <w:iCs/>
        </w:rPr>
        <w:t>Seismological Research Letters</w:t>
      </w:r>
      <w:r>
        <w:t xml:space="preserve">, </w:t>
      </w:r>
      <w:r>
        <w:rPr>
          <w:i/>
          <w:iCs/>
        </w:rPr>
        <w:t>83</w:t>
      </w:r>
      <w:r>
        <w:t>(2), 250–260.</w:t>
      </w:r>
    </w:p>
    <w:p w14:paraId="361E2E22" w14:textId="77777777" w:rsidR="002F44FD" w:rsidRDefault="002F44FD" w:rsidP="002F44FD">
      <w:pPr>
        <w:ind w:left="480" w:hanging="480"/>
      </w:pPr>
      <w:r>
        <w:t xml:space="preserve">Hough, S. E., &amp; Page, M. (2015). A century of induced earthquakes in Oklahoma? </w:t>
      </w:r>
      <w:r>
        <w:rPr>
          <w:i/>
          <w:iCs/>
        </w:rPr>
        <w:t>Bulletin of the Seismological Society of America</w:t>
      </w:r>
      <w:r>
        <w:t xml:space="preserve">, </w:t>
      </w:r>
      <w:r>
        <w:rPr>
          <w:i/>
          <w:iCs/>
        </w:rPr>
        <w:t>105</w:t>
      </w:r>
      <w:r>
        <w:t>(6), 2863–2870.</w:t>
      </w:r>
    </w:p>
    <w:p w14:paraId="3EDCA412" w14:textId="77777777" w:rsidR="002F44FD" w:rsidRDefault="002F44FD" w:rsidP="002F44FD">
      <w:pPr>
        <w:ind w:left="480" w:hanging="480"/>
      </w:pPr>
      <w:r>
        <w:t xml:space="preserve">Hsieh, P. A., &amp; Bredehoeft, J. D. (1981). A reservoir analysis of the Denver earthquakes: A case of induced seismicity. </w:t>
      </w:r>
      <w:r>
        <w:rPr>
          <w:i/>
          <w:iCs/>
        </w:rPr>
        <w:t>Journal of Geophysical Research: Solid Earth</w:t>
      </w:r>
      <w:r>
        <w:t xml:space="preserve">, </w:t>
      </w:r>
      <w:r>
        <w:rPr>
          <w:i/>
          <w:iCs/>
        </w:rPr>
        <w:t>86</w:t>
      </w:r>
      <w:r>
        <w:t>(B2), 903–920.</w:t>
      </w:r>
    </w:p>
    <w:p w14:paraId="318F1896" w14:textId="77777777" w:rsidR="002F44FD" w:rsidRDefault="002F44FD" w:rsidP="002F44FD">
      <w:pPr>
        <w:ind w:left="480" w:hanging="480"/>
      </w:pPr>
      <w:r>
        <w:t xml:space="preserve">Illston, B. G., Basara, J. B., Fiebrich, C. A., Crawford, K. C., Hunt, E., Fisher, D. K., Elliott, R., &amp; Humes, K. (2008). Mesoscale Monitoring of Soil Moisture across a Statewide Network. </w:t>
      </w:r>
      <w:r>
        <w:rPr>
          <w:i/>
          <w:iCs/>
        </w:rPr>
        <w:t>Journal of Atmospheric and Oceanic Technology</w:t>
      </w:r>
      <w:r>
        <w:t xml:space="preserve">, </w:t>
      </w:r>
      <w:r>
        <w:rPr>
          <w:i/>
          <w:iCs/>
        </w:rPr>
        <w:t>25</w:t>
      </w:r>
      <w:r>
        <w:t xml:space="preserve">(2), 167–182. </w:t>
      </w:r>
      <w:hyperlink r:id="rId23" w:history="1">
        <w:r>
          <w:rPr>
            <w:rStyle w:val="afc"/>
          </w:rPr>
          <w:t>https://doi.org/10.1175/2007JTECHA993.1</w:t>
        </w:r>
      </w:hyperlink>
    </w:p>
    <w:p w14:paraId="59AF085C" w14:textId="77777777" w:rsidR="002F44FD" w:rsidRDefault="002F44FD" w:rsidP="002F44FD">
      <w:pPr>
        <w:ind w:left="480" w:hanging="480"/>
      </w:pPr>
      <w:r>
        <w:t xml:space="preserve">Jackson, T. J., Schmugge, J., &amp; Engman, E. T. (1996). Remote sensing applications to hydrology: Soil moisture. </w:t>
      </w:r>
      <w:r>
        <w:rPr>
          <w:i/>
          <w:iCs/>
        </w:rPr>
        <w:t>Hydrological Sciences Journal</w:t>
      </w:r>
      <w:r>
        <w:t xml:space="preserve">, </w:t>
      </w:r>
      <w:r>
        <w:rPr>
          <w:i/>
          <w:iCs/>
        </w:rPr>
        <w:t>41</w:t>
      </w:r>
      <w:r>
        <w:t>(4), 517–530.</w:t>
      </w:r>
    </w:p>
    <w:p w14:paraId="2AE09168" w14:textId="77777777" w:rsidR="002F44FD" w:rsidRDefault="002F44FD" w:rsidP="002F44FD">
      <w:pPr>
        <w:ind w:left="480" w:hanging="480"/>
      </w:pPr>
      <w:r>
        <w:t xml:space="preserve">Kang, J., Jin, R., Li, X., &amp; Zhang, Y. (2021). Mapping High Spatiotemporal-Resolution Soil Moisture by Upscaling Sparse Ground-Based Observations Using a Bayesian Linear Regression Method for Comparison with Microwave Remotely Sensed Soil Moisture Products. </w:t>
      </w:r>
      <w:r>
        <w:rPr>
          <w:i/>
          <w:iCs/>
        </w:rPr>
        <w:t>Remote Sensing</w:t>
      </w:r>
      <w:r>
        <w:t xml:space="preserve">, </w:t>
      </w:r>
      <w:r>
        <w:rPr>
          <w:i/>
          <w:iCs/>
        </w:rPr>
        <w:t>13</w:t>
      </w:r>
      <w:r>
        <w:t xml:space="preserve">(2), 228. </w:t>
      </w:r>
      <w:hyperlink r:id="rId24" w:history="1">
        <w:r>
          <w:rPr>
            <w:rStyle w:val="afc"/>
          </w:rPr>
          <w:t>https://doi.org/10.3390/rs13020228</w:t>
        </w:r>
      </w:hyperlink>
    </w:p>
    <w:p w14:paraId="04371069" w14:textId="77777777" w:rsidR="002F44FD" w:rsidRDefault="002F44FD" w:rsidP="002F44FD">
      <w:pPr>
        <w:ind w:left="480" w:hanging="480"/>
      </w:pPr>
      <w:r>
        <w:lastRenderedPageBreak/>
        <w:t xml:space="preserve">Keranen, K. M., Savage, H. M., Abers, G. A., &amp; Cochran, E. S. (2013). Potentially induced earthquakes in Oklahoma, USA: Links between wastewater injection and the 2011 Mw 5.7 earthquake sequence. </w:t>
      </w:r>
      <w:r>
        <w:rPr>
          <w:i/>
          <w:iCs/>
        </w:rPr>
        <w:t>Geology</w:t>
      </w:r>
      <w:r>
        <w:t xml:space="preserve">, </w:t>
      </w:r>
      <w:r>
        <w:rPr>
          <w:i/>
          <w:iCs/>
        </w:rPr>
        <w:t>41</w:t>
      </w:r>
      <w:r>
        <w:t>(6), 699–702.</w:t>
      </w:r>
    </w:p>
    <w:p w14:paraId="4F7D4683" w14:textId="77777777" w:rsidR="002F44FD" w:rsidRDefault="002F44FD" w:rsidP="002F44FD">
      <w:pPr>
        <w:ind w:left="480" w:hanging="480"/>
      </w:pPr>
      <w:r>
        <w:t xml:space="preserve">Keranen, K. M., Weingarten, M., Abers, G. A., Bekins, B. A., &amp; Ge, S. (2014). Sharp increase in central Oklahoma seismicity since 2008 induced by massive wastewater injection. </w:t>
      </w:r>
      <w:r>
        <w:rPr>
          <w:i/>
          <w:iCs/>
        </w:rPr>
        <w:t>Science</w:t>
      </w:r>
      <w:r>
        <w:t xml:space="preserve">, </w:t>
      </w:r>
      <w:r>
        <w:rPr>
          <w:i/>
          <w:iCs/>
        </w:rPr>
        <w:t>345</w:t>
      </w:r>
      <w:r>
        <w:t>(6195), 448–451.</w:t>
      </w:r>
    </w:p>
    <w:p w14:paraId="1406FC8A" w14:textId="77777777" w:rsidR="002F44FD" w:rsidRDefault="002F44FD" w:rsidP="002F44FD">
      <w:pPr>
        <w:ind w:left="480" w:hanging="480"/>
      </w:pPr>
      <w:r>
        <w:t xml:space="preserve">Kim, W.-Y. (2013). Induced seismicity associated with fluid injection into a deep well in Youngstown, Ohio. </w:t>
      </w:r>
      <w:r>
        <w:rPr>
          <w:i/>
          <w:iCs/>
        </w:rPr>
        <w:t>Journal of Geophysical Research: Solid Earth</w:t>
      </w:r>
      <w:r>
        <w:t xml:space="preserve">, </w:t>
      </w:r>
      <w:r>
        <w:rPr>
          <w:i/>
          <w:iCs/>
        </w:rPr>
        <w:t>118</w:t>
      </w:r>
      <w:r>
        <w:t>(7), 3506–3518.</w:t>
      </w:r>
    </w:p>
    <w:p w14:paraId="6B12F1A7" w14:textId="77777777" w:rsidR="002F44FD" w:rsidRDefault="002F44FD" w:rsidP="002F44FD">
      <w:pPr>
        <w:ind w:left="480" w:hanging="480"/>
      </w:pPr>
      <w:r>
        <w:t xml:space="preserve">McPherson, R. A., Fiebrich, C. A., Crawford, K. C., Kilby, J. R., Grimsley, D. L., Martinez, J. E., Basara, J. B., Illston, B. G., Morris, D. A., Kloesel, K. A., Melvin, A. D., Shrivastava, H., Wolfinbarger, J. M., Bostic, J. P., Demko, D. B., Elliott, R. L., Stadler, S. J., Carlson, J. D., &amp; Sutherland, A. J. (2007). Statewide Monitoring of the Mesoscale Environment: A Technical Update on the Oklahoma Mesonet. </w:t>
      </w:r>
      <w:r>
        <w:rPr>
          <w:i/>
          <w:iCs/>
        </w:rPr>
        <w:t>Journal of Atmospheric and Oceanic Technology</w:t>
      </w:r>
      <w:r>
        <w:t xml:space="preserve">, </w:t>
      </w:r>
      <w:r>
        <w:rPr>
          <w:i/>
          <w:iCs/>
        </w:rPr>
        <w:t>24</w:t>
      </w:r>
      <w:r>
        <w:t xml:space="preserve">(3), 301–321. </w:t>
      </w:r>
      <w:hyperlink r:id="rId25" w:history="1">
        <w:r>
          <w:rPr>
            <w:rStyle w:val="afc"/>
          </w:rPr>
          <w:t>https://doi.org/10.1175/JTECH1976.1</w:t>
        </w:r>
      </w:hyperlink>
    </w:p>
    <w:p w14:paraId="50CD845C" w14:textId="77777777" w:rsidR="002F44FD" w:rsidRDefault="002F44FD" w:rsidP="002F44FD">
      <w:pPr>
        <w:ind w:left="480" w:hanging="480"/>
      </w:pPr>
      <w:r>
        <w:t xml:space="preserve">Meng, L., &amp; Quiring, S. M. (2008). A Comparison of Soil Moisture Models Using Soil Climate Analysis Network Observations. </w:t>
      </w:r>
      <w:r>
        <w:rPr>
          <w:i/>
          <w:iCs/>
        </w:rPr>
        <w:t>Journal of Hydrometeorology</w:t>
      </w:r>
      <w:r>
        <w:t xml:space="preserve">, </w:t>
      </w:r>
      <w:r>
        <w:rPr>
          <w:i/>
          <w:iCs/>
        </w:rPr>
        <w:t>9</w:t>
      </w:r>
      <w:r>
        <w:t xml:space="preserve">(4), 641–659. </w:t>
      </w:r>
      <w:hyperlink r:id="rId26" w:history="1">
        <w:r>
          <w:rPr>
            <w:rStyle w:val="afc"/>
          </w:rPr>
          <w:t>https://doi.org/10.1175/2008JHM916.1</w:t>
        </w:r>
      </w:hyperlink>
    </w:p>
    <w:p w14:paraId="775B9E73" w14:textId="77777777" w:rsidR="002F44FD" w:rsidRDefault="002F44FD" w:rsidP="002F44FD">
      <w:pPr>
        <w:ind w:left="480" w:hanging="480"/>
      </w:pPr>
      <w:r>
        <w:t xml:space="preserve">Mitchell, K. E., Lohmann, D., Houser, P. R., Wood, E. F., Schaake, J. C., Robock, A., Cosgrove, B. A., Sheffield, J., Duan, Q., Luo, L., Higgins, R. W., Pinker, R. T., Tarpley, J. D., Lettenmaier, D. P., Marshall, C. H., Entin, J. K., Pan, M., Shi, W., Koren, V., … Bailey, A. A. (2004). The multi-institution North American Land Data Assimilation System (NLDAS): Utilizing multiple GCIP products and partners in a continental distributed hydrological </w:t>
      </w:r>
      <w:r>
        <w:lastRenderedPageBreak/>
        <w:t xml:space="preserve">modeling system. </w:t>
      </w:r>
      <w:r>
        <w:rPr>
          <w:i/>
          <w:iCs/>
        </w:rPr>
        <w:t>Journal of Geophysical Research: Atmospheres</w:t>
      </w:r>
      <w:r>
        <w:t xml:space="preserve">, </w:t>
      </w:r>
      <w:r>
        <w:rPr>
          <w:i/>
          <w:iCs/>
        </w:rPr>
        <w:t>109</w:t>
      </w:r>
      <w:r>
        <w:t xml:space="preserve">(D7). </w:t>
      </w:r>
      <w:hyperlink r:id="rId27" w:history="1">
        <w:r>
          <w:rPr>
            <w:rStyle w:val="afc"/>
          </w:rPr>
          <w:t>https://doi.org/10.1029/2003JD003823</w:t>
        </w:r>
      </w:hyperlink>
    </w:p>
    <w:p w14:paraId="10DAAA9A" w14:textId="77777777" w:rsidR="002F44FD" w:rsidRDefault="002F44FD" w:rsidP="002F44FD">
      <w:pPr>
        <w:ind w:left="480" w:hanging="480"/>
      </w:pPr>
      <w:r>
        <w:t xml:space="preserve">Mohanty, B. P., Cosh, M. H., Lakshmi, V., &amp; Montzka, C. (2017). Soil Moisture Remote Sensing: State-of-the-Science. </w:t>
      </w:r>
      <w:r>
        <w:rPr>
          <w:i/>
          <w:iCs/>
        </w:rPr>
        <w:t>Vadose Zone Journal</w:t>
      </w:r>
      <w:r>
        <w:t xml:space="preserve">, </w:t>
      </w:r>
      <w:r>
        <w:rPr>
          <w:i/>
          <w:iCs/>
        </w:rPr>
        <w:t>16</w:t>
      </w:r>
      <w:r>
        <w:t xml:space="preserve">(1), vzj2016.10.0105. </w:t>
      </w:r>
      <w:hyperlink r:id="rId28" w:history="1">
        <w:r>
          <w:rPr>
            <w:rStyle w:val="afc"/>
          </w:rPr>
          <w:t>https://doi.org/10.2136/vzj2016.10.0105</w:t>
        </w:r>
      </w:hyperlink>
    </w:p>
    <w:p w14:paraId="2FCF7D22" w14:textId="77777777" w:rsidR="002F44FD" w:rsidRDefault="002F44FD" w:rsidP="002F44FD">
      <w:pPr>
        <w:ind w:left="480" w:hanging="480"/>
      </w:pPr>
      <w:r>
        <w:t xml:space="preserve">Murray, K. E., &amp; Holland, A. A. (2014). </w:t>
      </w:r>
      <w:r>
        <w:rPr>
          <w:i/>
          <w:iCs/>
        </w:rPr>
        <w:t>Inventory of class II underground injection control volumes in the midcontinent</w:t>
      </w:r>
      <w:r>
        <w:t>.</w:t>
      </w:r>
    </w:p>
    <w:p w14:paraId="46005B1E" w14:textId="77777777" w:rsidR="002F44FD" w:rsidRDefault="002F44FD" w:rsidP="002F44FD">
      <w:pPr>
        <w:ind w:left="480" w:hanging="480"/>
      </w:pPr>
      <w:r>
        <w:t xml:space="preserve">National Research Council. (2013). </w:t>
      </w:r>
      <w:r>
        <w:rPr>
          <w:i/>
          <w:iCs/>
        </w:rPr>
        <w:t>Induced seismicity potential in energy technologies</w:t>
      </w:r>
      <w:r>
        <w:t>. National Academies Press.</w:t>
      </w:r>
    </w:p>
    <w:p w14:paraId="16B4589B" w14:textId="77777777" w:rsidR="002F44FD" w:rsidRDefault="002F44FD" w:rsidP="002F44FD">
      <w:pPr>
        <w:ind w:left="480" w:hanging="480"/>
      </w:pPr>
      <w:r>
        <w:t xml:space="preserve">Norbeck, J. H., &amp; Rubinstein, J. L. (2018). Hydromechanical earthquake nucleation model forecasts onset, peak, and falling rates of induced seismicity in Oklahoma and Kansas. </w:t>
      </w:r>
      <w:r>
        <w:rPr>
          <w:i/>
          <w:iCs/>
        </w:rPr>
        <w:t>Geophysical Research Letters</w:t>
      </w:r>
      <w:r>
        <w:t xml:space="preserve">, </w:t>
      </w:r>
      <w:r>
        <w:rPr>
          <w:i/>
          <w:iCs/>
        </w:rPr>
        <w:t>45</w:t>
      </w:r>
      <w:r>
        <w:t>(7), 2963–2975.</w:t>
      </w:r>
    </w:p>
    <w:p w14:paraId="1FB7E975" w14:textId="77777777" w:rsidR="002F44FD" w:rsidRDefault="002F44FD" w:rsidP="002F44FD">
      <w:pPr>
        <w:ind w:left="480" w:hanging="480"/>
      </w:pPr>
      <w:r>
        <w:t xml:space="preserve">Ochsner, T. E., Linde, E., Haffner, M., &amp; Dong, J. (2019). Mesoscale Soil Moisture Patterns Revealed Using a Sparse In Situ Network and Regression Kriging. </w:t>
      </w:r>
      <w:r>
        <w:rPr>
          <w:i/>
          <w:iCs/>
        </w:rPr>
        <w:t>Water Resources Research</w:t>
      </w:r>
      <w:r>
        <w:t xml:space="preserve">, </w:t>
      </w:r>
      <w:r>
        <w:rPr>
          <w:i/>
          <w:iCs/>
        </w:rPr>
        <w:t>55</w:t>
      </w:r>
      <w:r>
        <w:t xml:space="preserve">(6), 4785–4800. </w:t>
      </w:r>
      <w:hyperlink r:id="rId29" w:history="1">
        <w:r>
          <w:rPr>
            <w:rStyle w:val="afc"/>
          </w:rPr>
          <w:t>https://doi.org/10.1029/2018WR024535</w:t>
        </w:r>
      </w:hyperlink>
    </w:p>
    <w:p w14:paraId="6D83FB5A" w14:textId="77777777" w:rsidR="002F44FD" w:rsidRDefault="002F44FD" w:rsidP="002F44FD">
      <w:pPr>
        <w:ind w:left="480" w:hanging="480"/>
      </w:pPr>
      <w:r>
        <w:t xml:space="preserve">Peng, J., Loew, A., Merlin, O., &amp; Verhoest, N. E. C. (2017). A review of spatial downscaling of satellite remotely sensed soil moisture. </w:t>
      </w:r>
      <w:r>
        <w:rPr>
          <w:i/>
          <w:iCs/>
        </w:rPr>
        <w:t>Reviews of Geophysics</w:t>
      </w:r>
      <w:r>
        <w:t xml:space="preserve">, </w:t>
      </w:r>
      <w:r>
        <w:rPr>
          <w:i/>
          <w:iCs/>
        </w:rPr>
        <w:t>55</w:t>
      </w:r>
      <w:r>
        <w:t xml:space="preserve">(2), 341–366. </w:t>
      </w:r>
      <w:hyperlink r:id="rId30" w:history="1">
        <w:r>
          <w:rPr>
            <w:rStyle w:val="afc"/>
          </w:rPr>
          <w:t>https://doi.org/10.1002/2016RG000543</w:t>
        </w:r>
      </w:hyperlink>
    </w:p>
    <w:p w14:paraId="7B4EA154" w14:textId="77777777" w:rsidR="002F44FD" w:rsidRDefault="002F44FD" w:rsidP="002F44FD">
      <w:pPr>
        <w:ind w:left="480" w:hanging="480"/>
      </w:pPr>
      <w:r>
        <w:t xml:space="preserve">Pielke, R. A. (2001). Influence of the spatial distribution of vegetation and soils on the prediction of cumulus Convective rainfall. </w:t>
      </w:r>
      <w:r>
        <w:rPr>
          <w:i/>
          <w:iCs/>
        </w:rPr>
        <w:t>Reviews of Geophysics</w:t>
      </w:r>
      <w:r>
        <w:t xml:space="preserve">, </w:t>
      </w:r>
      <w:r>
        <w:rPr>
          <w:i/>
          <w:iCs/>
        </w:rPr>
        <w:t>39</w:t>
      </w:r>
      <w:r>
        <w:t xml:space="preserve">(2), 151–177. </w:t>
      </w:r>
      <w:hyperlink r:id="rId31" w:history="1">
        <w:r>
          <w:rPr>
            <w:rStyle w:val="afc"/>
          </w:rPr>
          <w:t>https://doi.org/10.1029/1999RG000072</w:t>
        </w:r>
      </w:hyperlink>
    </w:p>
    <w:p w14:paraId="12901A9D" w14:textId="77777777" w:rsidR="002F44FD" w:rsidRDefault="002F44FD" w:rsidP="002F44FD">
      <w:pPr>
        <w:ind w:left="480" w:hanging="480"/>
      </w:pPr>
      <w:r>
        <w:lastRenderedPageBreak/>
        <w:t xml:space="preserve">Qin, J., Yang, K., Lu, N., Chen, Y., Zhao, L., &amp; Han, M. (2013). Spatial upscaling of in-situ soil moisture measurements based on MODIS-derived apparent thermal inertia. </w:t>
      </w:r>
      <w:r>
        <w:rPr>
          <w:i/>
          <w:iCs/>
        </w:rPr>
        <w:t>Remote Sensing of Environment</w:t>
      </w:r>
      <w:r>
        <w:t xml:space="preserve">, </w:t>
      </w:r>
      <w:r>
        <w:rPr>
          <w:i/>
          <w:iCs/>
        </w:rPr>
        <w:t>138</w:t>
      </w:r>
      <w:r>
        <w:t xml:space="preserve">, 1–9. </w:t>
      </w:r>
      <w:hyperlink r:id="rId32" w:history="1">
        <w:r>
          <w:rPr>
            <w:rStyle w:val="afc"/>
          </w:rPr>
          <w:t>https://doi.org/10.1016/j.rse.2013.07.003</w:t>
        </w:r>
      </w:hyperlink>
    </w:p>
    <w:p w14:paraId="3D59BFB1" w14:textId="77777777" w:rsidR="002F44FD" w:rsidRDefault="002F44FD" w:rsidP="002F44FD">
      <w:pPr>
        <w:ind w:left="480" w:hanging="480"/>
      </w:pPr>
      <w:r>
        <w:t xml:space="preserve">Robinson, D. A., Jones, S. B., Wraith, J. M., Or, D., &amp; Friedman, S. P. (2003). A Review of Advances in Dielectric and Electrical Conductivity Measurement in Soils Using Time Domain Reflectometry. </w:t>
      </w:r>
      <w:r>
        <w:rPr>
          <w:i/>
          <w:iCs/>
        </w:rPr>
        <w:t>Vadose Zone Journal</w:t>
      </w:r>
      <w:r>
        <w:t xml:space="preserve">, </w:t>
      </w:r>
      <w:r>
        <w:rPr>
          <w:i/>
          <w:iCs/>
        </w:rPr>
        <w:t>2</w:t>
      </w:r>
      <w:r>
        <w:t xml:space="preserve">(4), 444–475. </w:t>
      </w:r>
      <w:hyperlink r:id="rId33" w:history="1">
        <w:r>
          <w:rPr>
            <w:rStyle w:val="afc"/>
          </w:rPr>
          <w:t>https://doi.org/10.2136/vzj2003.4440</w:t>
        </w:r>
      </w:hyperlink>
    </w:p>
    <w:p w14:paraId="371BCE28" w14:textId="77777777" w:rsidR="002F44FD" w:rsidRDefault="002F44FD" w:rsidP="002F44FD">
      <w:pPr>
        <w:ind w:left="480" w:hanging="480"/>
      </w:pPr>
      <w:r>
        <w:t xml:space="preserve">Robock, A., Vinnikov, K. Y., Srinivasan, G., Entin, J. K., Hollinger, S. E., Speranskaya, N. A., Liu, S., &amp; Namkhai, A. (2000). The Global Soil Moisture Data Bank. </w:t>
      </w:r>
      <w:r>
        <w:rPr>
          <w:i/>
          <w:iCs/>
        </w:rPr>
        <w:t>Bulletin of the American Meteorological Society</w:t>
      </w:r>
      <w:r>
        <w:t xml:space="preserve">, </w:t>
      </w:r>
      <w:r>
        <w:rPr>
          <w:i/>
          <w:iCs/>
        </w:rPr>
        <w:t>81</w:t>
      </w:r>
      <w:r>
        <w:t xml:space="preserve">(6), 1281–1300. </w:t>
      </w:r>
      <w:hyperlink r:id="rId34" w:history="1">
        <w:r>
          <w:rPr>
            <w:rStyle w:val="afc"/>
          </w:rPr>
          <w:t>https://doi.org/10.1175/1520-0477(2000)081&lt;1281:TGSMDB&gt;2.3.CO;2</w:t>
        </w:r>
      </w:hyperlink>
    </w:p>
    <w:p w14:paraId="40C09ABD" w14:textId="77777777" w:rsidR="002F44FD" w:rsidRDefault="002F44FD" w:rsidP="002F44FD">
      <w:pPr>
        <w:ind w:left="480" w:hanging="480"/>
      </w:pPr>
      <w:r>
        <w:t xml:space="preserve">Rodell, M., Houser, P. R., Jambor, U., Gottschalck, J., Mitchell, K., Meng, C.-J., Arsenault, K., Cosgrove, B., Radakovich, J., Bosilovich, M., Entin, J. K., Walker, J. P., Lohmann, D., &amp; Toll, D. (2004). The Global Land Data Assimilation System. </w:t>
      </w:r>
      <w:r>
        <w:rPr>
          <w:i/>
          <w:iCs/>
        </w:rPr>
        <w:t>Bulletin of the American Meteorological Society</w:t>
      </w:r>
      <w:r>
        <w:t xml:space="preserve">, </w:t>
      </w:r>
      <w:r>
        <w:rPr>
          <w:i/>
          <w:iCs/>
        </w:rPr>
        <w:t>85</w:t>
      </w:r>
      <w:r>
        <w:t xml:space="preserve">(3), 381–394. </w:t>
      </w:r>
      <w:hyperlink r:id="rId35" w:history="1">
        <w:r>
          <w:rPr>
            <w:rStyle w:val="afc"/>
          </w:rPr>
          <w:t>https://doi.org/10.1175/BAMS-85-3-381</w:t>
        </w:r>
      </w:hyperlink>
    </w:p>
    <w:p w14:paraId="37FD2611" w14:textId="77777777" w:rsidR="002F44FD" w:rsidRDefault="002F44FD" w:rsidP="002F44FD">
      <w:pPr>
        <w:ind w:left="480" w:hanging="480"/>
      </w:pPr>
      <w:r>
        <w:t xml:space="preserve">Rubinstein, J. L., &amp; Mahani, A. B. (2015). Myths and facts on wastewater injection, hydraulic fracturing, enhanced oil recovery, and induced seismicity. </w:t>
      </w:r>
      <w:r>
        <w:rPr>
          <w:i/>
          <w:iCs/>
        </w:rPr>
        <w:t>Seismological Research Letters</w:t>
      </w:r>
      <w:r>
        <w:t xml:space="preserve">, </w:t>
      </w:r>
      <w:r>
        <w:rPr>
          <w:i/>
          <w:iCs/>
        </w:rPr>
        <w:t>86</w:t>
      </w:r>
      <w:r>
        <w:t>(4), 1060–1067.</w:t>
      </w:r>
    </w:p>
    <w:p w14:paraId="05AA391D" w14:textId="77777777" w:rsidR="002F44FD" w:rsidRDefault="002F44FD" w:rsidP="002F44FD">
      <w:pPr>
        <w:ind w:left="480" w:hanging="480"/>
      </w:pPr>
      <w:r>
        <w:t xml:space="preserve">Samouëlian, A., Cousin, I., Tabbagh, A., Bruand, A., &amp; Richard, G. (2005). Electrical resistivity survey in soil science: A review. </w:t>
      </w:r>
      <w:r>
        <w:rPr>
          <w:i/>
          <w:iCs/>
        </w:rPr>
        <w:t>Soil and Tillage Research</w:t>
      </w:r>
      <w:r>
        <w:t xml:space="preserve">, </w:t>
      </w:r>
      <w:r>
        <w:rPr>
          <w:i/>
          <w:iCs/>
        </w:rPr>
        <w:t>83</w:t>
      </w:r>
      <w:r>
        <w:t xml:space="preserve">(2), 173–193. </w:t>
      </w:r>
      <w:hyperlink r:id="rId36" w:history="1">
        <w:r>
          <w:rPr>
            <w:rStyle w:val="afc"/>
          </w:rPr>
          <w:t>https://doi.org/10.1016/j.still.2004.10.004</w:t>
        </w:r>
      </w:hyperlink>
    </w:p>
    <w:p w14:paraId="6E5DC654" w14:textId="77777777" w:rsidR="002F44FD" w:rsidRDefault="002F44FD" w:rsidP="002F44FD">
      <w:pPr>
        <w:ind w:left="480" w:hanging="480"/>
      </w:pPr>
      <w:r>
        <w:lastRenderedPageBreak/>
        <w:t xml:space="preserve">Sayde, C., Gregory, C., Gil-Rodriguez, M., Tufillaro, N., Tyler, S., Giesen, N. van de, English, M., Cuenca, R., &amp; Selker, J. S. (2010). Feasibility of soil moisture monitoring with heated fiber optics. </w:t>
      </w:r>
      <w:r>
        <w:rPr>
          <w:i/>
          <w:iCs/>
        </w:rPr>
        <w:t>Water Resources Research</w:t>
      </w:r>
      <w:r>
        <w:t xml:space="preserve">, </w:t>
      </w:r>
      <w:r>
        <w:rPr>
          <w:i/>
          <w:iCs/>
        </w:rPr>
        <w:t>46</w:t>
      </w:r>
      <w:r>
        <w:t xml:space="preserve">(6). </w:t>
      </w:r>
      <w:hyperlink r:id="rId37" w:history="1">
        <w:r>
          <w:rPr>
            <w:rStyle w:val="afc"/>
          </w:rPr>
          <w:t>https://doi.org/10.1029/2009WR007846</w:t>
        </w:r>
      </w:hyperlink>
    </w:p>
    <w:p w14:paraId="1E8E7895" w14:textId="77777777" w:rsidR="002F44FD" w:rsidRDefault="002F44FD" w:rsidP="002F44FD">
      <w:pPr>
        <w:ind w:left="480" w:hanging="480"/>
      </w:pPr>
      <w:r>
        <w:t xml:space="preserve">Selig, E. T., &amp; Mansukhani, S. (1975). Relationship of Soil Moisture to the Dielectric Property. </w:t>
      </w:r>
      <w:r>
        <w:rPr>
          <w:i/>
          <w:iCs/>
        </w:rPr>
        <w:t>Journal of the Geotechnical Engineering Division</w:t>
      </w:r>
      <w:r>
        <w:t xml:space="preserve">, </w:t>
      </w:r>
      <w:r>
        <w:rPr>
          <w:i/>
          <w:iCs/>
        </w:rPr>
        <w:t>101</w:t>
      </w:r>
      <w:r>
        <w:t xml:space="preserve">(8), 755–770. </w:t>
      </w:r>
      <w:hyperlink r:id="rId38" w:history="1">
        <w:r>
          <w:rPr>
            <w:rStyle w:val="afc"/>
          </w:rPr>
          <w:t>https://doi.org/10.1061/AJGEB6.0000184</w:t>
        </w:r>
      </w:hyperlink>
    </w:p>
    <w:p w14:paraId="5AB4AD8A" w14:textId="77777777" w:rsidR="002F44FD" w:rsidRDefault="002F44FD" w:rsidP="002F44FD">
      <w:pPr>
        <w:ind w:left="480" w:hanging="480"/>
      </w:pPr>
      <w:r>
        <w:t xml:space="preserve">Seneviratne, S. I., Corti, T., Davin, E. L., Hirschi, M., Jaeger, E. B., Lehner, I., Orlowsky, B., &amp; Teuling, A. J. (2010). Investigating soil moisture–climate interactions in a changing climate: A review. </w:t>
      </w:r>
      <w:r>
        <w:rPr>
          <w:i/>
          <w:iCs/>
        </w:rPr>
        <w:t>Earth-Science Reviews</w:t>
      </w:r>
      <w:r>
        <w:t xml:space="preserve">, </w:t>
      </w:r>
      <w:r>
        <w:rPr>
          <w:i/>
          <w:iCs/>
        </w:rPr>
        <w:t>99</w:t>
      </w:r>
      <w:r>
        <w:t xml:space="preserve">(3), 125–161. </w:t>
      </w:r>
      <w:hyperlink r:id="rId39" w:history="1">
        <w:r>
          <w:rPr>
            <w:rStyle w:val="afc"/>
          </w:rPr>
          <w:t>https://doi.org/10.1016/j.earscirev.2010.02.004</w:t>
        </w:r>
      </w:hyperlink>
    </w:p>
    <w:p w14:paraId="607276ED" w14:textId="77777777" w:rsidR="002F44FD" w:rsidRDefault="002F44FD" w:rsidP="002F44FD">
      <w:pPr>
        <w:ind w:left="480" w:hanging="480"/>
      </w:pPr>
      <w:r>
        <w:t xml:space="preserve">Shapiro, S. A., &amp; Dinske, C. (2009). Fluid‐induced seismicity: Pressure diffusion and hydraulic fracturing. </w:t>
      </w:r>
      <w:r>
        <w:rPr>
          <w:i/>
          <w:iCs/>
        </w:rPr>
        <w:t>Geophysical Prospecting</w:t>
      </w:r>
      <w:r>
        <w:t xml:space="preserve">, </w:t>
      </w:r>
      <w:r>
        <w:rPr>
          <w:i/>
          <w:iCs/>
        </w:rPr>
        <w:t>57</w:t>
      </w:r>
      <w:r>
        <w:t>(2), 301–310.</w:t>
      </w:r>
    </w:p>
    <w:p w14:paraId="22493C3D" w14:textId="77777777" w:rsidR="002F44FD" w:rsidRDefault="002F44FD" w:rsidP="002F44FD">
      <w:pPr>
        <w:ind w:left="480" w:hanging="480"/>
      </w:pPr>
      <w:r>
        <w:t xml:space="preserve">S.u., S. L., Singh, D. N., &amp; Shojaei Baghini, M. (2014). A critical review of soil moisture measurement. </w:t>
      </w:r>
      <w:r>
        <w:rPr>
          <w:i/>
          <w:iCs/>
        </w:rPr>
        <w:t>Measurement</w:t>
      </w:r>
      <w:r>
        <w:t xml:space="preserve">, </w:t>
      </w:r>
      <w:r>
        <w:rPr>
          <w:i/>
          <w:iCs/>
        </w:rPr>
        <w:t>54</w:t>
      </w:r>
      <w:r>
        <w:t xml:space="preserve">, 92–105. </w:t>
      </w:r>
      <w:hyperlink r:id="rId40" w:history="1">
        <w:r>
          <w:rPr>
            <w:rStyle w:val="afc"/>
          </w:rPr>
          <w:t>https://doi.org/10.1016/j.measurement.2014.04.007</w:t>
        </w:r>
      </w:hyperlink>
    </w:p>
    <w:p w14:paraId="6E98B757" w14:textId="77777777" w:rsidR="002F44FD" w:rsidRDefault="002F44FD" w:rsidP="002F44FD">
      <w:pPr>
        <w:ind w:left="480" w:hanging="480"/>
      </w:pPr>
      <w:r>
        <w:t xml:space="preserve">Swenson, S., Famiglietti, J., Basara, J., &amp; Wahr, J. (2008). Estimating profile soil moisture and groundwater variations using GRACE and Oklahoma Mesonet soil moisture data. </w:t>
      </w:r>
      <w:r>
        <w:rPr>
          <w:i/>
          <w:iCs/>
        </w:rPr>
        <w:t>Water Resources Research</w:t>
      </w:r>
      <w:r>
        <w:t xml:space="preserve">, </w:t>
      </w:r>
      <w:r>
        <w:rPr>
          <w:i/>
          <w:iCs/>
        </w:rPr>
        <w:t>44</w:t>
      </w:r>
      <w:r>
        <w:t xml:space="preserve">(1). </w:t>
      </w:r>
      <w:hyperlink r:id="rId41" w:history="1">
        <w:r>
          <w:rPr>
            <w:rStyle w:val="afc"/>
          </w:rPr>
          <w:t>https://doi.org/10.1029/2007WR006057</w:t>
        </w:r>
      </w:hyperlink>
    </w:p>
    <w:p w14:paraId="73BE73DF" w14:textId="77777777" w:rsidR="002F44FD" w:rsidRDefault="002F44FD" w:rsidP="002F44FD">
      <w:pPr>
        <w:ind w:left="480" w:hanging="480"/>
      </w:pPr>
      <w:r>
        <w:t xml:space="preserve">Trenberth, K. E., Fasullo, J. T., &amp; Kiehl, J. (2009). Earth’s Global Energy Budget. </w:t>
      </w:r>
      <w:r>
        <w:rPr>
          <w:i/>
          <w:iCs/>
        </w:rPr>
        <w:t>Bulletin of the American Meteorological Society</w:t>
      </w:r>
      <w:r>
        <w:t xml:space="preserve">, </w:t>
      </w:r>
      <w:r>
        <w:rPr>
          <w:i/>
          <w:iCs/>
        </w:rPr>
        <w:t>90</w:t>
      </w:r>
      <w:r>
        <w:t xml:space="preserve">(3), 311–324. </w:t>
      </w:r>
      <w:hyperlink r:id="rId42" w:history="1">
        <w:r>
          <w:rPr>
            <w:rStyle w:val="afc"/>
          </w:rPr>
          <w:t>https://doi.org/10.1175/2008BAMS2634.1</w:t>
        </w:r>
      </w:hyperlink>
    </w:p>
    <w:p w14:paraId="6C70282C" w14:textId="77777777" w:rsidR="002F44FD" w:rsidRDefault="002F44FD" w:rsidP="002F44FD">
      <w:pPr>
        <w:ind w:left="480" w:hanging="480"/>
      </w:pPr>
      <w:r>
        <w:t xml:space="preserve">U.S. Energy Information Administration. (2021, April 15). </w:t>
      </w:r>
      <w:r>
        <w:rPr>
          <w:i/>
          <w:iCs/>
        </w:rPr>
        <w:t>Oklahoma State Energy Profile</w:t>
      </w:r>
      <w:r>
        <w:t xml:space="preserve">. </w:t>
      </w:r>
      <w:hyperlink r:id="rId43" w:history="1">
        <w:r>
          <w:rPr>
            <w:rStyle w:val="afc"/>
          </w:rPr>
          <w:t>https://www.eia.gov/state/print.php?sid=OK</w:t>
        </w:r>
      </w:hyperlink>
    </w:p>
    <w:p w14:paraId="25C20B0F" w14:textId="77777777" w:rsidR="002F44FD" w:rsidRDefault="002F44FD" w:rsidP="002F44FD">
      <w:pPr>
        <w:ind w:left="480" w:hanging="480"/>
      </w:pPr>
      <w:r>
        <w:lastRenderedPageBreak/>
        <w:t xml:space="preserve">US EPA, O. (2015a, March 25). </w:t>
      </w:r>
      <w:r>
        <w:rPr>
          <w:i/>
          <w:iCs/>
        </w:rPr>
        <w:t>Safe Drinking Water Act (SDWA)</w:t>
      </w:r>
      <w:r>
        <w:t xml:space="preserve"> [Collections and Lists]. US EPA. </w:t>
      </w:r>
      <w:hyperlink r:id="rId44" w:history="1">
        <w:r>
          <w:rPr>
            <w:rStyle w:val="afc"/>
          </w:rPr>
          <w:t>https://www.epa.gov/sdwa</w:t>
        </w:r>
      </w:hyperlink>
    </w:p>
    <w:p w14:paraId="202F07A8" w14:textId="77777777" w:rsidR="002F44FD" w:rsidRDefault="002F44FD" w:rsidP="002F44FD">
      <w:pPr>
        <w:ind w:left="480" w:hanging="480"/>
      </w:pPr>
      <w:r>
        <w:t xml:space="preserve">US EPA, O. (2015b, March 27). </w:t>
      </w:r>
      <w:r>
        <w:rPr>
          <w:i/>
          <w:iCs/>
        </w:rPr>
        <w:t>Class II Oil and Gas Related Injection Wells</w:t>
      </w:r>
      <w:r>
        <w:t xml:space="preserve"> [Overviews and Factsheets]. US EPA. </w:t>
      </w:r>
      <w:hyperlink r:id="rId45" w:history="1">
        <w:r>
          <w:rPr>
            <w:rStyle w:val="afc"/>
          </w:rPr>
          <w:t>https://www.epa.gov/uic/class-ii-oil-and-gas-related-injection-wells</w:t>
        </w:r>
      </w:hyperlink>
    </w:p>
    <w:p w14:paraId="47457D44" w14:textId="77777777" w:rsidR="002F44FD" w:rsidRDefault="002F44FD" w:rsidP="002F44FD">
      <w:pPr>
        <w:ind w:left="480" w:hanging="480"/>
      </w:pPr>
      <w:r>
        <w:t xml:space="preserve">US EPA, O. (2015c, April 1). </w:t>
      </w:r>
      <w:r>
        <w:rPr>
          <w:i/>
          <w:iCs/>
        </w:rPr>
        <w:t>General Information About Injection Wells</w:t>
      </w:r>
      <w:r>
        <w:t xml:space="preserve"> [Overviews and Factsheets]. US EPA. </w:t>
      </w:r>
      <w:hyperlink r:id="rId46" w:history="1">
        <w:r>
          <w:rPr>
            <w:rStyle w:val="afc"/>
          </w:rPr>
          <w:t>https://www.epa.gov/uic/general-information-about-injection-wells</w:t>
        </w:r>
      </w:hyperlink>
    </w:p>
    <w:p w14:paraId="4FE36D3F" w14:textId="77777777" w:rsidR="002F44FD" w:rsidRDefault="002F44FD" w:rsidP="002F44FD">
      <w:pPr>
        <w:ind w:left="480" w:hanging="480"/>
      </w:pPr>
      <w:r>
        <w:t xml:space="preserve">US EPA, O. (2015d, June 11). </w:t>
      </w:r>
      <w:r>
        <w:rPr>
          <w:i/>
          <w:iCs/>
        </w:rPr>
        <w:t>Underground Injection Control Well Classes</w:t>
      </w:r>
      <w:r>
        <w:t xml:space="preserve"> [Overviews and Factsheets]. US EPA. </w:t>
      </w:r>
      <w:hyperlink r:id="rId47" w:history="1">
        <w:r>
          <w:rPr>
            <w:rStyle w:val="afc"/>
          </w:rPr>
          <w:t>https://www.epa.gov/uic/underground-injection-control-well-classes</w:t>
        </w:r>
      </w:hyperlink>
    </w:p>
    <w:p w14:paraId="62E2F808" w14:textId="77777777" w:rsidR="002F44FD" w:rsidRDefault="002F44FD" w:rsidP="002F44FD">
      <w:pPr>
        <w:ind w:left="480" w:hanging="480"/>
      </w:pPr>
      <w:r>
        <w:t xml:space="preserve">Valente, A., Morais, R., Tuli, A., Hopmans, J. W., &amp; Kluitenberg, G. J. (2006). Multi-functional probe for small-scale simultaneous measurements of soil thermal properties, water content, and electrical conductivity. </w:t>
      </w:r>
      <w:r>
        <w:rPr>
          <w:i/>
          <w:iCs/>
        </w:rPr>
        <w:t>Sensors and Actuators A: Physical</w:t>
      </w:r>
      <w:r>
        <w:t xml:space="preserve">, </w:t>
      </w:r>
      <w:r>
        <w:rPr>
          <w:i/>
          <w:iCs/>
        </w:rPr>
        <w:t>132</w:t>
      </w:r>
      <w:r>
        <w:t xml:space="preserve">(1), 70–77. </w:t>
      </w:r>
      <w:hyperlink r:id="rId48" w:history="1">
        <w:r>
          <w:rPr>
            <w:rStyle w:val="afc"/>
          </w:rPr>
          <w:t>https://doi.org/10.1016/j.sna.2006.05.010</w:t>
        </w:r>
      </w:hyperlink>
    </w:p>
    <w:p w14:paraId="38522532" w14:textId="77777777" w:rsidR="002F44FD" w:rsidRDefault="002F44FD" w:rsidP="002F44FD">
      <w:pPr>
        <w:ind w:left="480" w:hanging="480"/>
      </w:pPr>
      <w:r>
        <w:t xml:space="preserve">Walsh, F. R., &amp; Zoback, M. D. (2015). Oklahoma’s recent earthquakes and saltwater disposal. </w:t>
      </w:r>
      <w:r>
        <w:rPr>
          <w:i/>
          <w:iCs/>
        </w:rPr>
        <w:t>Science Advances</w:t>
      </w:r>
      <w:r>
        <w:t xml:space="preserve">, </w:t>
      </w:r>
      <w:r>
        <w:rPr>
          <w:i/>
          <w:iCs/>
        </w:rPr>
        <w:t>1</w:t>
      </w:r>
      <w:r>
        <w:t>(5), e1500195.</w:t>
      </w:r>
    </w:p>
    <w:p w14:paraId="4269C448" w14:textId="77777777" w:rsidR="002F44FD" w:rsidRDefault="002F44FD" w:rsidP="002F44FD">
      <w:pPr>
        <w:ind w:left="480" w:hanging="480"/>
      </w:pPr>
      <w:r>
        <w:t xml:space="preserve">Wang, J., Ge, Y., Heuvelink, G. B. M., &amp; Zhou, C. (2015). Upscaling In Situ Soil Moisture Observations to Pixel Averages with Spatio-Temporal Geostatistics. </w:t>
      </w:r>
      <w:r>
        <w:rPr>
          <w:i/>
          <w:iCs/>
        </w:rPr>
        <w:t>Remote Sensing</w:t>
      </w:r>
      <w:r>
        <w:t xml:space="preserve">, </w:t>
      </w:r>
      <w:r>
        <w:rPr>
          <w:i/>
          <w:iCs/>
        </w:rPr>
        <w:t>7</w:t>
      </w:r>
      <w:r>
        <w:t xml:space="preserve">(9), 11372–11388. </w:t>
      </w:r>
      <w:hyperlink r:id="rId49" w:history="1">
        <w:r>
          <w:rPr>
            <w:rStyle w:val="afc"/>
          </w:rPr>
          <w:t>https://doi.org/10.3390/rs70911372</w:t>
        </w:r>
      </w:hyperlink>
    </w:p>
    <w:p w14:paraId="6E9BE52E" w14:textId="77777777" w:rsidR="002F44FD" w:rsidRDefault="002F44FD" w:rsidP="002F44FD">
      <w:pPr>
        <w:ind w:left="480" w:hanging="480"/>
      </w:pPr>
      <w:r>
        <w:t xml:space="preserve">Xia, Y., Sheffield, J., Ek, M. B., Dong, J., Chaney, N., Wei, H., Meng, J., &amp; Wood, E. F. (2014). Evaluation of multi-model simulated soil moisture in NLDAS-2. </w:t>
      </w:r>
      <w:r>
        <w:rPr>
          <w:i/>
          <w:iCs/>
        </w:rPr>
        <w:t>Journal of Hydrology</w:t>
      </w:r>
      <w:r>
        <w:t xml:space="preserve">, </w:t>
      </w:r>
      <w:r>
        <w:rPr>
          <w:i/>
          <w:iCs/>
        </w:rPr>
        <w:t>512</w:t>
      </w:r>
      <w:r>
        <w:t xml:space="preserve">, 107–125. </w:t>
      </w:r>
      <w:hyperlink r:id="rId50" w:history="1">
        <w:r>
          <w:rPr>
            <w:rStyle w:val="afc"/>
          </w:rPr>
          <w:t>https://doi.org/10.1016/j.jhydrol.2014.02.027</w:t>
        </w:r>
      </w:hyperlink>
    </w:p>
    <w:p w14:paraId="6DB40C8B" w14:textId="77777777" w:rsidR="002F44FD" w:rsidRDefault="002F44FD" w:rsidP="002F44FD">
      <w:pPr>
        <w:ind w:left="480" w:hanging="480"/>
      </w:pPr>
      <w:r>
        <w:t xml:space="preserve">Zhang, X., Zhang, T., Zhou, P., Shao, Y., &amp; Gao, S. (2017). Validation Analysis of SMAP and AMSR2 Soil Moisture Products over the United States Using Ground-Based Measurements. </w:t>
      </w:r>
      <w:r>
        <w:rPr>
          <w:i/>
          <w:iCs/>
        </w:rPr>
        <w:t>Remote Sensing</w:t>
      </w:r>
      <w:r>
        <w:t xml:space="preserve">, </w:t>
      </w:r>
      <w:r>
        <w:rPr>
          <w:i/>
          <w:iCs/>
        </w:rPr>
        <w:t>9</w:t>
      </w:r>
      <w:r>
        <w:t xml:space="preserve">(2), 104. </w:t>
      </w:r>
      <w:hyperlink r:id="rId51" w:history="1">
        <w:r>
          <w:rPr>
            <w:rStyle w:val="afc"/>
          </w:rPr>
          <w:t>https://doi.org/10.3390/rs9020104</w:t>
        </w:r>
      </w:hyperlink>
    </w:p>
    <w:p w14:paraId="2F5233FF" w14:textId="77777777" w:rsidR="002F44FD" w:rsidRDefault="002F44FD" w:rsidP="002F44FD">
      <w:pPr>
        <w:ind w:left="480" w:hanging="480"/>
      </w:pPr>
      <w:r>
        <w:lastRenderedPageBreak/>
        <w:t xml:space="preserve">Zoback, M. D. (2012). Managing the seismic risk posed by wastewater disposal. </w:t>
      </w:r>
      <w:r>
        <w:rPr>
          <w:i/>
          <w:iCs/>
        </w:rPr>
        <w:t>Earth</w:t>
      </w:r>
      <w:r>
        <w:t xml:space="preserve">, </w:t>
      </w:r>
      <w:r>
        <w:rPr>
          <w:i/>
          <w:iCs/>
        </w:rPr>
        <w:t>57</w:t>
      </w:r>
      <w:r>
        <w:t>(4), 38.</w:t>
      </w:r>
    </w:p>
    <w:p w14:paraId="43EA478D" w14:textId="6FDEA94D" w:rsidR="00D85963" w:rsidRDefault="00D85963" w:rsidP="00D553F6">
      <w:pPr>
        <w:ind w:firstLine="0"/>
      </w:pPr>
    </w:p>
    <w:p w14:paraId="4C11D95F" w14:textId="63CCE8A7" w:rsidR="004539AA" w:rsidRDefault="004539AA" w:rsidP="00D553F6">
      <w:pPr>
        <w:ind w:firstLine="0"/>
      </w:pPr>
    </w:p>
    <w:p w14:paraId="47063206" w14:textId="26F35FE4" w:rsidR="004539AA" w:rsidRDefault="004539AA" w:rsidP="00D553F6">
      <w:pPr>
        <w:ind w:firstLine="0"/>
      </w:pPr>
    </w:p>
    <w:p w14:paraId="61B286B1" w14:textId="63B8674D" w:rsidR="004539AA" w:rsidRDefault="004539AA" w:rsidP="00D553F6">
      <w:pPr>
        <w:ind w:firstLine="0"/>
      </w:pPr>
    </w:p>
    <w:p w14:paraId="345FEE82" w14:textId="5E274B6E" w:rsidR="004539AA" w:rsidRDefault="004539AA" w:rsidP="00D553F6">
      <w:pPr>
        <w:ind w:firstLine="0"/>
      </w:pPr>
    </w:p>
    <w:p w14:paraId="2485B399" w14:textId="75850EF0" w:rsidR="004539AA" w:rsidRDefault="004539AA" w:rsidP="00D553F6">
      <w:pPr>
        <w:ind w:firstLine="0"/>
      </w:pPr>
    </w:p>
    <w:p w14:paraId="0C9B09B9" w14:textId="2C081867" w:rsidR="004539AA" w:rsidRDefault="004539AA" w:rsidP="00D553F6">
      <w:pPr>
        <w:ind w:firstLine="0"/>
      </w:pPr>
    </w:p>
    <w:p w14:paraId="4D9CE0AA" w14:textId="09F389B0" w:rsidR="004539AA" w:rsidRDefault="004539AA" w:rsidP="00D553F6">
      <w:pPr>
        <w:ind w:firstLine="0"/>
      </w:pPr>
    </w:p>
    <w:p w14:paraId="5EF5EE11" w14:textId="5291D045" w:rsidR="004539AA" w:rsidRDefault="004539AA" w:rsidP="00D553F6">
      <w:pPr>
        <w:ind w:firstLine="0"/>
      </w:pPr>
    </w:p>
    <w:p w14:paraId="3EEFC4F4" w14:textId="70E22B14" w:rsidR="004539AA" w:rsidRDefault="004539AA" w:rsidP="00D553F6">
      <w:pPr>
        <w:ind w:firstLine="0"/>
      </w:pPr>
    </w:p>
    <w:p w14:paraId="2F9B922E" w14:textId="66501CBB" w:rsidR="004539AA" w:rsidRDefault="004539AA" w:rsidP="00D553F6">
      <w:pPr>
        <w:ind w:firstLine="0"/>
      </w:pPr>
    </w:p>
    <w:p w14:paraId="2A6B0E19" w14:textId="2DE6DCC1" w:rsidR="004539AA" w:rsidRDefault="004539AA" w:rsidP="00D553F6">
      <w:pPr>
        <w:ind w:firstLine="0"/>
      </w:pPr>
    </w:p>
    <w:p w14:paraId="0CAFA9CA" w14:textId="0D402F45" w:rsidR="004539AA" w:rsidRDefault="004539AA" w:rsidP="00D553F6">
      <w:pPr>
        <w:ind w:firstLine="0"/>
      </w:pPr>
    </w:p>
    <w:p w14:paraId="72620FAD" w14:textId="349A51AD" w:rsidR="004539AA" w:rsidRDefault="004539AA" w:rsidP="00D553F6">
      <w:pPr>
        <w:ind w:firstLine="0"/>
      </w:pPr>
    </w:p>
    <w:p w14:paraId="1F3C20CF" w14:textId="15ACCAF2" w:rsidR="004539AA" w:rsidRDefault="004539AA" w:rsidP="00D553F6">
      <w:pPr>
        <w:ind w:firstLine="0"/>
      </w:pPr>
    </w:p>
    <w:p w14:paraId="20F25067" w14:textId="22658239" w:rsidR="004539AA" w:rsidRDefault="004539AA" w:rsidP="00D553F6">
      <w:pPr>
        <w:ind w:firstLine="0"/>
      </w:pPr>
    </w:p>
    <w:p w14:paraId="2B419110" w14:textId="5E0E4FD6" w:rsidR="004539AA" w:rsidRDefault="004539AA" w:rsidP="00D553F6">
      <w:pPr>
        <w:ind w:firstLine="0"/>
      </w:pPr>
    </w:p>
    <w:p w14:paraId="6619A493" w14:textId="1139CCBC" w:rsidR="004539AA" w:rsidRDefault="004539AA" w:rsidP="00D553F6">
      <w:pPr>
        <w:ind w:firstLine="0"/>
      </w:pPr>
    </w:p>
    <w:p w14:paraId="7170125C" w14:textId="78A3BB9C" w:rsidR="004539AA" w:rsidRDefault="004539AA" w:rsidP="00D553F6">
      <w:pPr>
        <w:ind w:firstLine="0"/>
      </w:pPr>
    </w:p>
    <w:p w14:paraId="3C613FEA" w14:textId="7E28E3B7" w:rsidR="004539AA" w:rsidRDefault="004539AA" w:rsidP="00D553F6">
      <w:pPr>
        <w:ind w:firstLine="0"/>
      </w:pPr>
    </w:p>
    <w:p w14:paraId="01B4D321" w14:textId="77777777" w:rsidR="004539AA" w:rsidRDefault="004539AA" w:rsidP="00D553F6">
      <w:pPr>
        <w:ind w:firstLine="0"/>
      </w:pPr>
    </w:p>
    <w:p w14:paraId="38AD9E19" w14:textId="15D7AC17" w:rsidR="008C6DB9" w:rsidRPr="00256FD6" w:rsidRDefault="00047C2F" w:rsidP="00C409B9">
      <w:pPr>
        <w:pStyle w:val="1"/>
      </w:pPr>
      <w:bookmarkStart w:id="28" w:name="_Toc75939824"/>
      <w:r>
        <w:lastRenderedPageBreak/>
        <w:t xml:space="preserve">Chapter 2 </w:t>
      </w:r>
      <w:r w:rsidR="009C4766" w:rsidRPr="00256FD6">
        <w:t>Spatiotemporal Assessment of Induced Seismicity in Oklahoma: Foreseeable Fewer Earthquakes for Sustainable Oil and Gas Extraction?</w:t>
      </w:r>
      <w:bookmarkEnd w:id="28"/>
    </w:p>
    <w:p w14:paraId="2912B1E8" w14:textId="75048FA3" w:rsidR="006C3CA0" w:rsidRPr="00CD4671" w:rsidRDefault="006C3CA0" w:rsidP="00CD4671">
      <w:pPr>
        <w:pStyle w:val="2"/>
      </w:pPr>
      <w:bookmarkStart w:id="29" w:name="_Toc75939825"/>
      <w:r w:rsidRPr="00CD4671">
        <w:t>Abstract</w:t>
      </w:r>
      <w:bookmarkEnd w:id="29"/>
    </w:p>
    <w:p w14:paraId="4AF88ED2" w14:textId="3542CD2B" w:rsidR="00235864" w:rsidRDefault="006C3CA0" w:rsidP="006D7120">
      <w:r>
        <w:t xml:space="preserve">In this study we present a spatiotemporal analysis of the recent seismicity and industry-related wastewater injection activity in Oklahoma. A predictive tool was developed to estimate the lagged effect of previous month’s injection volumes on subsequent regional seismic activity. Results support the hypothesis that the recent boom in unconventional oil and gas production and either the mitigation policies or the drop in oil prices (or both) are potentially responsible for the upsurge and reduction in the state’s seismic activity between 2006–2015 and 2016–2017, respectively. A cluster analysis reveals a synchronous migration pattern between earthquake occurrences and </w:t>
      </w:r>
      <w:r w:rsidR="001E0CAE">
        <w:t>saltwater</w:t>
      </w:r>
      <w:r>
        <w:t xml:space="preserve"> injection with a predominant northwest direction during 2006 through 2017. A lagged cross-correlation analysis allows extracting a power law between expected number of quakes and weighted average monthly injection volumes with a coefficient of determination of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=0.77</m:t>
        </m:r>
      </m:oMath>
      <w:r>
        <w:t xml:space="preserve">. Such a relation could be used to establish sustainable water injection limits aiming to minimize seismicity to values comparable with several historically representative averages. Results from these analyses coincide </w:t>
      </w:r>
      <w:r w:rsidR="001E0CAE">
        <w:t>with</w:t>
      </w:r>
      <w:r>
        <w:t xml:space="preserve"> previously found sustainable limits of 5 to 6 million </w:t>
      </w:r>
      <m:oMath>
        <m:f>
          <m:fPr>
            <m:type m:val="lin"/>
            <m:ctrlPr>
              <w:rPr>
                <w:rFonts w:ascii="Cambria Math" w:hAnsi="Cambria Math"/>
                <w:iCs/>
              </w:rPr>
            </m:ctrlPr>
          </m:fPr>
          <m:num>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3</m:t>
                </m:r>
              </m:sup>
            </m:sSup>
          </m:num>
          <m:den>
            <m:r>
              <m:rPr>
                <m:sty m:val="p"/>
              </m:rPr>
              <w:rPr>
                <w:rFonts w:ascii="Cambria Math" w:hAnsi="Cambria Math"/>
              </w:rPr>
              <m:t>month</m:t>
            </m:r>
          </m:den>
        </m:f>
      </m:oMath>
      <w:r>
        <w:t xml:space="preserve"> but expand to operations that could attain the same number through differential monthly planning. Findings could potentially be used for model intercomparison and regulation policies.</w:t>
      </w:r>
    </w:p>
    <w:p w14:paraId="6C4D9933" w14:textId="77777777" w:rsidR="001E0CAE" w:rsidRDefault="001E0CAE" w:rsidP="006D7120"/>
    <w:p w14:paraId="2B2C2760" w14:textId="1E49BB4D" w:rsidR="00967028" w:rsidRPr="00EB0813" w:rsidRDefault="005356AD" w:rsidP="00B05596">
      <w:pPr>
        <w:pStyle w:val="2"/>
      </w:pPr>
      <w:bookmarkStart w:id="30" w:name="_Toc75939826"/>
      <w:r w:rsidRPr="00EB0813">
        <w:t xml:space="preserve">2.1 </w:t>
      </w:r>
      <w:r w:rsidR="00967028" w:rsidRPr="00EB0813">
        <w:t>Introduction</w:t>
      </w:r>
      <w:bookmarkEnd w:id="30"/>
    </w:p>
    <w:p w14:paraId="58B2E73A" w14:textId="578EB1E8" w:rsidR="003841EF" w:rsidRDefault="00967028" w:rsidP="00B91282">
      <w:r>
        <w:t>Prior to the year 2000, the United States had an average of 21 earthquakes each</w:t>
      </w:r>
      <w:r w:rsidR="001F6D33">
        <w:t xml:space="preserve"> </w:t>
      </w:r>
      <w:r>
        <w:t>year with</w:t>
      </w:r>
      <w:r w:rsidR="001F6D33">
        <w:t xml:space="preserve"> </w:t>
      </w:r>
      <w:r>
        <w:t xml:space="preserve">magnitude 3.0 (i.e.,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AF3E62">
        <w:t xml:space="preserve"> </w:t>
      </w:r>
      <w:r>
        <w:t>3.0) or greater; however, since the start of 2010, more than 300 earthquakes of</w:t>
      </w:r>
      <w:r w:rsidR="001F6D33">
        <w:t xml:space="preserve"> </w:t>
      </w:r>
      <w:r>
        <w:t>equal or greater magnitude occurred in three years</w:t>
      </w:r>
      <w:r w:rsidR="00137AE5">
        <w:t xml:space="preserve"> </w:t>
      </w:r>
      <w:r w:rsidR="00137AE5">
        <w:fldChar w:fldCharType="begin"/>
      </w:r>
      <w:r w:rsidR="00137AE5">
        <w:instrText xml:space="preserve"> ADDIN ZOTERO_ITEM CSL_CITATION {"citationID":"2nMW75vb","properties":{"formattedCitation":"(Ellsworth, 2013)","plainCitation":"(Ellsworth, 2013)","noteIndex":0},"citationItems":[{"id":221,"uris":["http://zotero.org/users/7782726/items/Q6YGPG5J"],"uri":["http://zotero.org/users/7782726/items/Q6YGPG5J"],"itemData":{"id":221,"type":"article-journal","container-title":"Science","issue":"6142","note":"ISBN: 0036-8075\npublisher: American Association for the Advancement of Science","title":"Injection-induced earthquakes","volume":"341","author":[{"family":"Ellsworth","given":"William L."}],"issued":{"date-parts":[["2013"]]}}}],"schema":"https://github.com/citation-style-language/schema/raw/master/csl-citation.json"} </w:instrText>
      </w:r>
      <w:r w:rsidR="00137AE5">
        <w:fldChar w:fldCharType="separate"/>
      </w:r>
      <w:r w:rsidR="00137AE5" w:rsidRPr="00137AE5">
        <w:t>(Ellsworth, 2013)</w:t>
      </w:r>
      <w:r w:rsidR="00137AE5">
        <w:fldChar w:fldCharType="end"/>
      </w:r>
      <w:r>
        <w:t xml:space="preserve">. In the U.S. </w:t>
      </w:r>
      <w:r>
        <w:lastRenderedPageBreak/>
        <w:t>Great Plains region, the rate</w:t>
      </w:r>
      <w:r w:rsidR="001F6D33">
        <w:t xml:space="preserve"> </w:t>
      </w:r>
      <w:r>
        <w:t>of increase has been mostly attributed to excessive volumes of wastewater injection due to the</w:t>
      </w:r>
      <w:r w:rsidR="001F6D33">
        <w:t xml:space="preserve"> </w:t>
      </w:r>
      <w:r>
        <w:t xml:space="preserve">unprecedented activity of the oil and gas industry </w:t>
      </w:r>
      <w:r w:rsidR="003B27B6">
        <w:fldChar w:fldCharType="begin"/>
      </w:r>
      <w:r w:rsidR="003B27B6">
        <w:instrText xml:space="preserve"> ADDIN ZOTERO_ITEM CSL_CITATION {"citationID":"qeMQLXU6","properties":{"formattedCitation":"(Ellsworth, 2013; Frohlich et al., 2011; Horton, 2012; Keranen et al., 2014; Kim, 2013; Llenos &amp; Michael, 2013; Van der Elst et al., 2013; Weingarten et al., 2015)","plainCitation":"(Ellsworth, 2013; Frohlich et al., 2011; Horton, 2012; Keranen et al., 2014; Kim, 2013; Llenos &amp; Michael, 2013; Van der Elst et al., 2013; Weingarten et al., 2015)","noteIndex":0},"citationItems":[{"id":221,"uris":["http://zotero.org/users/7782726/items/Q6YGPG5J"],"uri":["http://zotero.org/users/7782726/items/Q6YGPG5J"],"itemData":{"id":221,"type":"article-journal","container-title":"Science","issue":"6142","note":"ISBN: 0036-8075\npublisher: American Association for the Advancement of Science","title":"Injection-induced earthquakes","volume":"341","author":[{"family":"Ellsworth","given":"William L."}],"issued":{"date-parts":[["2013"]]}}},{"id":222,"uris":["http://zotero.org/users/7782726/items/T32L7QNL"],"uri":["http://zotero.org/users/7782726/items/T32L7QNL"],"itemData":{"id":222,"type":"article-journal","container-title":"Bulletin of the Seismological Society of America","issue":"1","note":"ISBN: 1943-3573\npublisher: Seismological Society of America","page":"327-340","title":"The Dallas–Fort Worth earthquake sequence: October 2008 through May 2009","volume":"101","author":[{"family":"Frohlich","given":"Cliff"},{"family":"Hayward","given":"Chris"},{"family":"Stump","given":"Brian"},{"family":"Potter","given":"Eric"}],"issued":{"date-parts":[["2011"]]}}},{"id":223,"uris":["http://zotero.org/users/7782726/items/NAVGBEPK"],"uri":["http://zotero.org/users/7782726/items/NAVGBEPK"],"itemData":{"id":223,"type":"article-journal","container-title":"Seismological Research Letters","issue":"2","note":"ISBN: 1938-2057\npublisher: Seismological Society of America","page":"250-260","title":"Disposal of hydrofracking waste fluid by injection into subsurface aquifers triggers earthquake swarm in central Arkansas with potential for damaging earthquake","volume":"83","author":[{"family":"Horton","given":"Steve"}],"issued":{"date-parts":[["2012"]]}}},{"id":227,"uris":["http://zotero.org/users/7782726/items/WFKZXX4R"],"uri":["http://zotero.org/users/7782726/items/WFKZXX4R"],"itemData":{"id":227,"type":"article-journal","container-title":"Science","issue":"6195","note":"ISBN: 0036-8075\npublisher: American Association for the Advancement of Science","page":"448-451","title":"Sharp increase in central Oklahoma seismicity since 2008 induced by massive wastewater injection","volume":"345","author":[{"family":"Keranen","given":"Katie M."},{"family":"Weingarten","given":"Matthew"},{"family":"Abers","given":"Geoffrey A."},{"family":"Bekins","given":"Barbara A."},{"family":"Ge","given":"Shemin"}],"issued":{"date-parts":[["2014"]]}}},{"id":224,"uris":["http://zotero.org/users/7782726/items/E2XBREBT"],"uri":["http://zotero.org/users/7782726/items/E2XBREBT"],"itemData":{"id":224,"type":"article-journal","container-title":"Journal of Geophysical Research: Solid Earth","issue":"7","note":"ISBN: 2169-9313\npublisher: Wiley Online Library","page":"3506-3518","title":"Induced seismicity associated with fluid injection into a deep well in Youngstown, Ohio","volume":"118","author":[{"family":"Kim","given":"Won-Young"}],"issued":{"date-parts":[["2013"]]}}},{"id":225,"uris":["http://zotero.org/users/7782726/items/699ES9KK"],"uri":["http://zotero.org/users/7782726/items/699ES9KK"],"itemData":{"id":225,"type":"article-journal","container-title":"Bulletin of the Seismological Society of America","issue":"5","note":"ISBN: 1943-3573\npublisher: Seismological Society of America","page":"2850-2861","title":"Modeling earthquake rate changes in Oklahoma and Arkansas: Possible signatures of induced seismicity","volume":"103","author":[{"family":"Llenos","given":"Andrea L."},{"family":"Michael","given":"Andrew J."}],"issued":{"date-parts":[["2013"]]}}},{"id":226,"uris":["http://zotero.org/users/7782726/items/HJLSY7DP"],"uri":["http://zotero.org/users/7782726/items/HJLSY7DP"],"itemData":{"id":226,"type":"article-journal","container-title":"Science","issue":"6142","note":"ISBN: 0036-8075\npublisher: American Association for the Advancement of Science","page":"164-167","title":"Enhanced remote earthquake triggering at fluid-injection sites in the midwestern United States","volume":"341","author":[{"family":"Van der Elst","given":"Nicholas J."},{"family":"Savage","given":"Heather M."},{"family":"Keranen","given":"Katie M."},{"family":"Abers","given":"Geoffrey A."}],"issued":{"date-parts":[["2013"]]}}},{"id":228,"uris":["http://zotero.org/users/7782726/items/PUGHLY3C"],"uri":["http://zotero.org/users/7782726/items/PUGHLY3C"],"itemData":{"id":228,"type":"article-journal","container-title":"Science","issue":"6241","note":"ISBN: 0036-8075\npublisher: American Association for the Advancement of Science","page":"1336-1340","title":"High-rate injection is associated with the increase in US mid-continent seismicity","volume":"348","author":[{"family":"Weingarten","given":"Matthew"},{"family":"Ge","given":"Shemin"},{"family":"Godt","given":"Jonathan W."},{"family":"Bekins","given":"Barbara A."},{"family":"Rubinstein","given":"Justin L."}],"issued":{"date-parts":[["2015"]]}}}],"schema":"https://github.com/citation-style-language/schema/raw/master/csl-citation.json"} </w:instrText>
      </w:r>
      <w:r w:rsidR="003B27B6">
        <w:fldChar w:fldCharType="separate"/>
      </w:r>
      <w:r w:rsidR="003B27B6" w:rsidRPr="003B27B6">
        <w:t>(Ellsworth, 2013; Frohlich et al., 2011; Horton, 2012; Keranen et al., 2014; Kim, 2013; Llenos &amp; Michael, 2013; Van der Elst et al., 2013; Weingarten et al., 2015)</w:t>
      </w:r>
      <w:r w:rsidR="003B27B6">
        <w:fldChar w:fldCharType="end"/>
      </w:r>
      <w:r>
        <w:t xml:space="preserve">. For example, the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t xml:space="preserve"> 3.9 earthquake on</w:t>
      </w:r>
      <w:r w:rsidR="001F6D33">
        <w:t xml:space="preserve"> </w:t>
      </w:r>
      <w:r>
        <w:t>31 December 2011 in Youngstown, Ohio was concluded to be induced by the fluid injection at a</w:t>
      </w:r>
      <w:r w:rsidR="001F6D33">
        <w:t xml:space="preserve"> </w:t>
      </w:r>
      <w:r>
        <w:t>deep-injection well close to pre-existing faults</w:t>
      </w:r>
      <w:r w:rsidR="00FE6409">
        <w:t xml:space="preserve"> </w:t>
      </w:r>
      <w:r w:rsidR="00FE6409">
        <w:fldChar w:fldCharType="begin"/>
      </w:r>
      <w:r w:rsidR="00FE6409">
        <w:instrText xml:space="preserve"> ADDIN ZOTERO_ITEM CSL_CITATION {"citationID":"yXiXFCSM","properties":{"formattedCitation":"(Kim, 2013)","plainCitation":"(Kim, 2013)","noteIndex":0},"citationItems":[{"id":224,"uris":["http://zotero.org/users/7782726/items/E2XBREBT"],"uri":["http://zotero.org/users/7782726/items/E2XBREBT"],"itemData":{"id":224,"type":"article-journal","container-title":"Journal of Geophysical Research: Solid Earth","issue":"7","note":"ISBN: 2169-9313\npublisher: Wiley Online Library","page":"3506-3518","title":"Induced seismicity associated with fluid injection into a deep well in Youngstown, Ohio","volume":"118","author":[{"family":"Kim","given":"Won-Young"}],"issued":{"date-parts":[["2013"]]}}}],"schema":"https://github.com/citation-style-language/schema/raw/master/csl-citation.json"} </w:instrText>
      </w:r>
      <w:r w:rsidR="00FE6409">
        <w:fldChar w:fldCharType="separate"/>
      </w:r>
      <w:r w:rsidR="00FE6409" w:rsidRPr="00FE6409">
        <w:t>(Kim, 2013)</w:t>
      </w:r>
      <w:r w:rsidR="00FE6409">
        <w:fldChar w:fldCharType="end"/>
      </w:r>
      <w:r>
        <w:t xml:space="preserve">. The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t xml:space="preserve"> 4.7 earthquake on 27 February 2011 in</w:t>
      </w:r>
      <w:r w:rsidR="001F6D33">
        <w:t xml:space="preserve"> </w:t>
      </w:r>
      <w:r>
        <w:t xml:space="preserve">central Arkansas occurred within 6 km of three wastewater disposal wells in use </w:t>
      </w:r>
      <w:r w:rsidR="0054655A">
        <w:fldChar w:fldCharType="begin"/>
      </w:r>
      <w:r w:rsidR="0054655A">
        <w:instrText xml:space="preserve"> ADDIN ZOTERO_ITEM CSL_CITATION {"citationID":"FmEzfmRu","properties":{"formattedCitation":"(Horton, 2012)","plainCitation":"(Horton, 2012)","noteIndex":0},"citationItems":[{"id":223,"uris":["http://zotero.org/users/7782726/items/NAVGBEPK"],"uri":["http://zotero.org/users/7782726/items/NAVGBEPK"],"itemData":{"id":223,"type":"article-journal","container-title":"Seismological Research Letters","issue":"2","note":"ISBN: 1938-2057\npublisher: Seismological Society of America","page":"250-260","title":"Disposal of hydrofracking waste fluid by injection into subsurface aquifers triggers earthquake swarm in central Arkansas with potential for damaging earthquake","volume":"83","author":[{"family":"Horton","given":"Steve"}],"issued":{"date-parts":[["2012"]]}}}],"schema":"https://github.com/citation-style-language/schema/raw/master/csl-citation.json"} </w:instrText>
      </w:r>
      <w:r w:rsidR="0054655A">
        <w:fldChar w:fldCharType="separate"/>
      </w:r>
      <w:r w:rsidR="0054655A" w:rsidRPr="0054655A">
        <w:t>(Horton, 2012)</w:t>
      </w:r>
      <w:r w:rsidR="0054655A">
        <w:fldChar w:fldCharType="end"/>
      </w:r>
      <w:r>
        <w:t>. The 2008–2009</w:t>
      </w:r>
      <w:r w:rsidR="001F6D33">
        <w:t xml:space="preserve"> </w:t>
      </w:r>
      <w:r>
        <w:t xml:space="preserve">sequence of earthquakes with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t xml:space="preserve"> smaller than 3.3 at the Dallas/Fort Worth Airport area were</w:t>
      </w:r>
      <w:r w:rsidR="001F6D33">
        <w:t xml:space="preserve"> </w:t>
      </w:r>
      <w:r>
        <w:t xml:space="preserve">potentially induced by brine disposal associated with the production of natural gas </w:t>
      </w:r>
      <w:r w:rsidR="0054655A">
        <w:fldChar w:fldCharType="begin"/>
      </w:r>
      <w:r w:rsidR="0054655A">
        <w:instrText xml:space="preserve"> ADDIN ZOTERO_ITEM CSL_CITATION {"citationID":"gHOBQtds","properties":{"formattedCitation":"(Frohlich et al., 2011)","plainCitation":"(Frohlich et al., 2011)","noteIndex":0},"citationItems":[{"id":222,"uris":["http://zotero.org/users/7782726/items/T32L7QNL"],"uri":["http://zotero.org/users/7782726/items/T32L7QNL"],"itemData":{"id":222,"type":"article-journal","container-title":"Bulletin of the Seismological Society of America","issue":"1","note":"ISBN: 1943-3573\npublisher: Seismological Society of America","page":"327-340","title":"The Dallas–Fort Worth earthquake sequence: October 2008 through May 2009","volume":"101","author":[{"family":"Frohlich","given":"Cliff"},{"family":"Hayward","given":"Chris"},{"family":"Stump","given":"Brian"},{"family":"Potter","given":"Eric"}],"issued":{"date-parts":[["2011"]]}}}],"schema":"https://github.com/citation-style-language/schema/raw/master/csl-citation.json"} </w:instrText>
      </w:r>
      <w:r w:rsidR="0054655A">
        <w:fldChar w:fldCharType="separate"/>
      </w:r>
      <w:r w:rsidR="0054655A" w:rsidRPr="0054655A">
        <w:t>(Frohlich et al., 2011)</w:t>
      </w:r>
      <w:r w:rsidR="0054655A">
        <w:fldChar w:fldCharType="end"/>
      </w:r>
      <w:r>
        <w:t xml:space="preserve">. The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t xml:space="preserve"> 5.7</w:t>
      </w:r>
      <w:r w:rsidR="001F6D33">
        <w:t xml:space="preserve"> </w:t>
      </w:r>
      <w:r>
        <w:t>and 5.8 earthquakes in 2011 and 2016 in Oklahoma appear to be relevant to wastewater injection</w:t>
      </w:r>
      <w:r w:rsidR="00532BCF">
        <w:t xml:space="preserve"> </w:t>
      </w:r>
      <w:r w:rsidR="00532BCF">
        <w:fldChar w:fldCharType="begin"/>
      </w:r>
      <w:r w:rsidR="00532BCF">
        <w:instrText xml:space="preserve"> ADDIN ZOTERO_ITEM CSL_CITATION {"citationID":"JMfQLxy3","properties":{"formattedCitation":"(Barbour et al., 2017; Keranen et al., 2013)","plainCitation":"(Barbour et al., 2017; Keranen et al., 2013)","noteIndex":0},"citationItems":[{"id":230,"uris":["http://zotero.org/users/7782726/items/FCHBZ99F"],"uri":["http://zotero.org/users/7782726/items/FCHBZ99F"],"itemData":{"id":230,"type":"article-journal","container-title":"Seismological Research Letters","issue":"4","note":"ISBN: 0895-0695\npublisher: Seismological Society of America","page":"1040-1053","title":"The effects of varying injection rates in Osage County, Oklahoma, on the 2016 M w 5.8 Pawnee earthquake","volume":"88","author":[{"family":"Barbour","given":"Andrew J."},{"family":"Norbeck","given":"Jack H."},{"family":"Rubinstein","given":"Justin L."}],"issued":{"date-parts":[["2017"]]}}},{"id":229,"uris":["http://zotero.org/users/7782726/items/7R22WWZ9"],"uri":["http://zotero.org/users/7782726/items/7R22WWZ9"],"itemData":{"id":229,"type":"article-journal","container-title":"Geology","issue":"6","note":"ISBN: 1943-2682\npublisher: Geological Society of America","page":"699-702","title":"Potentially induced earthquakes in Oklahoma, USA: Links between wastewater injection and the 2011 Mw 5.7 earthquake sequence","volume":"41","author":[{"family":"Keranen","given":"Katie M."},{"family":"Savage","given":"Heather M."},{"family":"Abers","given":"Geoffrey A."},{"family":"Cochran","given":"Elizabeth S."}],"issued":{"date-parts":[["2013"]]}}}],"schema":"https://github.com/citation-style-language/schema/raw/master/csl-citation.json"} </w:instrText>
      </w:r>
      <w:r w:rsidR="00532BCF">
        <w:fldChar w:fldCharType="separate"/>
      </w:r>
      <w:r w:rsidR="00532BCF" w:rsidRPr="00532BCF">
        <w:t>(Barbour et al., 2017; Keranen et al., 2013)</w:t>
      </w:r>
      <w:r w:rsidR="00532BCF">
        <w:fldChar w:fldCharType="end"/>
      </w:r>
      <w:r>
        <w:t>.</w:t>
      </w:r>
      <w:r w:rsidR="001F6D33">
        <w:t xml:space="preserve"> </w:t>
      </w:r>
      <w:r>
        <w:t>However, to conclusively determine the degree of association between wastewater injection and</w:t>
      </w:r>
      <w:r w:rsidR="001F6D33">
        <w:t xml:space="preserve"> </w:t>
      </w:r>
      <w:r w:rsidR="002A5EF0">
        <w:t>earthquakes remains a challenging task</w:t>
      </w:r>
      <w:r w:rsidR="001E0CAE">
        <w:t xml:space="preserve"> doe to </w:t>
      </w:r>
      <w:r w:rsidR="002A5EF0">
        <w:t>the research limitations in data availability and regionally appropriate seismic models.</w:t>
      </w:r>
    </w:p>
    <w:p w14:paraId="7D055736" w14:textId="3D061DF7" w:rsidR="009715B4" w:rsidRDefault="00506F0A" w:rsidP="00506F0A">
      <w:r w:rsidRPr="00506F0A">
        <w:t>Both earthquakes’ regional number and magnitude have increased during the</w:t>
      </w:r>
      <w:r w:rsidR="001E0CAE">
        <w:t xml:space="preserve"> previous</w:t>
      </w:r>
      <w:r w:rsidRPr="00506F0A">
        <w:t xml:space="preserve"> decade and</w:t>
      </w:r>
      <w:r>
        <w:t xml:space="preserve"> </w:t>
      </w:r>
      <w:r w:rsidRPr="00506F0A">
        <w:t xml:space="preserve">seismic events have become </w:t>
      </w:r>
      <w:r w:rsidR="001E0CAE">
        <w:t xml:space="preserve">more </w:t>
      </w:r>
      <w:r w:rsidRPr="00506F0A">
        <w:t>common within the state of Oklahoma, including recorded earthquakes</w:t>
      </w:r>
      <w:r>
        <w:t xml:space="preserve"> </w:t>
      </w:r>
      <w:r w:rsidRPr="00506F0A">
        <w:t xml:space="preserve">with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CE4381">
        <w:t xml:space="preserve"> </w:t>
      </w:r>
      <w:r w:rsidRPr="00506F0A">
        <w:t>3.0 or greater. Keranen et al.</w:t>
      </w:r>
      <w:r w:rsidR="005D7AA6">
        <w:t xml:space="preserve"> </w:t>
      </w:r>
      <w:r w:rsidR="002571E8">
        <w:fldChar w:fldCharType="begin"/>
      </w:r>
      <w:r w:rsidR="00F32FF7">
        <w:instrText xml:space="preserve"> ADDIN ZOTERO_ITEM CSL_CITATION {"citationID":"XnI7fmmD","properties":{"formattedCitation":"(Keranen et al., 2014)","plainCitation":"(Keranen et al., 2014)","dontUpdate":true,"noteIndex":0},"citationItems":[{"id":227,"uris":["http://zotero.org/users/7782726/items/WFKZXX4R"],"uri":["http://zotero.org/users/7782726/items/WFKZXX4R"],"itemData":{"id":227,"type":"article-journal","container-title":"Science","issue":"6195","note":"ISBN: 0036-8075\npublisher: American Association for the Advancement of Science","page":"448-451","title":"Sharp increase in central Oklahoma seismicity since 2008 induced by massive wastewater injection","volume":"345","author":[{"family":"Keranen","given":"Katie M."},{"family":"Weingarten","given":"Matthew"},{"family":"Abers","given":"Geoffrey A."},{"family":"Bekins","given":"Barbara A."},{"family":"Ge","given":"Shemin"}],"issued":{"date-parts":[["2014"]]}}}],"schema":"https://github.com/citation-style-language/schema/raw/master/csl-citation.json"} </w:instrText>
      </w:r>
      <w:r w:rsidR="002571E8">
        <w:fldChar w:fldCharType="separate"/>
      </w:r>
      <w:r w:rsidR="002571E8" w:rsidRPr="002571E8">
        <w:t>(2014)</w:t>
      </w:r>
      <w:r w:rsidR="002571E8">
        <w:fldChar w:fldCharType="end"/>
      </w:r>
      <w:r w:rsidR="005D7AA6">
        <w:t xml:space="preserve"> </w:t>
      </w:r>
      <w:r w:rsidRPr="00506F0A">
        <w:t>noted that the total number of earthquakes in Oklahoma</w:t>
      </w:r>
      <w:r>
        <w:t xml:space="preserve"> </w:t>
      </w:r>
      <w:r w:rsidRPr="00506F0A">
        <w:t>between 2008 and 2013 (i.e., 6 years) was four times those occurred from 1976 to 2007 (i.e., 31 years).</w:t>
      </w:r>
      <w:r>
        <w:t xml:space="preserve"> </w:t>
      </w:r>
      <w:r w:rsidRPr="00506F0A">
        <w:t>Additionally, between 1974 and 2008, Oklahoma</w:t>
      </w:r>
      <w:r w:rsidR="006E3CE2">
        <w:t xml:space="preserve"> </w:t>
      </w:r>
      <w:r w:rsidRPr="00506F0A">
        <w:t xml:space="preserve">had an average of one earthquake with </w:t>
      </w:r>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hAnsi="Cambria Math"/>
          </w:rPr>
          <m:t>≥3.0</m:t>
        </m:r>
      </m:oMath>
      <w:r w:rsidRPr="00506F0A">
        <w:t xml:space="preserve"> each year. Comparatively, during 2013 and 2014, the state had more than 100 </w:t>
      </w:r>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hAnsi="Cambria Math"/>
          </w:rPr>
          <m:t>≥3.0</m:t>
        </m:r>
      </m:oMath>
      <w:r w:rsidR="002E4EF7" w:rsidRPr="00506F0A">
        <w:t xml:space="preserve"> </w:t>
      </w:r>
      <w:r w:rsidRPr="00506F0A">
        <w:t>quake</w:t>
      </w:r>
      <w:r>
        <w:t xml:space="preserve"> </w:t>
      </w:r>
      <w:r w:rsidRPr="00506F0A">
        <w:t>events per year</w:t>
      </w:r>
      <w:r w:rsidR="00352B11">
        <w:t xml:space="preserve"> </w:t>
      </w:r>
      <w:r w:rsidR="00352B11">
        <w:fldChar w:fldCharType="begin"/>
      </w:r>
      <w:r w:rsidR="00352B11">
        <w:instrText xml:space="preserve"> ADDIN ZOTERO_ITEM CSL_CITATION {"citationID":"fpIap0FV","properties":{"formattedCitation":"(Walsh &amp; Zoback, 2015)","plainCitation":"(Walsh &amp; Zoback, 2015)","noteIndex":0},"citationItems":[{"id":231,"uris":["http://zotero.org/users/7782726/items/XTD48FX5"],"uri":["http://zotero.org/users/7782726/items/XTD48FX5"],"itemData":{"id":231,"type":"article-journal","container-title":"Science advances","issue":"5","note":"ISBN: 2375-2548\npublisher: American Association for the Advancement of Science","page":"e1500195","title":"Oklahoma’s recent earthquakes and saltwater disposal","volume":"1","author":[{"family":"Walsh","given":"F. Rall"},{"family":"Zoback","given":"Mark D."}],"issued":{"date-parts":[["2015"]]}}}],"schema":"https://github.com/citation-style-language/schema/raw/master/csl-citation.json"} </w:instrText>
      </w:r>
      <w:r w:rsidR="00352B11">
        <w:fldChar w:fldCharType="separate"/>
      </w:r>
      <w:r w:rsidR="00352B11" w:rsidRPr="00352B11">
        <w:t>(Walsh &amp; Zoback, 2015)</w:t>
      </w:r>
      <w:r w:rsidR="00352B11">
        <w:fldChar w:fldCharType="end"/>
      </w:r>
      <w:r w:rsidRPr="00506F0A">
        <w:t xml:space="preserve">. </w:t>
      </w:r>
      <w:r w:rsidR="006E3CE2">
        <w:t>O</w:t>
      </w:r>
      <w:r w:rsidRPr="00506F0A">
        <w:t xml:space="preserve">n 3 September 2016, an earthquake with a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Pr="00506F0A">
        <w:t xml:space="preserve"> 5.8 occurred near the northern</w:t>
      </w:r>
      <w:r>
        <w:t xml:space="preserve"> </w:t>
      </w:r>
      <w:r w:rsidRPr="00506F0A">
        <w:t>Oklahoma town of Pawnee. It was the strongest earthquake on record to date</w:t>
      </w:r>
      <w:r w:rsidR="006E3CE2">
        <w:t xml:space="preserve"> in that location</w:t>
      </w:r>
      <w:r w:rsidRPr="00506F0A">
        <w:t>. As an immediate</w:t>
      </w:r>
      <w:r>
        <w:t xml:space="preserve"> </w:t>
      </w:r>
      <w:r w:rsidRPr="00506F0A">
        <w:lastRenderedPageBreak/>
        <w:t>response, the Oklahoma Corporation Commission (OCC) ordered the shutdown of 37 disposal wells</w:t>
      </w:r>
      <w:r>
        <w:t xml:space="preserve"> </w:t>
      </w:r>
      <w:r w:rsidRPr="00506F0A">
        <w:t xml:space="preserve">to within an area of 1878 </w:t>
      </w:r>
      <m:oMath>
        <m:sSup>
          <m:sSupPr>
            <m:ctrlPr>
              <w:rPr>
                <w:rFonts w:ascii="Cambria Math" w:hAnsi="Cambria Math"/>
                <w:i/>
              </w:rPr>
            </m:ctrlPr>
          </m:sSupPr>
          <m:e>
            <m:r>
              <w:rPr>
                <w:rFonts w:ascii="Cambria Math" w:hAnsi="Cambria Math"/>
              </w:rPr>
              <m:t>km</m:t>
            </m:r>
          </m:e>
          <m:sup>
            <m:r>
              <w:rPr>
                <w:rFonts w:ascii="Cambria Math" w:hAnsi="Cambria Math"/>
              </w:rPr>
              <m:t>2</m:t>
            </m:r>
          </m:sup>
        </m:sSup>
      </m:oMath>
      <w:r w:rsidRPr="00506F0A">
        <w:t xml:space="preserve"> </w:t>
      </w:r>
      <w:r w:rsidR="006E3CE2">
        <w:t>around</w:t>
      </w:r>
      <w:r w:rsidRPr="00506F0A">
        <w:t xml:space="preserve"> the epicenter. OCC has also taken many other actions in response to</w:t>
      </w:r>
      <w:r>
        <w:t xml:space="preserve"> </w:t>
      </w:r>
      <w:r w:rsidRPr="00506F0A">
        <w:t xml:space="preserve">recent earthquakes, including a disposal volume reduction plan </w:t>
      </w:r>
      <w:r w:rsidR="001B355E">
        <w:fldChar w:fldCharType="begin"/>
      </w:r>
      <w:r w:rsidR="001B355E">
        <w:instrText xml:space="preserve"> ADDIN ZOTERO_ITEM CSL_CITATION {"citationID":"exbj5vri","properties":{"formattedCitation":"(Oklahoma Corporation Commission, 2017)","plainCitation":"(Oklahoma Corporation Commission, 2017)","noteIndex":0},"citationItems":[{"id":234,"uris":["http://zotero.org/users/7782726/items/E4E93YTZ"],"uri":["http://zotero.org/users/7782726/items/E4E93YTZ"],"itemData":{"id":234,"type":"article","title":"Earthquake Response Summary","URL":"http://www.occeweb.com/News/2017/02-24-17EARTHQUAKE%20ACTION%20SUMMARY.pdf","author":[{"family":"Oklahoma Corporation Commission","given":""}],"accessed":{"date-parts":[["2018",10,15]]},"issued":{"date-parts":[["2017"]]}}}],"schema":"https://github.com/citation-style-language/schema/raw/master/csl-citation.json"} </w:instrText>
      </w:r>
      <w:r w:rsidR="001B355E">
        <w:fldChar w:fldCharType="separate"/>
      </w:r>
      <w:r w:rsidR="001B355E" w:rsidRPr="001B355E">
        <w:t>(Oklahoma Corporation Commission, 2017)</w:t>
      </w:r>
      <w:r w:rsidR="001B355E">
        <w:fldChar w:fldCharType="end"/>
      </w:r>
      <w:r w:rsidRPr="00506F0A">
        <w:t>.</w:t>
      </w:r>
    </w:p>
    <w:p w14:paraId="285A59B4" w14:textId="4819004A" w:rsidR="002442FC" w:rsidRDefault="5E4FB5CC" w:rsidP="00CA7C19">
      <w:r>
        <w:t xml:space="preserve">A growing body of scientific research increasingly connects this upsurge in seismic activity in Oklahoma with the recent boom in oil and gas production, specifically with the wastewater injection volumes (IW) and their depth </w:t>
      </w:r>
      <w:r w:rsidR="00CA7C19">
        <w:fldChar w:fldCharType="begin"/>
      </w:r>
      <w:r w:rsidR="00CA7C19">
        <w:instrText xml:space="preserve"> ADDIN ZOTERO_ITEM CSL_CITATION {"citationID":"JiG0POsu","properties":{"formattedCitation":"(Barbour et al., 2017; X. Chen et al., 2017; Hincks et al., 2018; Holland, 2013; Hough &amp; Page, 2015; Keranen et al., 2013, 2014; Walsh &amp; Zoback, 2015)","plainCitation":"(Barbour et al., 2017; X. Chen et al., 2017; Hincks et al., 2018; Holland, 2013; Hough &amp; Page, 2015; Keranen et al., 2013, 2014; Walsh &amp; Zoback, 2015)","dontUpdate":true,"noteIndex":0},"citationItems":[{"id":230,"uris":["http://zotero.org/users/7782726/items/FCHBZ99F"],"uri":["http://zotero.org/users/7782726/items/FCHBZ99F"],"itemData":{"id":230,"type":"article-journal","container-title":"Seismological Research Letters","issue":"4","note":"ISBN: 0895-0695\npublisher: Seismological Society of America","page":"1040-1053","title":"The effects of varying injection rates in Osage County, Oklahoma, on the 2016 M w 5.8 Pawnee earthquake","volume":"88","author":[{"family":"Barbour","given":"Andrew J."},{"family":"Norbeck","given":"Jack H."},{"family":"Rubinstein","given":"Justin L."}],"issued":{"date-parts":[["2017"]]}}},{"id":237,"uris":["http://zotero.org/users/7782726/items/IJ48E3KZ"],"uri":["http://zotero.org/users/7782726/items/IJ48E3KZ"],"itemData":{"id":237,"type":"article-journal","container-title":"Scientific Reports","issue":"1","note":"ISBN: 2045-2322\npublisher: Nature Publishing Group","page":"1-18","title":"The Pawnee earthquake as a result of the interplay among injection, faults and foreshocks","volume":"7","author":[{"family":"Chen","given":"Xiaowei"},{"family":"Nakata","given":"Nori"},{"family":"Pennington","given":"Colin"},{"family":"Haffener","given":"Jackson"},{"family":"Chang","given":"Jefferson C."},{"family":"He","given":"Xiaohui"},{"family":"Zhan","given":"Zhongwen"},{"family":"Ni","given":"Sidao"},{"family":"Walter","given":"Jacob I."}],"issued":{"date-parts":[["2017"]]}}},{"id":238,"uris":["http://zotero.org/users/7782726/items/G88675T2"],"uri":["http://zotero.org/users/7782726/items/G88675T2"],"itemData":{"id":238,"type":"article-journal","container-title":"Science","issue":"6381","note":"ISBN: 0036-8075\npublisher: American Association for the Advancement of Science","page":"1251-1255","title":"Oklahoma's induced seismicity strongly linked to wastewater injection depth","volume":"359","author":[{"family":"Hincks","given":"Thea"},{"family":"Aspinall","given":"Willy"},{"family":"Cooke","given":"Roger"},{"family":"Gernon","given":"Thomas"}],"issued":{"date-parts":[["2018"]]}}},{"id":235,"uris":["http://zotero.org/users/7782726/items/8XLDP8AR"],"uri":["http://zotero.org/users/7782726/items/8XLDP8AR"],"itemData":{"id":235,"type":"article-journal","container-title":"Bulletin of the Seismological Society of America","issue":"3","note":"ISBN: 1943-3573\npublisher: Seismological Society of America","page":"1784-1792","title":"Earthquakes triggered by hydraulic fracturing in south‐central Oklahoma","volume":"103","author":[{"family":"Holland","given":"Austin A."}],"issued":{"date-parts":[["2013"]]}}},{"id":236,"uris":["http://zotero.org/users/7782726/items/X82WY4UK"],"uri":["http://zotero.org/users/7782726/items/X82WY4UK"],"itemData":{"id":236,"type":"article-journal","container-title":"Bulletin of the Seismological Society of America","issue":"6","note":"ISBN: 1943-3573\npublisher: Seismological Society of America","page":"2863-2870","title":"A century of induced earthquakes in Oklahoma?","volume":"105","author":[{"family":"Hough","given":"Susan E."},{"family":"Page","given":"Morgan"}],"issued":{"date-parts":[["2015"]]}}},{"id":229,"uris":["http://zotero.org/users/7782726/items/7R22WWZ9"],"uri":["http://zotero.org/users/7782726/items/7R22WWZ9"],"itemData":{"id":229,"type":"article-journal","container-title":"Geology","issue":"6","note":"ISBN: 1943-2682\npublisher: Geological Society of America","page":"699-702","title":"Potentially induced earthquakes in Oklahoma, USA: Links between wastewater injection and the 2011 Mw 5.7 earthquake sequence","volume":"41","author":[{"family":"Keranen","given":"Katie M."},{"family":"Savage","given":"Heather M."},{"family":"Abers","given":"Geoffrey A."},{"family":"Cochran","given":"Elizabeth S."}],"issued":{"date-parts":[["2013"]]}}},{"id":227,"uris":["http://zotero.org/users/7782726/items/WFKZXX4R"],"uri":["http://zotero.org/users/7782726/items/WFKZXX4R"],"itemData":{"id":227,"type":"article-journal","container-title":"Science","issue":"6195","note":"ISBN: 0036-8075\npublisher: American Association for the Advancement of Science","page":"448-451","title":"Sharp increase in central Oklahoma seismicity since 2008 induced by massive wastewater injection","volume":"345","author":[{"family":"Keranen","given":"Katie M."},{"family":"Weingarten","given":"Matthew"},{"family":"Abers","given":"Geoffrey A."},{"family":"Bekins","given":"Barbara A."},{"family":"Ge","given":"Shemin"}],"issued":{"date-parts":[["2014"]]}}},{"id":231,"uris":["http://zotero.org/users/7782726/items/XTD48FX5"],"uri":["http://zotero.org/users/7782726/items/XTD48FX5"],"itemData":{"id":231,"type":"article-journal","container-title":"Science advances","issue":"5","note":"ISBN: 2375-2548\npublisher: American Association for the Advancement of Science","page":"e1500195","title":"Oklahoma’s recent earthquakes and saltwater disposal","volume":"1","author":[{"family":"Walsh","given":"F. Rall"},{"family":"Zoback","given":"Mark D."}],"issued":{"date-parts":[["2015"]]}}}],"schema":"https://github.com/citation-style-language/schema/raw/master/csl-citation.json"} </w:instrText>
      </w:r>
      <w:r w:rsidR="00CA7C19">
        <w:fldChar w:fldCharType="separate"/>
      </w:r>
      <w:r>
        <w:t>(Barbour et al., 2017; Chen et al., 2017; Hincks et al., 2018; Holland, 2013; Hough &amp; Page, 2015; Keranen et al., 2013, 2014; Walsh &amp; Zoback, 2015)</w:t>
      </w:r>
      <w:r w:rsidR="00CA7C19">
        <w:fldChar w:fldCharType="end"/>
      </w:r>
      <w:r>
        <w:t xml:space="preserve">. Norbeck and Rubinstein </w:t>
      </w:r>
      <w:r w:rsidR="00CA7C19">
        <w:fldChar w:fldCharType="begin"/>
      </w:r>
      <w:r w:rsidR="00CA7C19">
        <w:instrText xml:space="preserve"> ADDIN ZOTERO_ITEM CSL_CITATION {"citationID":"aIFbwCve","properties":{"formattedCitation":"(Norbeck &amp; Rubinstein, 2018)","plainCitation":"(Norbeck &amp; Rubinstein, 2018)","dontUpdate":true,"noteIndex":0},"citationItems":[{"id":239,"uris":["http://zotero.org/users/7782726/items/X28UQ6PY"],"uri":["http://zotero.org/users/7782726/items/X28UQ6PY"],"itemData":{"id":239,"type":"article-journal","container-title":"Geophysical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CA7C19">
        <w:fldChar w:fldCharType="separate"/>
      </w:r>
      <w:r>
        <w:t>(2018)</w:t>
      </w:r>
      <w:r w:rsidR="00CA7C19">
        <w:fldChar w:fldCharType="end"/>
      </w:r>
      <w:r>
        <w:t xml:space="preserve"> calibrated a reservoir model to calculate the hydrologic conditions associated with the activity of 902 saltwater disposal wells into the Aurbuckle aquifer using multiple geology parameters within Oklahoma. Langenbruch and Zoback </w:t>
      </w:r>
      <w:r w:rsidR="00CA7C19">
        <w:fldChar w:fldCharType="begin"/>
      </w:r>
      <w:r w:rsidR="00CA7C19">
        <w:instrText xml:space="preserve"> ADDIN ZOTERO_ITEM CSL_CITATION {"citationID":"zWibhrRB","properties":{"formattedCitation":"(Langenbruch &amp; Zoback, 2016)","plainCitation":"(Langenbruch &amp; Zoback, 2016)","dontUpdate":true,"noteIndex":0},"citationItems":[{"id":240,"uris":["http://zotero.org/users/7782726/items/WHPZB4ER"],"uri":["http://zotero.org/users/7782726/items/WHPZB4ER"],"itemData":{"id":240,"type":"article-journal","container-title":"Science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CA7C19">
        <w:fldChar w:fldCharType="separate"/>
      </w:r>
      <w:r>
        <w:t>(2016)</w:t>
      </w:r>
      <w:r w:rsidR="00CA7C19">
        <w:fldChar w:fldCharType="end"/>
      </w:r>
      <w:r>
        <w:t xml:space="preserve"> calibrated statistical model that relates seismicity and injection by applying the Guttenberg–Richter Law depending on two varying-in-time and space seismogenic parameters. Despite recent contributions of robust, but parametrically uncertain, physically based and hybrid (statistics and physics-based) models </w:t>
      </w:r>
      <w:r w:rsidR="00CA7C19">
        <w:fldChar w:fldCharType="begin"/>
      </w:r>
      <w:r w:rsidR="00CA7C19">
        <w:instrText xml:space="preserve"> ADDIN ZOTERO_ITEM CSL_CITATION {"citationID":"h8VoYQqJ","properties":{"formattedCitation":"(Langenbruch et al., 2018; Langenbruch &amp; Zoback, 2016; Norbeck &amp; Rubinstein, 2018; Pollyea et al., 2018)","plainCitation":"(Langenbruch et al., 2018; Langenbruch &amp; Zoback, 2016; Norbeck &amp; Rubinstein, 2018; Pollyea et al., 2018)","noteIndex":0},"citationItems":[{"id":241,"uris":["http://zotero.org/users/7782726/items/DMET4QWV"],"uri":["http://zotero.org/users/7782726/items/DMET4QWV"],"itemData":{"id":241,"type":"article-journal","container-title":"Nature communications","issue":"1","note":"ISBN: 2041-1723\npublisher: Nature Publishing Group","page":"1-10","title":"Physics-based forecasting of man-made earthquake hazards in Oklahoma and Kansas","volume":"9","author":[{"family":"Langenbruch","given":"Cornelius"},{"family":"Weingarten","given":"Matthew"},{"family":"Zoback","given":"Mark D."}],"issued":{"date-parts":[["2018"]]}}},{"id":240,"uris":["http://zotero.org/users/7782726/items/WHPZB4ER"],"uri":["http://zotero.org/users/7782726/items/WHPZB4ER"],"itemData":{"id":240,"type":"article-journal","container-title":"Science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L."}],"issued":{"date-parts":[["2018"]]}}},{"id":242,"uris":["http://zotero.org/users/7782726/items/8T5PD4G5"],"uri":["http://zotero.org/users/7782726/items/8T5PD4G5"],"itemData":{"id":242,"type":"article-journal","container-title":"Geology","issue":"3","note":"ISBN: 0091-7613\npublisher: GeoScienceWorld","page":"215-218","title":"Geospatial analysis of Oklahoma (USA) earthquakes (2011–2016): quantifying the limits of regional-scale earthquake mitigation measures","volume":"46","author":[{"family":"Pollyea","given":"Ryan M."},{"family":"Mohammadi","given":"Neda"},{"family":"Taylor","given":"John E."},{"family":"Chapman","given":"Martin C."}],"issued":{"date-parts":[["2018"]]}}}],"schema":"https://github.com/citation-style-language/schema/raw/master/csl-citation.json"} </w:instrText>
      </w:r>
      <w:r w:rsidR="00CA7C19">
        <w:fldChar w:fldCharType="separate"/>
      </w:r>
      <w:r>
        <w:t>(Langenbruch et al., 2018; Langenbruch &amp; Zoback, 2016; Norbeck &amp; Rubinstein, 2018; Pollyea et al., 2018)</w:t>
      </w:r>
      <w:r w:rsidR="00CA7C19">
        <w:fldChar w:fldCharType="end"/>
      </w:r>
      <w:r>
        <w:t>, more work is needed to assess the cumulative effects of underground injected water on triggering subsequent seismic activity and to identify bivariate regional migration patterns that allow for establishing clear relations between water injection and earthquake magnitude and number. This study has gathered exhaustive datasets pertaining to underground injection control (UIC) wells from OCC and the earthquake catalogue data from Oklahoma Geological Survey (OGS) from 2006 to 2017. The main findings of this chapter could help to set sustainable limits for oil and gas extraction industry by minimizing the expected number and magnitude of induced quakes, thus avoiding future human and property losses.</w:t>
      </w:r>
    </w:p>
    <w:p w14:paraId="30B837E6" w14:textId="0ED22C80" w:rsidR="00B96135" w:rsidRDefault="00B0526F" w:rsidP="00B0526F">
      <w:r w:rsidRPr="00B0526F">
        <w:lastRenderedPageBreak/>
        <w:t xml:space="preserve">This </w:t>
      </w:r>
      <w:r w:rsidR="006E3CE2">
        <w:t>chapter</w:t>
      </w:r>
      <w:r w:rsidRPr="00B0526F">
        <w:t xml:space="preserve"> first provides a description of the data sources and magnitude of completeness</w:t>
      </w:r>
      <w:r>
        <w:t xml:space="preserve"> </w:t>
      </w:r>
      <w:r w:rsidRPr="00B0526F">
        <w:t>to then develop spatiotemporal relations of the wastewater injection and seismic activity in Oklahoma</w:t>
      </w:r>
      <w:r>
        <w:t xml:space="preserve"> </w:t>
      </w:r>
      <w:r w:rsidRPr="00B0526F">
        <w:t>during 2006–2017. Subsequently, it provides an assessment of the regional collocation of wastewater</w:t>
      </w:r>
      <w:r>
        <w:t xml:space="preserve"> </w:t>
      </w:r>
      <w:r w:rsidRPr="00B0526F">
        <w:t>injection activity and number/magnitude of earthquakes and their spatial association. Then, it explores</w:t>
      </w:r>
      <w:r>
        <w:t xml:space="preserve"> </w:t>
      </w:r>
      <w:r w:rsidRPr="00B0526F">
        <w:t>the temporal correlations between wastewater injection volumes and number of earthquakes to develop</w:t>
      </w:r>
      <w:r>
        <w:t xml:space="preserve"> </w:t>
      </w:r>
      <w:r w:rsidRPr="00B0526F">
        <w:t xml:space="preserve">a </w:t>
      </w:r>
      <w:r w:rsidR="006E3CE2">
        <w:t>two</w:t>
      </w:r>
      <w:r w:rsidRPr="00B0526F">
        <w:t>-parameter predictive power law. Model results are evaluated in terms of</w:t>
      </w:r>
      <w:r>
        <w:t xml:space="preserve"> </w:t>
      </w:r>
      <w:r w:rsidRPr="00B0526F">
        <w:t>observations and two recently published models. A discussion section describes the potential uses</w:t>
      </w:r>
      <w:r>
        <w:t xml:space="preserve"> </w:t>
      </w:r>
      <w:r w:rsidRPr="00B0526F">
        <w:t xml:space="preserve">and limitations of the achieved results. Lastly, conclusions summarize the main findings of this </w:t>
      </w:r>
      <w:r w:rsidR="006E3CE2">
        <w:t>chapter</w:t>
      </w:r>
      <w:r w:rsidRPr="00B0526F">
        <w:t>.</w:t>
      </w:r>
    </w:p>
    <w:p w14:paraId="347FAB12" w14:textId="77777777" w:rsidR="006E3CE2" w:rsidRDefault="006E3CE2" w:rsidP="00B0526F"/>
    <w:p w14:paraId="5B2CD1BF" w14:textId="788AA33D" w:rsidR="00B0526F" w:rsidRPr="00502CF5" w:rsidRDefault="00CA679C" w:rsidP="00502CF5">
      <w:pPr>
        <w:pStyle w:val="2"/>
      </w:pPr>
      <w:bookmarkStart w:id="31" w:name="_Toc75939827"/>
      <w:r w:rsidRPr="00502CF5">
        <w:t>2.2 Data Sources</w:t>
      </w:r>
      <w:bookmarkEnd w:id="31"/>
    </w:p>
    <w:p w14:paraId="79A563AD" w14:textId="7CF61E6F" w:rsidR="0041267B" w:rsidRDefault="008E6F97" w:rsidP="008E6F97">
      <w:r w:rsidRPr="008E6F97">
        <w:t>Wastewater injection volumes (IW) and site location data were obtained from the OCC website</w:t>
      </w:r>
      <w:r>
        <w:t xml:space="preserve"> </w:t>
      </w:r>
      <w:r w:rsidRPr="008E6F97">
        <w:t xml:space="preserve">http://www.occeweb.com/OG/ogdatafiles2.htm in September 2018 </w:t>
      </w:r>
      <w:r w:rsidR="00803E92">
        <w:fldChar w:fldCharType="begin"/>
      </w:r>
      <w:r w:rsidR="00803E92">
        <w:instrText xml:space="preserve"> ADDIN ZOTERO_ITEM CSL_CITATION {"citationID":"9PIJDQv9","properties":{"formattedCitation":"(Oklahoma Corporation Commission, 2018)","plainCitation":"(Oklahoma Corporation Commission, 2018)","noteIndex":0},"citationItems":[{"id":243,"uris":["http://zotero.org/users/7782726/items/BV244GRF"],"uri":["http://zotero.org/users/7782726/items/BV244GRF"],"itemData":{"id":243,"type":"article","title":"Oil and Gas Data Files","URL":"http://www.occeweb.com/OG/ogdatafiles2.htm","author":[{"family":"Oklahoma Corporation Commission","given":""}],"accessed":{"date-parts":[["2018",9,23]]},"issued":{"date-parts":[["2018"]]}}}],"schema":"https://github.com/citation-style-language/schema/raw/master/csl-citation.json"} </w:instrText>
      </w:r>
      <w:r w:rsidR="00803E92">
        <w:fldChar w:fldCharType="separate"/>
      </w:r>
      <w:r w:rsidR="00803E92" w:rsidRPr="00803E92">
        <w:t>(Oklahoma Corporation Commission, 2018)</w:t>
      </w:r>
      <w:r w:rsidR="00803E92">
        <w:fldChar w:fldCharType="end"/>
      </w:r>
      <w:r w:rsidRPr="008E6F97">
        <w:t xml:space="preserve"> for the calendar years 2006</w:t>
      </w:r>
      <w:r>
        <w:t xml:space="preserve"> </w:t>
      </w:r>
      <w:r w:rsidRPr="008E6F97">
        <w:t xml:space="preserve">to 2017. Class II injection and </w:t>
      </w:r>
      <w:r w:rsidR="006E3CE2" w:rsidRPr="008E6F97">
        <w:t>saltwater</w:t>
      </w:r>
      <w:r w:rsidRPr="008E6F97">
        <w:t xml:space="preserve"> disposal (SWD) volume data sets were</w:t>
      </w:r>
      <w:r>
        <w:t xml:space="preserve"> </w:t>
      </w:r>
      <w:r w:rsidRPr="008E6F97">
        <w:t>manually inspected to remove incomplete or duplicate records, as well as records without geolocation.</w:t>
      </w:r>
      <w:r>
        <w:t xml:space="preserve"> </w:t>
      </w:r>
      <w:r w:rsidRPr="008E6F97">
        <w:t>IW data of SWD wells are available annually from 2006 to 2010, and monthly from 2011 to 2017.</w:t>
      </w:r>
      <w:r>
        <w:t xml:space="preserve"> </w:t>
      </w:r>
      <w:r w:rsidRPr="008E6F97">
        <w:t>Since Osage County, in northeast Oklahoma is regulated by the Environmental Protection Agency</w:t>
      </w:r>
      <w:r>
        <w:t xml:space="preserve"> </w:t>
      </w:r>
      <w:r w:rsidRPr="008E6F97">
        <w:t>(EPA) we could not include all active injection wells to date as these data were not publicly available.</w:t>
      </w:r>
      <w:r>
        <w:t xml:space="preserve"> </w:t>
      </w:r>
      <w:r w:rsidRPr="008E6F97">
        <w:t xml:space="preserve">However, we obtained information </w:t>
      </w:r>
      <w:r w:rsidR="006E3CE2">
        <w:t xml:space="preserve">from </w:t>
      </w:r>
      <w:r w:rsidRPr="008E6F97">
        <w:t>10 active injection wells, within</w:t>
      </w:r>
      <w:r>
        <w:t xml:space="preserve"> </w:t>
      </w:r>
      <w:r w:rsidRPr="008E6F97">
        <w:t xml:space="preserve">Osage, from Barbour et al </w:t>
      </w:r>
      <w:r w:rsidR="000C0CFA">
        <w:fldChar w:fldCharType="begin"/>
      </w:r>
      <w:r w:rsidR="00137D55">
        <w:instrText xml:space="preserve"> ADDIN ZOTERO_ITEM CSL_CITATION {"citationID":"aig2LkNc","properties":{"formattedCitation":"(Barbour et al., 2017)","plainCitation":"(Barbour et al., 2017)","dontUpdate":true,"noteIndex":0},"citationItems":[{"id":230,"uris":["http://zotero.org/users/7782726/items/FCHBZ99F"],"uri":["http://zotero.org/users/7782726/items/FCHBZ99F"],"itemData":{"id":230,"type":"article-journal","container-title":"Seismological Research Letters","issue":"4","note":"ISBN: 0895-0695\npublisher: Seismological Society of America","page":"1040-1053","title":"The effects of varying injection rates in Osage County, Oklahoma, on the 2016 M w 5.8 Pawnee earthquake","volume":"88","author":[{"family":"Barbour","given":"Andrew J."},{"family":"Norbeck","given":"Jack H."},{"family":"Rubinstein","given":"Justin L."}],"issued":{"date-parts":[["2017"]]}}}],"schema":"https://github.com/citation-style-language/schema/raw/master/csl-citation.json"} </w:instrText>
      </w:r>
      <w:r w:rsidR="000C0CFA">
        <w:fldChar w:fldCharType="separate"/>
      </w:r>
      <w:r w:rsidR="000C0CFA" w:rsidRPr="000C0CFA">
        <w:t>(2017)</w:t>
      </w:r>
      <w:r w:rsidR="000C0CFA">
        <w:fldChar w:fldCharType="end"/>
      </w:r>
      <w:r w:rsidRPr="008E6F97">
        <w:t>.</w:t>
      </w:r>
    </w:p>
    <w:p w14:paraId="371B67DA" w14:textId="4330E3B7" w:rsidR="00E81E22" w:rsidRDefault="00B659A1" w:rsidP="00B659A1">
      <w:r w:rsidRPr="00B659A1">
        <w:t xml:space="preserve">The Oklahoma earthquake database was downloaded from the OGS website </w:t>
      </w:r>
      <w:r w:rsidR="00F14DB4" w:rsidRPr="00B659A1">
        <w:t>http://www.ou.edu/content/ogs/research/earthquakes/catalogs.html</w:t>
      </w:r>
      <w:r w:rsidR="00F14DB4">
        <w:t xml:space="preserve"> </w:t>
      </w:r>
      <w:r w:rsidR="00F14DB4">
        <w:fldChar w:fldCharType="begin"/>
      </w:r>
      <w:r w:rsidR="00F14DB4">
        <w:instrText xml:space="preserve"> ADDIN ZOTERO_ITEM CSL_CITATION {"citationID":"PnIhC4q7","properties":{"formattedCitation":"(Oklahoma Geological Survey, 2018)","plainCitation":"(Oklahoma Geological Survey, 2018)","noteIndex":0},"citationItems":[{"id":244,"uris":["http://zotero.org/users/7782726/items/PL3PDX2X"],"uri":["http://zotero.org/users/7782726/items/PL3PDX2X"],"itemData":{"id":244,"type":"article","title":"Earthquake Catalogs","URL":"https://www.ou.edu/content/ogs/research/earthquakes/catalogs.html","author":[{"family":"Oklahoma Geological Survey","given":""}],"accessed":{"date-parts":[["2018",9,23]]},"issued":{"date-parts":[["2018"]]}}}],"schema":"https://github.com/citation-style-language/schema/raw/master/csl-citation.json"} </w:instrText>
      </w:r>
      <w:r w:rsidR="00F14DB4">
        <w:fldChar w:fldCharType="separate"/>
      </w:r>
      <w:r w:rsidR="00F14DB4" w:rsidRPr="00F14DB4">
        <w:t>(Oklahoma Geological Survey, 2018)</w:t>
      </w:r>
      <w:r w:rsidR="00F14DB4">
        <w:fldChar w:fldCharType="end"/>
      </w:r>
      <w:r w:rsidRPr="00B659A1">
        <w:t>.</w:t>
      </w:r>
      <w:r w:rsidR="00A376A5">
        <w:t xml:space="preserve"> </w:t>
      </w:r>
      <w:r w:rsidRPr="00B659A1">
        <w:t>Daily datasets, including epicenter location,</w:t>
      </w:r>
      <w:r>
        <w:t xml:space="preserve"> </w:t>
      </w:r>
      <w:r w:rsidRPr="00B659A1">
        <w:t xml:space="preserve">depth and magnitude (i.e.,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B659A1">
        <w:t xml:space="preserv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Pr="00B659A1">
        <w:t xml:space="preserve">, </w:t>
      </w:r>
      <m:oMath>
        <m:sSub>
          <m:sSubPr>
            <m:ctrlPr>
              <w:rPr>
                <w:rFonts w:ascii="Cambria Math" w:hAnsi="Cambria Math"/>
                <w:i/>
              </w:rPr>
            </m:ctrlPr>
          </m:sSubPr>
          <m:e>
            <m:r>
              <w:rPr>
                <w:rFonts w:ascii="Cambria Math" w:hAnsi="Cambria Math"/>
              </w:rPr>
              <m:t>m</m:t>
            </m:r>
          </m:e>
          <m:sub>
            <m:r>
              <w:rPr>
                <w:rFonts w:ascii="Cambria Math" w:hAnsi="Cambria Math"/>
              </w:rPr>
              <m:t>b</m:t>
            </m:r>
          </m:sub>
        </m:sSub>
      </m:oMath>
      <w:r w:rsidRPr="00B659A1">
        <w:t xml:space="preserve"> and </w:t>
      </w:r>
      <m:oMath>
        <m:sSub>
          <m:sSubPr>
            <m:ctrlPr>
              <w:rPr>
                <w:rFonts w:ascii="Cambria Math" w:hAnsi="Cambria Math"/>
                <w:i/>
              </w:rPr>
            </m:ctrlPr>
          </m:sSubPr>
          <m:e>
            <m:r>
              <w:rPr>
                <w:rFonts w:ascii="Cambria Math" w:hAnsi="Cambria Math"/>
              </w:rPr>
              <m:t>M</m:t>
            </m:r>
          </m:e>
          <m:sub>
            <m:r>
              <w:rPr>
                <w:rFonts w:ascii="Cambria Math" w:hAnsi="Cambria Math"/>
              </w:rPr>
              <m:t>d</m:t>
            </m:r>
          </m:sub>
        </m:sSub>
      </m:oMath>
      <w:r w:rsidRPr="00B659A1">
        <w:t>) are available between 1882 to present. In the interest</w:t>
      </w:r>
      <w:r>
        <w:t xml:space="preserve"> </w:t>
      </w:r>
      <w:r w:rsidRPr="00B659A1">
        <w:t>of revealing spatiotemporal patterns of near-recent seismic activity in Oklahoma, only earthquakes</w:t>
      </w:r>
      <w:r>
        <w:t xml:space="preserve"> </w:t>
      </w:r>
      <w:r w:rsidRPr="00B659A1">
        <w:t>occurred after January 2006 are studied in detail.</w:t>
      </w:r>
    </w:p>
    <w:p w14:paraId="459CC483" w14:textId="77777777" w:rsidR="006E3CE2" w:rsidRDefault="006E3CE2" w:rsidP="00B659A1"/>
    <w:p w14:paraId="5E79EE51" w14:textId="0ED601B3" w:rsidR="004344AB" w:rsidRPr="00502CF5" w:rsidRDefault="004344AB" w:rsidP="00502CF5">
      <w:pPr>
        <w:pStyle w:val="2"/>
      </w:pPr>
      <w:bookmarkStart w:id="32" w:name="_Toc75939828"/>
      <w:r w:rsidRPr="00502CF5">
        <w:t>2.3 Earthquake Unit Homogenization and Data Completeness</w:t>
      </w:r>
      <w:bookmarkEnd w:id="32"/>
    </w:p>
    <w:p w14:paraId="430BF017" w14:textId="352B5D2B" w:rsidR="004344AB" w:rsidRPr="00502CF5" w:rsidRDefault="00AB5CDF" w:rsidP="00502CF5">
      <w:pPr>
        <w:pStyle w:val="3"/>
      </w:pPr>
      <w:bookmarkStart w:id="33" w:name="_Toc75939829"/>
      <w:r w:rsidRPr="00502CF5">
        <w:t>2.3.1 Magnitude Unit Homogenization</w:t>
      </w:r>
      <w:bookmarkEnd w:id="33"/>
    </w:p>
    <w:p w14:paraId="06848738" w14:textId="598AD502" w:rsidR="007570E8" w:rsidRDefault="005E7BA6" w:rsidP="007570E8">
      <w:r w:rsidRPr="005E7BA6">
        <w:t>The type and accuracy of the earthquake recording devices have changed with time. For th</w:t>
      </w:r>
      <w:r>
        <w:t xml:space="preserve">e </w:t>
      </w:r>
      <w:r w:rsidRPr="005E7BA6">
        <w:t>most recent decades, despite the instruments remain</w:t>
      </w:r>
      <w:r w:rsidR="00A02854">
        <w:t>ing</w:t>
      </w:r>
      <w:r w:rsidRPr="005E7BA6">
        <w:t xml:space="preserve"> the same, the seismic magnitude units vary</w:t>
      </w:r>
      <w:r>
        <w:t xml:space="preserve"> </w:t>
      </w:r>
      <w:r w:rsidRPr="005E7BA6">
        <w:t>according to the maximum motion recorded by a seismograph in (1) local magnitude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5E7BA6">
        <w:t>) also known</w:t>
      </w:r>
      <w:r>
        <w:t xml:space="preserve"> </w:t>
      </w:r>
      <w:r w:rsidRPr="005E7BA6">
        <w:t>as Richter magnitude, (2) duration magnitude (</w:t>
      </w:r>
      <m:oMath>
        <m:sSub>
          <m:sSubPr>
            <m:ctrlPr>
              <w:rPr>
                <w:rFonts w:ascii="Cambria Math" w:hAnsi="Cambria Math"/>
                <w:i/>
              </w:rPr>
            </m:ctrlPr>
          </m:sSubPr>
          <m:e>
            <m:r>
              <w:rPr>
                <w:rFonts w:ascii="Cambria Math" w:hAnsi="Cambria Math"/>
              </w:rPr>
              <m:t>M</m:t>
            </m:r>
          </m:e>
          <m:sub>
            <m:r>
              <w:rPr>
                <w:rFonts w:ascii="Cambria Math" w:hAnsi="Cambria Math"/>
              </w:rPr>
              <m:t>d</m:t>
            </m:r>
          </m:sub>
        </m:sSub>
      </m:oMath>
      <w:r w:rsidRPr="005E7BA6">
        <w:t>), (3) body-wave magnitude (</w:t>
      </w:r>
      <m:oMath>
        <m:sSub>
          <m:sSubPr>
            <m:ctrlPr>
              <w:rPr>
                <w:rFonts w:ascii="Cambria Math" w:hAnsi="Cambria Math"/>
                <w:i/>
              </w:rPr>
            </m:ctrlPr>
          </m:sSubPr>
          <m:e>
            <m:r>
              <w:rPr>
                <w:rFonts w:ascii="Cambria Math" w:hAnsi="Cambria Math"/>
              </w:rPr>
              <m:t>m</m:t>
            </m:r>
          </m:e>
          <m:sub>
            <m:r>
              <w:rPr>
                <w:rFonts w:ascii="Cambria Math" w:hAnsi="Cambria Math"/>
              </w:rPr>
              <m:t>b</m:t>
            </m:r>
          </m:sub>
        </m:sSub>
      </m:oMath>
      <w:r w:rsidRPr="005E7BA6">
        <w:t>) and (4) moment</w:t>
      </w:r>
      <w:r>
        <w:t xml:space="preserve"> </w:t>
      </w:r>
      <w:r w:rsidRPr="005E7BA6">
        <w:t>magnitude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Pr="005E7BA6">
        <w:t xml:space="preserve">). The number of earthquakes </w:t>
      </w:r>
      <w:r w:rsidR="00A02854">
        <w:t xml:space="preserve">which </w:t>
      </w:r>
      <w:r w:rsidRPr="005E7BA6">
        <w:t>occurred between January 2006 and December 2017 is</w:t>
      </w:r>
      <w:r>
        <w:t xml:space="preserve"> </w:t>
      </w:r>
      <w:r w:rsidRPr="005E7BA6">
        <w:t xml:space="preserve">given in Table </w:t>
      </w:r>
      <w:r w:rsidR="005619E2">
        <w:t>2.</w:t>
      </w:r>
      <w:r w:rsidRPr="005E7BA6">
        <w:t xml:space="preserve">1 </w:t>
      </w:r>
      <w:r w:rsidR="00F90CE8">
        <w:t xml:space="preserve">showing </w:t>
      </w:r>
      <w:r w:rsidR="00F90CE8" w:rsidRPr="005E7BA6">
        <w:t>the</w:t>
      </w:r>
      <w:r w:rsidRPr="005E7BA6">
        <w:t xml:space="preserve"> different magnitude units. Nonetheless, many earthquakes</w:t>
      </w:r>
      <w:r>
        <w:t xml:space="preserve"> </w:t>
      </w:r>
      <w:r w:rsidRPr="005E7BA6">
        <w:t>were simultaneously recorded in different scales which facilitate their unit homogenization. As the</w:t>
      </w:r>
      <w:r>
        <w:t xml:space="preserve"> </w:t>
      </w:r>
      <w:r w:rsidRPr="005E7BA6">
        <w:t xml:space="preserve">majority of seismic events are reported in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5E7BA6">
        <w:t xml:space="preserve"> scale, all other units are converted to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5E7BA6">
        <w:t xml:space="preserve"> to</w:t>
      </w:r>
      <w:r>
        <w:t xml:space="preserve"> </w:t>
      </w:r>
      <w:r w:rsidRPr="005E7BA6">
        <w:t xml:space="preserve">reduce data uncertainty introduced during this conversion. </w:t>
      </w:r>
      <w:r w:rsidR="00A02854" w:rsidRPr="005E7BA6">
        <w:t>To</w:t>
      </w:r>
      <w:r w:rsidRPr="005E7BA6">
        <w:t xml:space="preserve"> do so, two empirical magnitude</w:t>
      </w:r>
      <w:r>
        <w:t xml:space="preserve"> </w:t>
      </w:r>
      <w:r w:rsidRPr="005E7BA6">
        <w:t>conversion relations are derived for those events with significant number of data pairs (i.e.,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5E7BA6">
        <w:t xml:space="preserve">, </w:t>
      </w:r>
      <m:oMath>
        <m:sSub>
          <m:sSubPr>
            <m:ctrlPr>
              <w:rPr>
                <w:rFonts w:ascii="Cambria Math" w:hAnsi="Cambria Math"/>
                <w:i/>
              </w:rPr>
            </m:ctrlPr>
          </m:sSubPr>
          <m:e>
            <m:r>
              <w:rPr>
                <w:rFonts w:ascii="Cambria Math" w:hAnsi="Cambria Math"/>
              </w:rPr>
              <m:t>m</m:t>
            </m:r>
          </m:e>
          <m:sub>
            <m:r>
              <w:rPr>
                <w:rFonts w:ascii="Cambria Math" w:hAnsi="Cambria Math"/>
              </w:rPr>
              <m:t>b</m:t>
            </m:r>
          </m:sub>
        </m:sSub>
      </m:oMath>
      <w:r w:rsidRPr="005E7BA6">
        <w:t>]</w:t>
      </w:r>
      <w:r>
        <w:t xml:space="preserve"> </w:t>
      </w:r>
      <w:r w:rsidRPr="005E7BA6">
        <w:t>and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5E7BA6">
        <w:t xml:space="preserv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Pr="005E7BA6">
        <w:t>]). Since [</w:t>
      </w:r>
      <m:oMath>
        <m:sSub>
          <m:sSubPr>
            <m:ctrlPr>
              <w:rPr>
                <w:rFonts w:ascii="Cambria Math" w:hAnsi="Cambria Math"/>
                <w:i/>
              </w:rPr>
            </m:ctrlPr>
          </m:sSubPr>
          <m:e>
            <m:r>
              <w:rPr>
                <w:rFonts w:ascii="Cambria Math" w:hAnsi="Cambria Math"/>
              </w:rPr>
              <m:t>M</m:t>
            </m:r>
          </m:e>
          <m:sub>
            <m:r>
              <w:rPr>
                <w:rFonts w:ascii="Cambria Math" w:hAnsi="Cambria Math"/>
              </w:rPr>
              <m:t>d</m:t>
            </m:r>
          </m:sub>
        </m:sSub>
      </m:oMath>
      <w:r w:rsidRPr="005E7BA6">
        <w:t xml:space="preserve">,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5E7BA6">
        <w:t xml:space="preserve">] had zero pairs, a previously derived expression is applied </w:t>
      </w:r>
      <w:r w:rsidR="003D4889">
        <w:fldChar w:fldCharType="begin"/>
      </w:r>
      <w:r w:rsidR="003D4889">
        <w:instrText xml:space="preserve"> ADDIN ZOTERO_ITEM CSL_CITATION {"citationID":"CfjflkjZ","properties":{"formattedCitation":"(Brumbaugh, 1989)","plainCitation":"(Brumbaugh, 1989)","noteIndex":0},"citationItems":[{"id":245,"uris":["http://zotero.org/users/7782726/items/4KXE4UA9"],"uri":["http://zotero.org/users/7782726/items/4KXE4UA9"],"itemData":{"id":245,"type":"article-journal","container-title":"Journal of the Arizona-Nevada Academy of Science","note":"ISBN: 0193-8509\npublisher: JSTOR","page":"29-31","title":"A comparison of duration magnitude to local magnitude for seismic events recorded in northern Arizona","author":[{"family":"Brumbaugh","given":"D. S."}],"issued":{"date-parts":[["1989"]]}}}],"schema":"https://github.com/citation-style-language/schema/raw/master/csl-citation.json"} </w:instrText>
      </w:r>
      <w:r w:rsidR="003D4889">
        <w:fldChar w:fldCharType="separate"/>
      </w:r>
      <w:r w:rsidR="003D4889" w:rsidRPr="003D4889">
        <w:t>(Brumbaugh, 1989)</w:t>
      </w:r>
      <w:r w:rsidR="003D4889">
        <w:fldChar w:fldCharType="end"/>
      </w:r>
      <w:r w:rsidR="003D4889">
        <w:t xml:space="preserve"> </w:t>
      </w:r>
      <w:r w:rsidRPr="005E7BA6">
        <w:t>for</w:t>
      </w:r>
      <w:r>
        <w:t xml:space="preserve"> </w:t>
      </w:r>
      <w:r w:rsidRPr="005E7BA6">
        <w:t>such a conversion. Scatterplots with the event magnitude pairs, fitted, and 95% confidence envelopes</w:t>
      </w:r>
      <w:r>
        <w:t xml:space="preserve"> </w:t>
      </w:r>
      <w:r w:rsidRPr="005E7BA6">
        <w:t xml:space="preserve">are shown in Figure </w:t>
      </w:r>
      <w:r w:rsidR="00F90CE8">
        <w:t>2.1</w:t>
      </w:r>
      <w:r w:rsidRPr="005E7BA6">
        <w:t>. The derived and used statistical regressions, sample size, cross-correlation</w:t>
      </w:r>
      <w:r>
        <w:t xml:space="preserve"> </w:t>
      </w:r>
      <w:r w:rsidRPr="005E7BA6">
        <w:t>coefficients and author are shown in Table 2</w:t>
      </w:r>
      <w:r w:rsidR="003D4889">
        <w:t>.2</w:t>
      </w:r>
      <w:r w:rsidRPr="005E7BA6">
        <w:t>.</w:t>
      </w:r>
    </w:p>
    <w:p w14:paraId="307C569A" w14:textId="6C2DA7E1" w:rsidR="00135B67" w:rsidRDefault="00135B67" w:rsidP="007956CA">
      <w:pPr>
        <w:pStyle w:val="a3"/>
      </w:pPr>
    </w:p>
    <w:p w14:paraId="3183747D" w14:textId="2FF1D19C" w:rsidR="007A46F8" w:rsidRDefault="007A46F8" w:rsidP="007A46F8">
      <w:pPr>
        <w:pStyle w:val="a3"/>
        <w:keepNext/>
      </w:pPr>
    </w:p>
    <w:p w14:paraId="3150620E" w14:textId="353B5A52" w:rsidR="00DA2C1C" w:rsidRPr="00B422C3" w:rsidRDefault="00DA2C1C" w:rsidP="00DA2C1C">
      <w:pPr>
        <w:pStyle w:val="a3"/>
        <w:keepNext/>
        <w:rPr>
          <w:b w:val="0"/>
          <w:bCs w:val="0"/>
        </w:rPr>
      </w:pPr>
      <w:bookmarkStart w:id="34" w:name="_Toc75361140"/>
      <w:r>
        <w:t xml:space="preserve">Table </w:t>
      </w:r>
      <w:r w:rsidR="00975577">
        <w:t>2</w:t>
      </w:r>
      <w:r w:rsidR="00685F41">
        <w:t>.</w:t>
      </w:r>
      <w:r>
        <w:fldChar w:fldCharType="begin"/>
      </w:r>
      <w:r>
        <w:instrText>SEQ Table \* ARABIC \s 1</w:instrText>
      </w:r>
      <w:r>
        <w:fldChar w:fldCharType="separate"/>
      </w:r>
      <w:r w:rsidR="00492676">
        <w:rPr>
          <w:noProof/>
        </w:rPr>
        <w:t>1</w:t>
      </w:r>
      <w:r>
        <w:fldChar w:fldCharType="end"/>
      </w:r>
      <w:r w:rsidR="00F64CC0">
        <w:t>.</w:t>
      </w:r>
      <w:r w:rsidR="00061E27" w:rsidRPr="00061E27">
        <w:t xml:space="preserve"> </w:t>
      </w:r>
      <w:r w:rsidR="00061E27" w:rsidRPr="00B422C3">
        <w:rPr>
          <w:b w:val="0"/>
          <w:bCs w:val="0"/>
        </w:rPr>
        <w:t>Number of earthquakes in different magnitude units during 2006–2017 in Oklahoma.</w:t>
      </w:r>
      <w:bookmarkEnd w:id="34"/>
    </w:p>
    <w:tbl>
      <w:tblPr>
        <w:tblStyle w:val="61"/>
        <w:tblW w:w="0" w:type="auto"/>
        <w:jc w:val="center"/>
        <w:tblLook w:val="04A0" w:firstRow="1" w:lastRow="0" w:firstColumn="1" w:lastColumn="0" w:noHBand="0" w:noVBand="1"/>
      </w:tblPr>
      <w:tblGrid>
        <w:gridCol w:w="4140"/>
        <w:gridCol w:w="4140"/>
      </w:tblGrid>
      <w:tr w:rsidR="0084754B" w14:paraId="4E388247" w14:textId="77777777" w:rsidTr="5E4FB5CC">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4140" w:type="dxa"/>
            <w:tcBorders>
              <w:top w:val="single" w:sz="12" w:space="0" w:color="auto"/>
            </w:tcBorders>
          </w:tcPr>
          <w:p w14:paraId="023809D0" w14:textId="2926630D" w:rsidR="0084754B" w:rsidRDefault="0084754B" w:rsidP="0084754B">
            <w:pPr>
              <w:ind w:firstLine="0"/>
              <w:jc w:val="center"/>
            </w:pPr>
            <w:r>
              <w:t>Magnitude Type</w:t>
            </w:r>
          </w:p>
        </w:tc>
        <w:tc>
          <w:tcPr>
            <w:tcW w:w="4140" w:type="dxa"/>
            <w:tcBorders>
              <w:top w:val="single" w:sz="12" w:space="0" w:color="auto"/>
            </w:tcBorders>
          </w:tcPr>
          <w:p w14:paraId="3ADD1341" w14:textId="4CAD00E4" w:rsidR="0084754B" w:rsidRDefault="0084754B" w:rsidP="0084754B">
            <w:pPr>
              <w:ind w:firstLine="0"/>
              <w:jc w:val="center"/>
              <w:cnfStyle w:val="100000000000" w:firstRow="1" w:lastRow="0" w:firstColumn="0" w:lastColumn="0" w:oddVBand="0" w:evenVBand="0" w:oddHBand="0" w:evenHBand="0" w:firstRowFirstColumn="0" w:firstRowLastColumn="0" w:lastRowFirstColumn="0" w:lastRowLastColumn="0"/>
            </w:pPr>
            <w:r>
              <w:t>Number of Earthquakes</w:t>
            </w:r>
          </w:p>
        </w:tc>
      </w:tr>
      <w:tr w:rsidR="0084754B" w14:paraId="10534AA5" w14:textId="77777777" w:rsidTr="5E4FB5CC">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4140" w:type="dxa"/>
            <w:shd w:val="clear" w:color="auto" w:fill="FFFFFF" w:themeFill="background1"/>
          </w:tcPr>
          <w:p w14:paraId="68EAAA38" w14:textId="56E12BF8" w:rsidR="0084754B" w:rsidRPr="00F278B2" w:rsidRDefault="00F278B2" w:rsidP="00F278B2">
            <w:pPr>
              <w:ind w:firstLine="0"/>
              <w:jc w:val="center"/>
              <w:rPr>
                <w:b w:val="0"/>
                <w:bCs w:val="0"/>
              </w:rPr>
            </w:pPr>
            <w:r>
              <w:rPr>
                <w:b w:val="0"/>
                <w:bCs w:val="0"/>
              </w:rPr>
              <w:t>Duration Magnitude (</w:t>
            </w:r>
            <m:oMath>
              <m:sSub>
                <m:sSubPr>
                  <m:ctrlPr>
                    <w:rPr>
                      <w:rFonts w:ascii="Cambria Math" w:hAnsi="Cambria Math"/>
                      <w:b w:val="0"/>
                      <w:bCs w:val="0"/>
                      <w:i/>
                      <w:color w:val="auto"/>
                    </w:rPr>
                  </m:ctrlPr>
                </m:sSubPr>
                <m:e>
                  <m:r>
                    <m:rPr>
                      <m:sty m:val="bi"/>
                    </m:rPr>
                    <w:rPr>
                      <w:rFonts w:ascii="Cambria Math" w:hAnsi="Cambria Math"/>
                    </w:rPr>
                    <m:t>M</m:t>
                  </m:r>
                </m:e>
                <m:sub>
                  <m:r>
                    <m:rPr>
                      <m:sty m:val="bi"/>
                    </m:rPr>
                    <w:rPr>
                      <w:rFonts w:ascii="Cambria Math" w:hAnsi="Cambria Math"/>
                    </w:rPr>
                    <m:t>d</m:t>
                  </m:r>
                </m:sub>
              </m:sSub>
            </m:oMath>
            <w:r>
              <w:rPr>
                <w:b w:val="0"/>
                <w:bCs w:val="0"/>
              </w:rPr>
              <w:t>)</w:t>
            </w:r>
          </w:p>
        </w:tc>
        <w:tc>
          <w:tcPr>
            <w:tcW w:w="4140" w:type="dxa"/>
            <w:shd w:val="clear" w:color="auto" w:fill="FFFFFF" w:themeFill="background1"/>
          </w:tcPr>
          <w:p w14:paraId="0D910AAD" w14:textId="7E4D94DB" w:rsidR="0084754B" w:rsidRDefault="009906BC" w:rsidP="009906BC">
            <w:pPr>
              <w:tabs>
                <w:tab w:val="center" w:pos="1962"/>
              </w:tabs>
              <w:ind w:firstLine="0"/>
              <w:cnfStyle w:val="000000100000" w:firstRow="0" w:lastRow="0" w:firstColumn="0" w:lastColumn="0" w:oddVBand="0" w:evenVBand="0" w:oddHBand="1" w:evenHBand="0" w:firstRowFirstColumn="0" w:firstRowLastColumn="0" w:lastRowFirstColumn="0" w:lastRowLastColumn="0"/>
            </w:pPr>
            <w:r>
              <w:tab/>
            </w:r>
            <w:r w:rsidR="00AC4F32">
              <w:t>1763</w:t>
            </w:r>
          </w:p>
        </w:tc>
      </w:tr>
      <w:tr w:rsidR="0084754B" w14:paraId="301E25BB" w14:textId="77777777" w:rsidTr="5E4FB5CC">
        <w:trPr>
          <w:trHeight w:val="432"/>
          <w:jc w:val="center"/>
        </w:trPr>
        <w:tc>
          <w:tcPr>
            <w:cnfStyle w:val="001000000000" w:firstRow="0" w:lastRow="0" w:firstColumn="1" w:lastColumn="0" w:oddVBand="0" w:evenVBand="0" w:oddHBand="0" w:evenHBand="0" w:firstRowFirstColumn="0" w:firstRowLastColumn="0" w:lastRowFirstColumn="0" w:lastRowLastColumn="0"/>
            <w:tcW w:w="4140" w:type="dxa"/>
          </w:tcPr>
          <w:p w14:paraId="66634D78" w14:textId="5D0384F0" w:rsidR="0084754B" w:rsidRPr="00907045" w:rsidRDefault="00907045" w:rsidP="00907045">
            <w:pPr>
              <w:ind w:firstLine="0"/>
              <w:jc w:val="center"/>
              <w:rPr>
                <w:b w:val="0"/>
                <w:bCs w:val="0"/>
              </w:rPr>
            </w:pPr>
            <w:r>
              <w:rPr>
                <w:b w:val="0"/>
                <w:bCs w:val="0"/>
              </w:rPr>
              <w:t>Body-wave Magnitude (</w:t>
            </w:r>
            <m:oMath>
              <m:sSub>
                <m:sSubPr>
                  <m:ctrlPr>
                    <w:rPr>
                      <w:rFonts w:ascii="Cambria Math" w:hAnsi="Cambria Math"/>
                      <w:b w:val="0"/>
                      <w:bCs w:val="0"/>
                      <w:i/>
                      <w:color w:val="auto"/>
                    </w:rPr>
                  </m:ctrlPr>
                </m:sSubPr>
                <m:e>
                  <m:r>
                    <m:rPr>
                      <m:sty m:val="bi"/>
                    </m:rPr>
                    <w:rPr>
                      <w:rFonts w:ascii="Cambria Math" w:hAnsi="Cambria Math"/>
                    </w:rPr>
                    <m:t>m</m:t>
                  </m:r>
                </m:e>
                <m:sub>
                  <m:r>
                    <m:rPr>
                      <m:sty m:val="bi"/>
                    </m:rPr>
                    <w:rPr>
                      <w:rFonts w:ascii="Cambria Math" w:hAnsi="Cambria Math"/>
                    </w:rPr>
                    <m:t>b</m:t>
                  </m:r>
                </m:sub>
              </m:sSub>
            </m:oMath>
            <w:r>
              <w:rPr>
                <w:b w:val="0"/>
                <w:bCs w:val="0"/>
              </w:rPr>
              <w:t>)</w:t>
            </w:r>
          </w:p>
        </w:tc>
        <w:tc>
          <w:tcPr>
            <w:tcW w:w="4140" w:type="dxa"/>
          </w:tcPr>
          <w:p w14:paraId="0A9FD0E9" w14:textId="4F856BFE" w:rsidR="0084754B" w:rsidRDefault="00AC4F32" w:rsidP="00AC4F32">
            <w:pPr>
              <w:ind w:firstLine="0"/>
              <w:jc w:val="center"/>
              <w:cnfStyle w:val="000000000000" w:firstRow="0" w:lastRow="0" w:firstColumn="0" w:lastColumn="0" w:oddVBand="0" w:evenVBand="0" w:oddHBand="0" w:evenHBand="0" w:firstRowFirstColumn="0" w:firstRowLastColumn="0" w:lastRowFirstColumn="0" w:lastRowLastColumn="0"/>
            </w:pPr>
            <w:r>
              <w:t>364</w:t>
            </w:r>
          </w:p>
        </w:tc>
      </w:tr>
      <w:tr w:rsidR="0084754B" w14:paraId="60F6437E" w14:textId="77777777" w:rsidTr="5E4FB5CC">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4140" w:type="dxa"/>
            <w:shd w:val="clear" w:color="auto" w:fill="FFFFFF" w:themeFill="background1"/>
          </w:tcPr>
          <w:p w14:paraId="0F9A3B6C" w14:textId="309F948F" w:rsidR="0084754B" w:rsidRPr="003C2536" w:rsidRDefault="003C2536" w:rsidP="003C2536">
            <w:pPr>
              <w:ind w:firstLine="0"/>
              <w:jc w:val="center"/>
              <w:rPr>
                <w:b w:val="0"/>
                <w:bCs w:val="0"/>
              </w:rPr>
            </w:pPr>
            <w:r w:rsidRPr="003C2536">
              <w:rPr>
                <w:b w:val="0"/>
                <w:bCs w:val="0"/>
              </w:rPr>
              <w:t>Local Magnitude</w:t>
            </w:r>
            <w:r>
              <w:rPr>
                <w:b w:val="0"/>
                <w:bCs w:val="0"/>
              </w:rPr>
              <w:t xml:space="preserve"> (</w:t>
            </w:r>
            <m:oMath>
              <m:sSub>
                <m:sSubPr>
                  <m:ctrlPr>
                    <w:rPr>
                      <w:rFonts w:ascii="Cambria Math" w:hAnsi="Cambria Math"/>
                      <w:b w:val="0"/>
                      <w:bCs w:val="0"/>
                      <w:i/>
                      <w:color w:val="auto"/>
                    </w:rPr>
                  </m:ctrlPr>
                </m:sSubPr>
                <m:e>
                  <m:r>
                    <m:rPr>
                      <m:sty m:val="bi"/>
                    </m:rPr>
                    <w:rPr>
                      <w:rFonts w:ascii="Cambria Math" w:hAnsi="Cambria Math"/>
                    </w:rPr>
                    <m:t>M</m:t>
                  </m:r>
                </m:e>
                <m:sub>
                  <m:r>
                    <m:rPr>
                      <m:sty m:val="bi"/>
                    </m:rPr>
                    <w:rPr>
                      <w:rFonts w:ascii="Cambria Math" w:hAnsi="Cambria Math"/>
                    </w:rPr>
                    <m:t>L</m:t>
                  </m:r>
                </m:sub>
              </m:sSub>
            </m:oMath>
            <w:r>
              <w:rPr>
                <w:b w:val="0"/>
                <w:bCs w:val="0"/>
              </w:rPr>
              <w:t>)</w:t>
            </w:r>
          </w:p>
        </w:tc>
        <w:tc>
          <w:tcPr>
            <w:tcW w:w="4140" w:type="dxa"/>
            <w:shd w:val="clear" w:color="auto" w:fill="FFFFFF" w:themeFill="background1"/>
          </w:tcPr>
          <w:p w14:paraId="2AE65276" w14:textId="5F4EFF71" w:rsidR="0084754B" w:rsidRDefault="00AC4F32" w:rsidP="00AC4F32">
            <w:pPr>
              <w:ind w:firstLine="0"/>
              <w:jc w:val="center"/>
              <w:cnfStyle w:val="000000100000" w:firstRow="0" w:lastRow="0" w:firstColumn="0" w:lastColumn="0" w:oddVBand="0" w:evenVBand="0" w:oddHBand="1" w:evenHBand="0" w:firstRowFirstColumn="0" w:firstRowLastColumn="0" w:lastRowFirstColumn="0" w:lastRowLastColumn="0"/>
            </w:pPr>
            <w:r>
              <w:t>25,956</w:t>
            </w:r>
          </w:p>
        </w:tc>
      </w:tr>
      <w:tr w:rsidR="0084754B" w14:paraId="3545A7FA" w14:textId="77777777" w:rsidTr="5E4FB5CC">
        <w:trPr>
          <w:trHeight w:val="432"/>
          <w:jc w:val="center"/>
        </w:trPr>
        <w:tc>
          <w:tcPr>
            <w:cnfStyle w:val="001000000000" w:firstRow="0" w:lastRow="0" w:firstColumn="1" w:lastColumn="0" w:oddVBand="0" w:evenVBand="0" w:oddHBand="0" w:evenHBand="0" w:firstRowFirstColumn="0" w:firstRowLastColumn="0" w:lastRowFirstColumn="0" w:lastRowLastColumn="0"/>
            <w:tcW w:w="4140" w:type="dxa"/>
            <w:tcBorders>
              <w:bottom w:val="single" w:sz="12" w:space="0" w:color="auto"/>
            </w:tcBorders>
          </w:tcPr>
          <w:p w14:paraId="628835AD" w14:textId="1D732B1F" w:rsidR="0084754B" w:rsidRPr="002E0B28" w:rsidRDefault="002E0B28" w:rsidP="002E0B28">
            <w:pPr>
              <w:ind w:firstLine="0"/>
              <w:jc w:val="center"/>
              <w:rPr>
                <w:b w:val="0"/>
                <w:bCs w:val="0"/>
              </w:rPr>
            </w:pPr>
            <w:r w:rsidRPr="002E0B28">
              <w:rPr>
                <w:b w:val="0"/>
                <w:bCs w:val="0"/>
              </w:rPr>
              <w:t>Moment Magnitude</w:t>
            </w:r>
            <w:r>
              <w:rPr>
                <w:b w:val="0"/>
                <w:bCs w:val="0"/>
              </w:rPr>
              <w:t xml:space="preserve"> (</w:t>
            </w:r>
            <m:oMath>
              <m:sSub>
                <m:sSubPr>
                  <m:ctrlPr>
                    <w:rPr>
                      <w:rFonts w:ascii="Cambria Math" w:hAnsi="Cambria Math"/>
                      <w:b w:val="0"/>
                      <w:bCs w:val="0"/>
                      <w:i/>
                      <w:color w:val="auto"/>
                    </w:rPr>
                  </m:ctrlPr>
                </m:sSubPr>
                <m:e>
                  <m:r>
                    <m:rPr>
                      <m:sty m:val="bi"/>
                    </m:rPr>
                    <w:rPr>
                      <w:rFonts w:ascii="Cambria Math" w:hAnsi="Cambria Math"/>
                    </w:rPr>
                    <m:t>M</m:t>
                  </m:r>
                </m:e>
                <m:sub>
                  <m:r>
                    <m:rPr>
                      <m:sty m:val="bi"/>
                    </m:rPr>
                    <w:rPr>
                      <w:rFonts w:ascii="Cambria Math" w:hAnsi="Cambria Math"/>
                    </w:rPr>
                    <m:t>w</m:t>
                  </m:r>
                </m:sub>
              </m:sSub>
            </m:oMath>
            <w:r>
              <w:rPr>
                <w:b w:val="0"/>
                <w:bCs w:val="0"/>
              </w:rPr>
              <w:t>)</w:t>
            </w:r>
          </w:p>
        </w:tc>
        <w:tc>
          <w:tcPr>
            <w:tcW w:w="4140" w:type="dxa"/>
            <w:tcBorders>
              <w:bottom w:val="single" w:sz="12" w:space="0" w:color="auto"/>
            </w:tcBorders>
          </w:tcPr>
          <w:p w14:paraId="1E80262F" w14:textId="2C2F752D" w:rsidR="0084754B" w:rsidRDefault="5E4FB5CC" w:rsidP="00AC4F32">
            <w:pPr>
              <w:ind w:firstLine="0"/>
              <w:jc w:val="center"/>
              <w:cnfStyle w:val="000000000000" w:firstRow="0" w:lastRow="0" w:firstColumn="0" w:lastColumn="0" w:oddVBand="0" w:evenVBand="0" w:oddHBand="0" w:evenHBand="0" w:firstRowFirstColumn="0" w:firstRowLastColumn="0" w:lastRowFirstColumn="0" w:lastRowLastColumn="0"/>
            </w:pPr>
            <w:r>
              <w:t>438</w:t>
            </w:r>
          </w:p>
        </w:tc>
      </w:tr>
    </w:tbl>
    <w:p w14:paraId="1C519687" w14:textId="74A99EEB" w:rsidR="00155C3B" w:rsidRDefault="00155C3B" w:rsidP="005E7BA6"/>
    <w:p w14:paraId="34432A81" w14:textId="74D888E6" w:rsidR="00A42FDC" w:rsidRPr="00A42FDC" w:rsidRDefault="00B422C3" w:rsidP="00321087">
      <w:pPr>
        <w:pStyle w:val="a3"/>
        <w:keepNext/>
        <w:ind w:firstLine="0"/>
        <w:rPr>
          <w:b w:val="0"/>
          <w:bCs w:val="0"/>
          <w:szCs w:val="24"/>
        </w:rPr>
      </w:pPr>
      <w:r w:rsidRPr="00C26E32">
        <w:rPr>
          <w:b w:val="0"/>
          <w:bCs w:val="0"/>
          <w:szCs w:val="24"/>
        </w:rPr>
        <w:t xml:space="preserve"> </w:t>
      </w:r>
    </w:p>
    <w:p w14:paraId="3017E9F1" w14:textId="01587531" w:rsidR="00B422C3" w:rsidRPr="005C641C" w:rsidRDefault="00B422C3" w:rsidP="005C641C">
      <w:pPr>
        <w:pStyle w:val="a3"/>
        <w:keepNext/>
        <w:ind w:firstLine="0"/>
        <w:rPr>
          <w:b w:val="0"/>
          <w:bCs w:val="0"/>
          <w:szCs w:val="24"/>
        </w:rPr>
      </w:pPr>
      <w:bookmarkStart w:id="35" w:name="_Toc75361141"/>
      <w:r>
        <w:t xml:space="preserve">Table </w:t>
      </w:r>
      <w:r w:rsidR="00975577">
        <w:t>2</w:t>
      </w:r>
      <w:r w:rsidR="00685F41">
        <w:t>.</w:t>
      </w:r>
      <w:r>
        <w:fldChar w:fldCharType="begin"/>
      </w:r>
      <w:r>
        <w:instrText>SEQ Table \* ARABIC \s 1</w:instrText>
      </w:r>
      <w:r>
        <w:fldChar w:fldCharType="separate"/>
      </w:r>
      <w:r w:rsidR="00492676">
        <w:rPr>
          <w:noProof/>
        </w:rPr>
        <w:t>2</w:t>
      </w:r>
      <w:r>
        <w:fldChar w:fldCharType="end"/>
      </w:r>
      <w:r w:rsidR="00F64CC0">
        <w:t>.</w:t>
      </w:r>
      <w:r w:rsidRPr="00B422C3">
        <w:rPr>
          <w:b w:val="0"/>
          <w:bCs w:val="0"/>
          <w:szCs w:val="24"/>
        </w:rPr>
        <w:t xml:space="preserve"> </w:t>
      </w:r>
      <w:r w:rsidRPr="00C26E32">
        <w:rPr>
          <w:b w:val="0"/>
          <w:bCs w:val="0"/>
          <w:szCs w:val="24"/>
        </w:rPr>
        <w:t xml:space="preserve">Mathematical regressions adopted and derived to homogenize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d</m:t>
            </m:r>
          </m:sub>
        </m:sSub>
      </m:oMath>
      <w:r w:rsidRPr="00C26E32">
        <w:rPr>
          <w:b w:val="0"/>
          <w:bCs w:val="0"/>
          <w:szCs w:val="24"/>
        </w:rPr>
        <w:t xml:space="preserve">,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b</m:t>
            </m:r>
          </m:sub>
        </m:sSub>
      </m:oMath>
      <w:r w:rsidRPr="00C26E32">
        <w:rPr>
          <w:b w:val="0"/>
          <w:bCs w:val="0"/>
          <w:szCs w:val="24"/>
        </w:rPr>
        <w:t xml:space="preserve"> and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w</m:t>
            </m:r>
          </m:sub>
        </m:sSub>
      </m:oMath>
      <w:r w:rsidRPr="00C26E32">
        <w:rPr>
          <w:b w:val="0"/>
          <w:bCs w:val="0"/>
          <w:szCs w:val="24"/>
        </w:rPr>
        <w:t xml:space="preserve"> seismic magnitudes to local (Richter) magnitude,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L</m:t>
            </m:r>
          </m:sub>
        </m:sSub>
      </m:oMath>
      <w:r w:rsidRPr="00C26E32">
        <w:rPr>
          <w:b w:val="0"/>
          <w:bCs w:val="0"/>
          <w:szCs w:val="24"/>
        </w:rPr>
        <w:t>.</w:t>
      </w:r>
      <w:bookmarkEnd w:id="35"/>
    </w:p>
    <w:tbl>
      <w:tblPr>
        <w:tblStyle w:val="61"/>
        <w:tblW w:w="0" w:type="auto"/>
        <w:tblLook w:val="04A0" w:firstRow="1" w:lastRow="0" w:firstColumn="1" w:lastColumn="0" w:noHBand="0" w:noVBand="1"/>
      </w:tblPr>
      <w:tblGrid>
        <w:gridCol w:w="2520"/>
        <w:gridCol w:w="2164"/>
        <w:gridCol w:w="2320"/>
        <w:gridCol w:w="2356"/>
      </w:tblGrid>
      <w:tr w:rsidR="00F829A2" w14:paraId="751A6450" w14:textId="77777777" w:rsidTr="00D07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12" w:space="0" w:color="auto"/>
            </w:tcBorders>
          </w:tcPr>
          <w:p w14:paraId="3C027397" w14:textId="420CE132" w:rsidR="00F829A2" w:rsidRDefault="00F829A2" w:rsidP="00AC0AA8">
            <w:pPr>
              <w:ind w:firstLine="0"/>
              <w:jc w:val="center"/>
            </w:pPr>
            <w:r>
              <w:t>Expression</w:t>
            </w:r>
          </w:p>
        </w:tc>
        <w:tc>
          <w:tcPr>
            <w:tcW w:w="2164" w:type="dxa"/>
            <w:tcBorders>
              <w:top w:val="single" w:sz="12" w:space="0" w:color="auto"/>
            </w:tcBorders>
          </w:tcPr>
          <w:p w14:paraId="45194D9C" w14:textId="73470041" w:rsidR="00F829A2" w:rsidRDefault="00F829A2" w:rsidP="00AC0AA8">
            <w:pPr>
              <w:ind w:firstLine="0"/>
              <w:jc w:val="center"/>
              <w:cnfStyle w:val="100000000000" w:firstRow="1" w:lastRow="0" w:firstColumn="0" w:lastColumn="0" w:oddVBand="0" w:evenVBand="0" w:oddHBand="0" w:evenHBand="0" w:firstRowFirstColumn="0" w:firstRowLastColumn="0" w:lastRowFirstColumn="0" w:lastRowLastColumn="0"/>
            </w:pPr>
            <w:r>
              <w:t>Sample Size</w:t>
            </w:r>
          </w:p>
        </w:tc>
        <w:tc>
          <w:tcPr>
            <w:tcW w:w="2320" w:type="dxa"/>
            <w:tcBorders>
              <w:top w:val="single" w:sz="12" w:space="0" w:color="auto"/>
            </w:tcBorders>
          </w:tcPr>
          <w:p w14:paraId="76C326C5" w14:textId="5C7557A0" w:rsidR="00F829A2" w:rsidRDefault="00143C6C" w:rsidP="00AC0AA8">
            <w:pPr>
              <w:ind w:firstLine="0"/>
              <w:jc w:val="center"/>
              <w:cnfStyle w:val="100000000000" w:firstRow="1" w:lastRow="0" w:firstColumn="0" w:lastColumn="0" w:oddVBand="0" w:evenVBand="0" w:oddHBand="0" w:evenHBand="0" w:firstRowFirstColumn="0" w:firstRowLastColumn="0" w:lastRowFirstColumn="0" w:lastRowLastColumn="0"/>
            </w:pPr>
            <m:oMathPara>
              <m:oMath>
                <m:sSup>
                  <m:sSupPr>
                    <m:ctrlPr>
                      <w:rPr>
                        <w:rFonts w:ascii="Cambria Math" w:hAnsi="Cambria Math"/>
                        <w:i/>
                      </w:rPr>
                    </m:ctrlPr>
                  </m:sSupPr>
                  <m:e>
                    <m:r>
                      <m:rPr>
                        <m:sty m:val="bi"/>
                      </m:rPr>
                      <w:rPr>
                        <w:rFonts w:ascii="Cambria Math" w:hAnsi="Cambria Math"/>
                      </w:rPr>
                      <m:t>R</m:t>
                    </m:r>
                  </m:e>
                  <m:sup>
                    <m:r>
                      <m:rPr>
                        <m:sty m:val="bi"/>
                      </m:rPr>
                      <w:rPr>
                        <w:rFonts w:ascii="Cambria Math" w:hAnsi="Cambria Math"/>
                      </w:rPr>
                      <m:t>2</m:t>
                    </m:r>
                  </m:sup>
                </m:sSup>
              </m:oMath>
            </m:oMathPara>
          </w:p>
        </w:tc>
        <w:tc>
          <w:tcPr>
            <w:tcW w:w="2356" w:type="dxa"/>
            <w:tcBorders>
              <w:top w:val="single" w:sz="12" w:space="0" w:color="auto"/>
            </w:tcBorders>
          </w:tcPr>
          <w:p w14:paraId="37B3503F" w14:textId="63D844F3" w:rsidR="00F829A2" w:rsidRDefault="00BC28F0" w:rsidP="00AC0AA8">
            <w:pPr>
              <w:ind w:firstLine="0"/>
              <w:jc w:val="center"/>
              <w:cnfStyle w:val="100000000000" w:firstRow="1" w:lastRow="0" w:firstColumn="0" w:lastColumn="0" w:oddVBand="0" w:evenVBand="0" w:oddHBand="0" w:evenHBand="0" w:firstRowFirstColumn="0" w:firstRowLastColumn="0" w:lastRowFirstColumn="0" w:lastRowLastColumn="0"/>
            </w:pPr>
            <w:r>
              <w:t>Reference</w:t>
            </w:r>
          </w:p>
        </w:tc>
      </w:tr>
      <w:tr w:rsidR="00F829A2" w14:paraId="3F889FA1" w14:textId="77777777" w:rsidTr="00D07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08752B1" w14:textId="238DF97F" w:rsidR="00F829A2" w:rsidRPr="00D5748C" w:rsidRDefault="00143C6C" w:rsidP="00AC0AA8">
            <w:pPr>
              <w:ind w:firstLine="0"/>
              <w:jc w:val="center"/>
              <w:rPr>
                <w:b w:val="0"/>
                <w:bCs w:val="0"/>
                <w:sz w:val="22"/>
                <w:szCs w:val="22"/>
              </w:rPr>
            </w:pPr>
            <m:oMathPara>
              <m:oMathParaPr>
                <m:jc m:val="center"/>
              </m:oMathParaPr>
              <m:oMath>
                <m:sSub>
                  <m:sSubPr>
                    <m:ctrlPr>
                      <w:rPr>
                        <w:rFonts w:ascii="Cambria Math" w:hAnsi="Cambria Math"/>
                        <w:b w:val="0"/>
                        <w:bCs w:val="0"/>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L</m:t>
                    </m:r>
                  </m:sub>
                </m:sSub>
                <m:r>
                  <m:rPr>
                    <m:sty m:val="bi"/>
                  </m:rPr>
                  <w:rPr>
                    <w:rFonts w:ascii="Cambria Math" w:hAnsi="Cambria Math"/>
                    <w:sz w:val="22"/>
                    <w:szCs w:val="22"/>
                  </w:rPr>
                  <m:t>=0.936</m:t>
                </m:r>
                <m:sSub>
                  <m:sSubPr>
                    <m:ctrlPr>
                      <w:rPr>
                        <w:rFonts w:ascii="Cambria Math" w:hAnsi="Cambria Math"/>
                        <w:b w:val="0"/>
                        <w:bCs w:val="0"/>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d</m:t>
                    </m:r>
                  </m:sub>
                </m:sSub>
                <m:r>
                  <m:rPr>
                    <m:sty m:val="bi"/>
                  </m:rPr>
                  <w:rPr>
                    <w:rFonts w:ascii="Cambria Math" w:hAnsi="Cambria Math"/>
                    <w:sz w:val="22"/>
                    <w:szCs w:val="22"/>
                  </w:rPr>
                  <m:t>-0.16</m:t>
                </m:r>
              </m:oMath>
            </m:oMathPara>
          </w:p>
        </w:tc>
        <w:tc>
          <w:tcPr>
            <w:tcW w:w="2164" w:type="dxa"/>
          </w:tcPr>
          <w:p w14:paraId="327C0D12" w14:textId="6FC894A3" w:rsidR="00F829A2" w:rsidRPr="003C17F4" w:rsidRDefault="003C17F4" w:rsidP="00AC0AA8">
            <w:pPr>
              <w:ind w:firstLine="0"/>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17</w:t>
            </w:r>
          </w:p>
        </w:tc>
        <w:tc>
          <w:tcPr>
            <w:tcW w:w="2320" w:type="dxa"/>
          </w:tcPr>
          <w:p w14:paraId="5C0E2AED" w14:textId="3A3EC75B" w:rsidR="00F829A2" w:rsidRPr="003C17F4" w:rsidRDefault="003C17F4" w:rsidP="00AC0AA8">
            <w:pPr>
              <w:ind w:firstLine="0"/>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0.95</w:t>
            </w:r>
          </w:p>
        </w:tc>
        <w:tc>
          <w:tcPr>
            <w:tcW w:w="2356" w:type="dxa"/>
          </w:tcPr>
          <w:p w14:paraId="2691B990" w14:textId="5378E1CF" w:rsidR="00F829A2" w:rsidRDefault="00644757" w:rsidP="00AC0AA8">
            <w:pPr>
              <w:ind w:firstLine="0"/>
              <w:jc w:val="center"/>
              <w:cnfStyle w:val="000000100000" w:firstRow="0" w:lastRow="0" w:firstColumn="0" w:lastColumn="0" w:oddVBand="0" w:evenVBand="0" w:oddHBand="1" w:evenHBand="0" w:firstRowFirstColumn="0" w:firstRowLastColumn="0" w:lastRowFirstColumn="0" w:lastRowLastColumn="0"/>
            </w:pPr>
            <w:r>
              <w:fldChar w:fldCharType="begin"/>
            </w:r>
            <w:r>
              <w:instrText xml:space="preserve"> ADDIN ZOTERO_ITEM CSL_CITATION {"citationID":"4fwBcua1","properties":{"formattedCitation":"(Brumbaugh, 1989)","plainCitation":"(Brumbaugh, 1989)","noteIndex":0},"citationItems":[{"id":245,"uris":["http://zotero.org/users/7782726/items/4KXE4UA9"],"uri":["http://zotero.org/users/7782726/items/4KXE4UA9"],"itemData":{"id":245,"type":"article-journal","container-title":"Journal of the Arizona-Nevada Academy of Science","note":"ISBN: 0193-8509\npublisher: JSTOR","page":"29-31","title":"A comparison of duration magnitude to local magnitude for seismic events recorded in northern Arizona","author":[{"family":"Brumbaugh","given":"D. S."}],"issued":{"date-parts":[["1989"]]}}}],"schema":"https://github.com/citation-style-language/schema/raw/master/csl-citation.json"} </w:instrText>
            </w:r>
            <w:r>
              <w:fldChar w:fldCharType="separate"/>
            </w:r>
            <w:r w:rsidRPr="00644757">
              <w:t>(Brumbaugh, 1989)</w:t>
            </w:r>
            <w:r>
              <w:fldChar w:fldCharType="end"/>
            </w:r>
          </w:p>
        </w:tc>
      </w:tr>
      <w:tr w:rsidR="00760EE4" w14:paraId="63F42F49" w14:textId="77777777" w:rsidTr="00D07828">
        <w:tc>
          <w:tcPr>
            <w:cnfStyle w:val="001000000000" w:firstRow="0" w:lastRow="0" w:firstColumn="1" w:lastColumn="0" w:oddVBand="0" w:evenVBand="0" w:oddHBand="0" w:evenHBand="0" w:firstRowFirstColumn="0" w:firstRowLastColumn="0" w:lastRowFirstColumn="0" w:lastRowLastColumn="0"/>
            <w:tcW w:w="2520" w:type="dxa"/>
          </w:tcPr>
          <w:p w14:paraId="7760C6EA" w14:textId="7D8C49BD" w:rsidR="00760EE4" w:rsidRDefault="00143C6C" w:rsidP="00760EE4">
            <w:pPr>
              <w:ind w:firstLine="0"/>
              <w:jc w:val="center"/>
            </w:pPr>
            <m:oMathPara>
              <m:oMath>
                <m:sSub>
                  <m:sSubPr>
                    <m:ctrlPr>
                      <w:rPr>
                        <w:rFonts w:ascii="Cambria Math" w:hAnsi="Cambria Math"/>
                        <w:b w:val="0"/>
                        <w:bCs w:val="0"/>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L</m:t>
                    </m:r>
                  </m:sub>
                </m:sSub>
                <m:r>
                  <m:rPr>
                    <m:sty m:val="bi"/>
                  </m:rPr>
                  <w:rPr>
                    <w:rFonts w:ascii="Cambria Math" w:hAnsi="Cambria Math"/>
                    <w:sz w:val="22"/>
                    <w:szCs w:val="22"/>
                  </w:rPr>
                  <m:t>=0.85</m:t>
                </m:r>
                <m:sSub>
                  <m:sSubPr>
                    <m:ctrlPr>
                      <w:rPr>
                        <w:rFonts w:ascii="Cambria Math" w:hAnsi="Cambria Math"/>
                        <w:b w:val="0"/>
                        <w:bCs w:val="0"/>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b</m:t>
                    </m:r>
                  </m:sub>
                </m:sSub>
                <m:r>
                  <m:rPr>
                    <m:sty m:val="bi"/>
                  </m:rPr>
                  <w:rPr>
                    <w:rFonts w:ascii="Cambria Math" w:hAnsi="Cambria Math"/>
                    <w:sz w:val="22"/>
                    <w:szCs w:val="22"/>
                  </w:rPr>
                  <m:t>+0.52</m:t>
                </m:r>
              </m:oMath>
            </m:oMathPara>
          </w:p>
        </w:tc>
        <w:tc>
          <w:tcPr>
            <w:tcW w:w="2164" w:type="dxa"/>
          </w:tcPr>
          <w:p w14:paraId="56BC00A2" w14:textId="03FA6028" w:rsidR="00760EE4" w:rsidRDefault="00757684" w:rsidP="00760EE4">
            <w:pPr>
              <w:ind w:firstLine="0"/>
              <w:jc w:val="center"/>
              <w:cnfStyle w:val="000000000000" w:firstRow="0" w:lastRow="0" w:firstColumn="0" w:lastColumn="0" w:oddVBand="0" w:evenVBand="0" w:oddHBand="0" w:evenHBand="0" w:firstRowFirstColumn="0" w:firstRowLastColumn="0" w:lastRowFirstColumn="0" w:lastRowLastColumn="0"/>
            </w:pPr>
            <w:r>
              <w:t>252</w:t>
            </w:r>
          </w:p>
        </w:tc>
        <w:tc>
          <w:tcPr>
            <w:tcW w:w="2320" w:type="dxa"/>
          </w:tcPr>
          <w:p w14:paraId="057129FC" w14:textId="724BCFD0" w:rsidR="00760EE4" w:rsidRDefault="00757684" w:rsidP="00760EE4">
            <w:pPr>
              <w:ind w:firstLine="0"/>
              <w:jc w:val="center"/>
              <w:cnfStyle w:val="000000000000" w:firstRow="0" w:lastRow="0" w:firstColumn="0" w:lastColumn="0" w:oddVBand="0" w:evenVBand="0" w:oddHBand="0" w:evenHBand="0" w:firstRowFirstColumn="0" w:firstRowLastColumn="0" w:lastRowFirstColumn="0" w:lastRowLastColumn="0"/>
            </w:pPr>
            <w:r>
              <w:t>0.84</w:t>
            </w:r>
          </w:p>
        </w:tc>
        <w:tc>
          <w:tcPr>
            <w:tcW w:w="2356" w:type="dxa"/>
          </w:tcPr>
          <w:p w14:paraId="616467EF" w14:textId="43A0D568" w:rsidR="00760EE4" w:rsidRDefault="004961D5" w:rsidP="00760EE4">
            <w:pPr>
              <w:ind w:firstLine="0"/>
              <w:jc w:val="center"/>
              <w:cnfStyle w:val="000000000000" w:firstRow="0" w:lastRow="0" w:firstColumn="0" w:lastColumn="0" w:oddVBand="0" w:evenVBand="0" w:oddHBand="0" w:evenHBand="0" w:firstRowFirstColumn="0" w:firstRowLastColumn="0" w:lastRowFirstColumn="0" w:lastRowLastColumn="0"/>
            </w:pPr>
            <w:r>
              <w:fldChar w:fldCharType="begin"/>
            </w:r>
            <w:r>
              <w:instrText xml:space="preserve"> ADDIN ZOTERO_ITEM CSL_CITATION {"citationID":"HDYv1PLW","properties":{"formattedCitation":"(Hong et al., 2018)","plainCitation":"(Hong et al., 2018)","noteIndex":0},"citationItems":[{"id":246,"uris":["http://zotero.org/users/7782726/items/7LJE3IUB"],"uri":["http://zotero.org/users/7782726/items/7LJE3IUB"],"itemData":{"id":246,"type":"article-journal","abstract":"In this study we present a spatiotemporal analysis of the recent seismicity and industry-related wastewater injection activity in Oklahoma. A parsimonious predictive tool was developed to estimate the lagged effect of previous month&amp;rsquo;s injection volumes on subsequent regional seismic activity. Results support the hypothesis that the recent boom in unconventional oil and gas production and either the mitigation policies or the drop in oil prices (or both) are potentially responsible for the upsurge and reduction in the state&amp;rsquo;s seismic activity between 2006&amp;ndash;2015 and 2016&amp;ndash;2017, respectively. A cluster analysis reveals a synchronous migration pattern between earthquake occurrences and salt water injection with a predominant northwest direction during 2006 through 2017. A lagged cross-correlation analysis allows extracting a power law between expected number of quakes and weighted average monthly injection volumes with a coefficient of determination of R2 = 0.77. Such a relation could be used to establish &amp;ldquo;sustainable water injection limits&amp;rdquo; aiming to minimize seismicity to values comparable with several historically representative averages. Results from these analyses coincide on previously found sustainable limits of 5 to 6 million m3/month but expand to operations that could attain the same number through differential monthly planning. Findings could potentially be used for model intercomparison and regulation policies.","container-title":"Geosciences","DOI":"10.3390/geosciences8120436","issue":"12","language":"en","note":"number: 12\npublisher: Multidisciplinary Digital Publishing Institute","page":"436","source":"www.mdpi.com","title":"Spatiotemporal Assessment of Induced Seismicity in Oklahoma: Foreseeable Fewer Earthquakes for Sustainable Oil and Gas Extraction?","title-short":"Spatiotemporal Assessment of Induced Seismicity in Oklahoma","volume":"8","author":[{"family":"Hong","given":"Zhen"},{"family":"Moreno","given":"Hernan A."},{"family":"Hong","given":"Yang"}],"issued":{"date-parts":[["2018",12]]}}}],"schema":"https://github.com/citation-style-language/schema/raw/master/csl-citation.json"} </w:instrText>
            </w:r>
            <w:r>
              <w:fldChar w:fldCharType="separate"/>
            </w:r>
            <w:r w:rsidRPr="004961D5">
              <w:t>(Hong et al., 2018)</w:t>
            </w:r>
            <w:r>
              <w:fldChar w:fldCharType="end"/>
            </w:r>
          </w:p>
        </w:tc>
      </w:tr>
      <w:tr w:rsidR="00760EE4" w14:paraId="42663D64" w14:textId="77777777" w:rsidTr="00D07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bottom w:val="single" w:sz="12" w:space="0" w:color="auto"/>
            </w:tcBorders>
          </w:tcPr>
          <w:p w14:paraId="29C70034" w14:textId="09F739C4" w:rsidR="00760EE4" w:rsidRDefault="00143C6C" w:rsidP="00760EE4">
            <w:pPr>
              <w:ind w:firstLine="0"/>
              <w:jc w:val="center"/>
            </w:pPr>
            <m:oMathPara>
              <m:oMath>
                <m:sSub>
                  <m:sSubPr>
                    <m:ctrlPr>
                      <w:rPr>
                        <w:rFonts w:ascii="Cambria Math" w:hAnsi="Cambria Math"/>
                        <w:b w:val="0"/>
                        <w:bCs w:val="0"/>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L</m:t>
                    </m:r>
                  </m:sub>
                </m:sSub>
                <m:r>
                  <m:rPr>
                    <m:sty m:val="bi"/>
                  </m:rPr>
                  <w:rPr>
                    <w:rFonts w:ascii="Cambria Math" w:hAnsi="Cambria Math"/>
                    <w:sz w:val="22"/>
                    <w:szCs w:val="22"/>
                  </w:rPr>
                  <m:t>=0.96</m:t>
                </m:r>
                <m:sSub>
                  <m:sSubPr>
                    <m:ctrlPr>
                      <w:rPr>
                        <w:rFonts w:ascii="Cambria Math" w:hAnsi="Cambria Math"/>
                        <w:b w:val="0"/>
                        <w:bCs w:val="0"/>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w</m:t>
                    </m:r>
                  </m:sub>
                </m:sSub>
                <m:r>
                  <m:rPr>
                    <m:sty m:val="bi"/>
                  </m:rPr>
                  <w:rPr>
                    <w:rFonts w:ascii="Cambria Math" w:hAnsi="Cambria Math"/>
                    <w:sz w:val="22"/>
                    <w:szCs w:val="22"/>
                  </w:rPr>
                  <m:t>+0.35</m:t>
                </m:r>
              </m:oMath>
            </m:oMathPara>
          </w:p>
        </w:tc>
        <w:tc>
          <w:tcPr>
            <w:tcW w:w="2164" w:type="dxa"/>
            <w:tcBorders>
              <w:bottom w:val="single" w:sz="12" w:space="0" w:color="auto"/>
            </w:tcBorders>
          </w:tcPr>
          <w:p w14:paraId="525F87F5" w14:textId="4B01A745" w:rsidR="00760EE4" w:rsidRDefault="00484B4A" w:rsidP="00760EE4">
            <w:pPr>
              <w:ind w:firstLine="0"/>
              <w:jc w:val="center"/>
              <w:cnfStyle w:val="000000100000" w:firstRow="0" w:lastRow="0" w:firstColumn="0" w:lastColumn="0" w:oddVBand="0" w:evenVBand="0" w:oddHBand="1" w:evenHBand="0" w:firstRowFirstColumn="0" w:firstRowLastColumn="0" w:lastRowFirstColumn="0" w:lastRowLastColumn="0"/>
            </w:pPr>
            <w:r>
              <w:t>440</w:t>
            </w:r>
          </w:p>
        </w:tc>
        <w:tc>
          <w:tcPr>
            <w:tcW w:w="2320" w:type="dxa"/>
            <w:tcBorders>
              <w:bottom w:val="single" w:sz="12" w:space="0" w:color="auto"/>
            </w:tcBorders>
          </w:tcPr>
          <w:p w14:paraId="35EF9D44" w14:textId="359AEB93" w:rsidR="00760EE4" w:rsidRDefault="00484B4A" w:rsidP="00760EE4">
            <w:pPr>
              <w:ind w:firstLine="0"/>
              <w:jc w:val="center"/>
              <w:cnfStyle w:val="000000100000" w:firstRow="0" w:lastRow="0" w:firstColumn="0" w:lastColumn="0" w:oddVBand="0" w:evenVBand="0" w:oddHBand="1" w:evenHBand="0" w:firstRowFirstColumn="0" w:firstRowLastColumn="0" w:lastRowFirstColumn="0" w:lastRowLastColumn="0"/>
            </w:pPr>
            <w:r>
              <w:t>0.81</w:t>
            </w:r>
          </w:p>
        </w:tc>
        <w:tc>
          <w:tcPr>
            <w:tcW w:w="2356" w:type="dxa"/>
            <w:tcBorders>
              <w:bottom w:val="single" w:sz="12" w:space="0" w:color="auto"/>
            </w:tcBorders>
          </w:tcPr>
          <w:p w14:paraId="44711CAF" w14:textId="53E9BBBC" w:rsidR="00760EE4" w:rsidRDefault="004961D5" w:rsidP="00760EE4">
            <w:pPr>
              <w:ind w:firstLine="0"/>
              <w:jc w:val="center"/>
              <w:cnfStyle w:val="000000100000" w:firstRow="0" w:lastRow="0" w:firstColumn="0" w:lastColumn="0" w:oddVBand="0" w:evenVBand="0" w:oddHBand="1" w:evenHBand="0" w:firstRowFirstColumn="0" w:firstRowLastColumn="0" w:lastRowFirstColumn="0" w:lastRowLastColumn="0"/>
            </w:pPr>
            <w:r>
              <w:fldChar w:fldCharType="begin"/>
            </w:r>
            <w:r>
              <w:instrText xml:space="preserve"> ADDIN ZOTERO_ITEM CSL_CITATION {"citationID":"1wa5S6d6","properties":{"formattedCitation":"(Hong et al., 2018)","plainCitation":"(Hong et al., 2018)","noteIndex":0},"citationItems":[{"id":246,"uris":["http://zotero.org/users/7782726/items/7LJE3IUB"],"uri":["http://zotero.org/users/7782726/items/7LJE3IUB"],"itemData":{"id":246,"type":"article-journal","abstract":"In this study we present a spatiotemporal analysis of the recent seismicity and industry-related wastewater injection activity in Oklahoma. A parsimonious predictive tool was developed to estimate the lagged effect of previous month&amp;rsquo;s injection volumes on subsequent regional seismic activity. Results support the hypothesis that the recent boom in unconventional oil and gas production and either the mitigation policies or the drop in oil prices (or both) are potentially responsible for the upsurge and reduction in the state&amp;rsquo;s seismic activity between 2006&amp;ndash;2015 and 2016&amp;ndash;2017, respectively. A cluster analysis reveals a synchronous migration pattern between earthquake occurrences and salt water injection with a predominant northwest direction during 2006 through 2017. A lagged cross-correlation analysis allows extracting a power law between expected number of quakes and weighted average monthly injection volumes with a coefficient of determination of R2 = 0.77. Such a relation could be used to establish &amp;ldquo;sustainable water injection limits&amp;rdquo; aiming to minimize seismicity to values comparable with several historically representative averages. Results from these analyses coincide on previously found sustainable limits of 5 to 6 million m3/month but expand to operations that could attain the same number through differential monthly planning. Findings could potentially be used for model intercomparison and regulation policies.","container-title":"Geosciences","DOI":"10.3390/geosciences8120436","issue":"12","language":"en","note":"number: 12\npublisher: Multidisciplinary Digital Publishing Institute","page":"436","source":"www.mdpi.com","title":"Spatiotemporal Assessment of Induced Seismicity in Oklahoma: Foreseeable Fewer Earthquakes for Sustainable Oil and Gas Extraction?","title-short":"Spatiotemporal Assessment of Induced Seismicity in Oklahoma","volume":"8","author":[{"family":"Hong","given":"Zhen"},{"family":"Moreno","given":"Hernan A."},{"family":"Hong","given":"Yang"}],"issued":{"date-parts":[["2018",12]]}}}],"schema":"https://github.com/citation-style-language/schema/raw/master/csl-citation.json"} </w:instrText>
            </w:r>
            <w:r>
              <w:fldChar w:fldCharType="separate"/>
            </w:r>
            <w:r w:rsidRPr="004961D5">
              <w:t>(Hong et al., 2018)</w:t>
            </w:r>
            <w:r>
              <w:fldChar w:fldCharType="end"/>
            </w:r>
          </w:p>
        </w:tc>
      </w:tr>
    </w:tbl>
    <w:p w14:paraId="2A428BD1" w14:textId="173D3142" w:rsidR="00AC0AA8" w:rsidRDefault="00AC0AA8" w:rsidP="00AC0AA8">
      <w:pPr>
        <w:jc w:val="center"/>
      </w:pPr>
    </w:p>
    <w:p w14:paraId="472CA0AE" w14:textId="77777777" w:rsidR="001C52E6" w:rsidRDefault="00841877" w:rsidP="00E12FD4">
      <w:pPr>
        <w:pStyle w:val="11"/>
        <w:keepNext/>
      </w:pPr>
      <w:r>
        <w:rPr>
          <w:noProof/>
        </w:rPr>
        <w:lastRenderedPageBreak/>
        <w:drawing>
          <wp:inline distT="0" distB="0" distL="0" distR="0" wp14:anchorId="414431D9" wp14:editId="0C3E9FF5">
            <wp:extent cx="5612907" cy="2644140"/>
            <wp:effectExtent l="0" t="0" r="698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52">
                      <a:extLst>
                        <a:ext uri="{28A0092B-C50C-407E-A947-70E740481C1C}">
                          <a14:useLocalDpi xmlns:a14="http://schemas.microsoft.com/office/drawing/2010/main" val="0"/>
                        </a:ext>
                      </a:extLst>
                    </a:blip>
                    <a:stretch>
                      <a:fillRect/>
                    </a:stretch>
                  </pic:blipFill>
                  <pic:spPr>
                    <a:xfrm>
                      <a:off x="0" y="0"/>
                      <a:ext cx="5612907" cy="2644140"/>
                    </a:xfrm>
                    <a:prstGeom prst="rect">
                      <a:avLst/>
                    </a:prstGeom>
                  </pic:spPr>
                </pic:pic>
              </a:graphicData>
            </a:graphic>
          </wp:inline>
        </w:drawing>
      </w:r>
    </w:p>
    <w:p w14:paraId="34509E5F" w14:textId="16BCC914" w:rsidR="00841877" w:rsidRDefault="001C52E6" w:rsidP="00E54293">
      <w:pPr>
        <w:pStyle w:val="a3"/>
        <w:ind w:firstLine="0"/>
      </w:pPr>
      <w:bookmarkStart w:id="36" w:name="_Toc75360558"/>
      <w:bookmarkStart w:id="37" w:name="_Toc75361826"/>
      <w:bookmarkStart w:id="38" w:name="_Toc75361881"/>
      <w:r>
        <w:t xml:space="preserve">Figure </w:t>
      </w:r>
      <w:r w:rsidR="00136CE4">
        <w:t>2</w:t>
      </w:r>
      <w:r w:rsidR="00764D25">
        <w:t>.</w:t>
      </w:r>
      <w:r>
        <w:fldChar w:fldCharType="begin"/>
      </w:r>
      <w:r>
        <w:instrText>SEQ Figure \* ARABIC \s 1</w:instrText>
      </w:r>
      <w:r>
        <w:fldChar w:fldCharType="separate"/>
      </w:r>
      <w:r w:rsidR="00492676">
        <w:rPr>
          <w:noProof/>
        </w:rPr>
        <w:t>1</w:t>
      </w:r>
      <w:r>
        <w:fldChar w:fldCharType="end"/>
      </w:r>
      <w:r w:rsidR="00F64CC0">
        <w:t xml:space="preserve">. </w:t>
      </w:r>
      <w:r w:rsidR="00EE37F1" w:rsidRPr="00EE37F1">
        <w:rPr>
          <w:b w:val="0"/>
          <w:bCs w:val="0"/>
        </w:rPr>
        <w:t>Linear regression plots for (</w:t>
      </w:r>
      <w:r w:rsidR="00EE37F1" w:rsidRPr="00EE37F1">
        <w:t>a</w:t>
      </w:r>
      <w:r w:rsidR="00EE37F1" w:rsidRPr="00EE37F1">
        <w:rPr>
          <w:b w:val="0"/>
          <w:bCs w:val="0"/>
        </w:rPr>
        <w:t xml:space="preserve">)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L</m:t>
            </m:r>
          </m:sub>
        </m:sSub>
      </m:oMath>
      <w:r w:rsidR="00EE37F1" w:rsidRPr="00EE37F1">
        <w:rPr>
          <w:b w:val="0"/>
          <w:bCs w:val="0"/>
        </w:rPr>
        <w:t xml:space="preserve"> vs.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b</m:t>
            </m:r>
          </m:sub>
        </m:sSub>
      </m:oMath>
      <w:r w:rsidR="00EE37F1" w:rsidRPr="00EE37F1">
        <w:rPr>
          <w:b w:val="0"/>
          <w:bCs w:val="0"/>
        </w:rPr>
        <w:t xml:space="preserve"> and (</w:t>
      </w:r>
      <w:r w:rsidR="00EE37F1" w:rsidRPr="00EE37F1">
        <w:t>b</w:t>
      </w:r>
      <w:r w:rsidR="00EE37F1" w:rsidRPr="00EE37F1">
        <w:rPr>
          <w:b w:val="0"/>
          <w:bCs w:val="0"/>
        </w:rPr>
        <w:t xml:space="preserve">)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L</m:t>
            </m:r>
          </m:sub>
        </m:sSub>
      </m:oMath>
      <w:r w:rsidR="00EE37F1" w:rsidRPr="00EE37F1">
        <w:rPr>
          <w:b w:val="0"/>
          <w:bCs w:val="0"/>
        </w:rPr>
        <w:t xml:space="preserve"> vs. </w:t>
      </w:r>
      <m:oMath>
        <m:sSub>
          <m:sSubPr>
            <m:ctrlPr>
              <w:rPr>
                <w:rFonts w:ascii="Cambria Math" w:hAnsi="Cambria Math"/>
                <w:b w:val="0"/>
                <w:bCs w:val="0"/>
                <w:i/>
                <w:szCs w:val="24"/>
              </w:rPr>
            </m:ctrlPr>
          </m:sSubPr>
          <m:e>
            <m:r>
              <m:rPr>
                <m:sty m:val="bi"/>
              </m:rPr>
              <w:rPr>
                <w:rFonts w:ascii="Cambria Math" w:hAnsi="Cambria Math"/>
                <w:szCs w:val="24"/>
              </w:rPr>
              <m:t>M</m:t>
            </m:r>
          </m:e>
          <m:sub>
            <m:r>
              <m:rPr>
                <m:sty m:val="bi"/>
              </m:rPr>
              <w:rPr>
                <w:rFonts w:ascii="Cambria Math" w:hAnsi="Cambria Math"/>
                <w:szCs w:val="24"/>
              </w:rPr>
              <m:t>w</m:t>
            </m:r>
          </m:sub>
        </m:sSub>
      </m:oMath>
      <w:r w:rsidR="00EE37F1" w:rsidRPr="00EE37F1">
        <w:rPr>
          <w:b w:val="0"/>
          <w:bCs w:val="0"/>
        </w:rPr>
        <w:t xml:space="preserve"> for all seismic events occurred in Oklahoma between January 2006 and December 2017. Conversion equations are shown in Table 2</w:t>
      </w:r>
      <w:r w:rsidR="005619E2">
        <w:rPr>
          <w:b w:val="0"/>
          <w:bCs w:val="0"/>
        </w:rPr>
        <w:t>.2</w:t>
      </w:r>
      <w:r w:rsidR="00EE37F1" w:rsidRPr="00EE37F1">
        <w:rPr>
          <w:b w:val="0"/>
          <w:bCs w:val="0"/>
        </w:rPr>
        <w:t>.</w:t>
      </w:r>
      <w:bookmarkEnd w:id="36"/>
      <w:bookmarkEnd w:id="37"/>
      <w:bookmarkEnd w:id="38"/>
    </w:p>
    <w:p w14:paraId="081FBF7C" w14:textId="77777777" w:rsidR="00896D61" w:rsidRPr="00896D61" w:rsidRDefault="00896D61" w:rsidP="00896D61"/>
    <w:p w14:paraId="01EB0E06" w14:textId="48AE341F" w:rsidR="00DE1C47" w:rsidRDefault="00DE1C47" w:rsidP="00185E04">
      <w:pPr>
        <w:pStyle w:val="3"/>
      </w:pPr>
      <w:bookmarkStart w:id="39" w:name="_Toc75939830"/>
      <w:r>
        <w:t xml:space="preserve">2.3.2 </w:t>
      </w:r>
      <w:r w:rsidRPr="00DE1C47">
        <w:t>Earthquake Magnitude of Completeness</w:t>
      </w:r>
      <w:bookmarkEnd w:id="39"/>
    </w:p>
    <w:p w14:paraId="75070870" w14:textId="574DA744" w:rsidR="0041229A" w:rsidRDefault="000945B4" w:rsidP="000945B4">
      <w:r>
        <w:t>After unit homogenization, the magnitude of all recorded earthquake events in the Oklahoma earthquake catalog</w:t>
      </w:r>
      <w:r w:rsidR="007A717B">
        <w:t xml:space="preserve"> </w:t>
      </w:r>
      <w:r>
        <w:t>for the period between 2006 and 2017 range</w:t>
      </w:r>
      <w:r w:rsidR="007A717B">
        <w:t>d</w:t>
      </w:r>
      <w:r>
        <w:t xml:space="preserve"> from 0.1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t xml:space="preserve"> to 5.9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t xml:space="preserve">. </w:t>
      </w:r>
      <w:r w:rsidR="007A717B">
        <w:t>T</w:t>
      </w:r>
      <w:r>
        <w:t>he magnitude of completeness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t xml:space="preserve">) is the minimum magnitude above which earthquakes within a certain region are reliably recorded. Defining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t xml:space="preserve"> is necessary due to the complexity, spatial and temporal heterogeneity of seismometer networks</w:t>
      </w:r>
      <w:r w:rsidR="00093287">
        <w:t>,</w:t>
      </w:r>
      <w:r>
        <w:t xml:space="preserve"> and time series records </w:t>
      </w:r>
      <w:r w:rsidR="00CF2CAB">
        <w:fldChar w:fldCharType="begin"/>
      </w:r>
      <w:r w:rsidR="00CF2CAB">
        <w:instrText xml:space="preserve"> ADDIN ZOTERO_ITEM CSL_CITATION {"citationID":"jnoMUPH8","properties":{"formattedCitation":"(Habermann, 1991; Woessner &amp; Wiemer, 2005)","plainCitation":"(Habermann, 1991; Woessner &amp; Wiemer, 2005)","noteIndex":0},"citationItems":[{"id":249,"uris":["http://zotero.org/users/7782726/items/FHKFPR9A"],"uri":["http://zotero.org/users/7782726/items/FHKFPR9A"],"itemData":{"id":249,"type":"article-journal","container-title":"Tectonophysics","issue":"4","note":"ISBN: 0040-1951\npublisher: Elsevier","page":"277-289","title":"Seismicity rate variations and systematic changes in magnitudes in teleseismic catalogs","volume":"193","author":[{"family":"Habermann","given":"Ray E."}],"issued":{"date-parts":[["1991"]]}}},{"id":250,"uris":["http://zotero.org/users/7782726/items/EASHM95F"],"uri":["http://zotero.org/users/7782726/items/EASHM95F"],"itemData":{"id":250,"type":"article-journal","container-title":"Bulletin of the Seismological Society of America","issue":"2","note":"ISBN: 1943-3573\npublisher: Seismological Society of America","page":"684-698","title":"Assessing the quality of earthquake catalogues: Estimating the magnitude of completeness and its uncertainty","volume":"95","author":[{"family":"Woessner","given":"Jochen"},{"family":"Wiemer","given":"Stefan"}],"issued":{"date-parts":[["2005"]]}}}],"schema":"https://github.com/citation-style-language/schema/raw/master/csl-citation.json"} </w:instrText>
      </w:r>
      <w:r w:rsidR="00CF2CAB">
        <w:fldChar w:fldCharType="separate"/>
      </w:r>
      <w:r w:rsidR="00CF2CAB" w:rsidRPr="00CF2CAB">
        <w:t>(Habermann, 1991; Woessner &amp; Wiemer, 2005)</w:t>
      </w:r>
      <w:r w:rsidR="00CF2CAB">
        <w:fldChar w:fldCharType="end"/>
      </w:r>
      <w:r>
        <w:t xml:space="preserve">. To assess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t xml:space="preserve"> for our earthquake dataset, a frequency-magnitude distribution (FMD) plot was created for the entire dataset (see Figure 2</w:t>
      </w:r>
      <w:r w:rsidR="004364AB">
        <w:t>.2</w:t>
      </w:r>
      <w:r>
        <w:t xml:space="preserve">) based on the entire magnitude range (EMR) method proposed by Woessner and Wiemer </w:t>
      </w:r>
      <w:r w:rsidR="002B0651">
        <w:fldChar w:fldCharType="begin"/>
      </w:r>
      <w:r w:rsidR="00137D55">
        <w:instrText xml:space="preserve"> ADDIN ZOTERO_ITEM CSL_CITATION {"citationID":"urDlRbfI","properties":{"formattedCitation":"(Woessner &amp; Wiemer, 2005)","plainCitation":"(Woessner &amp; Wiemer, 2005)","dontUpdate":true,"noteIndex":0},"citationItems":[{"id":250,"uris":["http://zotero.org/users/7782726/items/EASHM95F"],"uri":["http://zotero.org/users/7782726/items/EASHM95F"],"itemData":{"id":250,"type":"article-journal","container-title":"Bulletin of the Seismological Society of America","issue":"2","note":"ISBN: 1943-3573\npublisher: Seismological Society of America","page":"684-698","title":"Assessing the quality of earthquake catalogues: Estimating the magnitude of completeness and its uncertainty","volume":"95","author":[{"family":"Woessner","given":"Jochen"},{"family":"Wiemer","given":"Stefan"}],"issued":{"date-parts":[["2005"]]}}}],"schema":"https://github.com/citation-style-language/schema/raw/master/csl-citation.json"} </w:instrText>
      </w:r>
      <w:r w:rsidR="002B0651">
        <w:fldChar w:fldCharType="separate"/>
      </w:r>
      <w:r w:rsidR="002B0651" w:rsidRPr="002B0651">
        <w:t>(2005)</w:t>
      </w:r>
      <w:r w:rsidR="002B0651">
        <w:fldChar w:fldCharType="end"/>
      </w:r>
      <w:r>
        <w:t xml:space="preserve">. Their method estimates the FMD based on the Gutenberg-Richter law </w:t>
      </w:r>
      <w:r w:rsidR="00510C87">
        <w:fldChar w:fldCharType="begin"/>
      </w:r>
      <w:r w:rsidR="00510C87">
        <w:instrText xml:space="preserve"> ADDIN ZOTERO_ITEM CSL_CITATION {"citationID":"KyrHyaL6","properties":{"formattedCitation":"(Gutenberg &amp; Richter, 1944)","plainCitation":"(Gutenberg &amp; Richter, 1944)","noteIndex":0},"citationItems":[{"id":251,"uris":["http://zotero.org/users/7782726/items/8R7BYTJ4"],"uri":["http://zotero.org/users/7782726/items/8R7BYTJ4"],"itemData":{"id":251,"type":"article-journal","container-title":"Bulletin of the Seismological society of America","issue":"4","note":"ISBN: 1943-3573\npublisher: The Seismological Society of America","page":"185-188","title":"Frequency of earthquakes in California","volume":"34","author":[{"family":"Gutenberg","given":"Beno"},{"family":"Richter","given":"Charles F."}],"issued":{"date-parts":[["1944"]]}}}],"schema":"https://github.com/citation-style-language/schema/raw/master/csl-citation.json"} </w:instrText>
      </w:r>
      <w:r w:rsidR="00510C87">
        <w:fldChar w:fldCharType="separate"/>
      </w:r>
      <w:r w:rsidR="00510C87" w:rsidRPr="00510C87">
        <w:t>(Gutenberg &amp; Richter, 1944)</w:t>
      </w:r>
      <w:r w:rsidR="00510C87">
        <w:fldChar w:fldCharType="end"/>
      </w:r>
      <w:r>
        <w:t xml:space="preserve">. For the data with magnitude below the assumed Mc, EMR uses a normal cumulative distribution function </w:t>
      </w:r>
      <w:r w:rsidR="006F0450">
        <w:fldChar w:fldCharType="begin"/>
      </w:r>
      <w:r w:rsidR="006F0450">
        <w:instrText xml:space="preserve"> ADDIN ZOTERO_ITEM CSL_CITATION {"citationID":"cL4lWKrB","properties":{"formattedCitation":"(Woessner &amp; Wiemer, 2005)","plainCitation":"(Woessner &amp; Wiemer, 2005)","noteIndex":0},"citationItems":[{"id":250,"uris":["http://zotero.org/users/7782726/items/EASHM95F"],"uri":["http://zotero.org/users/7782726/items/EASHM95F"],"itemData":{"id":250,"type":"article-journal","container-title":"Bulletin of the Seismological Society of America","issue":"2","note":"ISBN: 1943-3573\npublisher: Seismological Society of America","page":"684-698","title":"Assessing the quality of earthquake catalogues: Estimating the magnitude of completeness and its uncertainty","volume":"95","author":[{"family":"Woessner","given":"Jochen"},{"family":"Wiemer","given":"Stefan"}],"issued":{"date-parts":[["2005"]]}}}],"schema":"https://github.com/citation-style-language/schema/raw/master/csl-citation.json"} </w:instrText>
      </w:r>
      <w:r w:rsidR="006F0450">
        <w:fldChar w:fldCharType="separate"/>
      </w:r>
      <w:r w:rsidR="006F0450" w:rsidRPr="006F0450">
        <w:t>(Woessner &amp; Wiemer, 2005)</w:t>
      </w:r>
      <w:r w:rsidR="006F0450">
        <w:fldChar w:fldCharType="end"/>
      </w:r>
      <w:r>
        <w:t xml:space="preserve">. Woessner and Wiemer </w:t>
      </w:r>
      <w:r w:rsidR="008A6E71">
        <w:fldChar w:fldCharType="begin"/>
      </w:r>
      <w:r w:rsidR="00137D55">
        <w:instrText xml:space="preserve"> ADDIN ZOTERO_ITEM CSL_CITATION {"citationID":"EUhRhBVS","properties":{"formattedCitation":"(Woessner &amp; Wiemer, 2005)","plainCitation":"(Woessner &amp; Wiemer, 2005)","dontUpdate":true,"noteIndex":0},"citationItems":[{"id":250,"uris":["http://zotero.org/users/7782726/items/EASHM95F"],"uri":["http://zotero.org/users/7782726/items/EASHM95F"],"itemData":{"id":250,"type":"article-journal","container-title":"Bulletin of the Seismological Society of America","issue":"2","note":"ISBN: 1943-3573\npublisher: Seismological Society of America","page":"684-698","title":"Assessing the quality of earthquake catalogues: Estimating the magnitude of completeness and its uncertainty","volume":"95","author":[{"family":"Woessner","given":"Jochen"},{"family":"Wiemer","given":"Stefan"}],"issued":{"date-parts":[["2005"]]}}}],"schema":"https://github.com/citation-style-language/schema/raw/master/csl-citation.json"} </w:instrText>
      </w:r>
      <w:r w:rsidR="008A6E71">
        <w:fldChar w:fldCharType="separate"/>
      </w:r>
      <w:r w:rsidR="008A6E71" w:rsidRPr="008A6E71">
        <w:t>(2005)</w:t>
      </w:r>
      <w:r w:rsidR="008A6E71">
        <w:fldChar w:fldCharType="end"/>
      </w:r>
      <w:r>
        <w:t xml:space="preserve"> compared the EMR method with other three including maximum curvature-method (MAXC;</w:t>
      </w:r>
      <w:r w:rsidR="0026617A">
        <w:t xml:space="preserve"> </w:t>
      </w:r>
      <w:r w:rsidR="00125F42">
        <w:fldChar w:fldCharType="begin"/>
      </w:r>
      <w:r w:rsidR="00125F42">
        <w:instrText xml:space="preserve"> ADDIN ZOTERO_ITEM CSL_CITATION {"citationID":"Gn7V7aXh","properties":{"formattedCitation":"(Wiemer &amp; Wyss, 2000)","plainCitation":"(Wiemer &amp; Wyss, 2000)","noteIndex":0},"citationItems":[{"id":252,"uris":["http://zotero.org/users/7782726/items/ETV3UGBF"],"uri":["http://zotero.org/users/7782726/items/ETV3UGBF"],"itemData":{"id":252,"type":"article-journal","container-title":"Bulletin of the Seismological Society of America","issue":"4","note":"ISBN: 1943-3573\npublisher: Seismological Society of America","page":"859-869","title":"Minimum magnitude of completeness in earthquake catalogs: Examples from Alaska, the western United States, and Japan","volume":"90","author":[{"family":"Wiemer","given":"Stefan"},{"family":"Wyss","given":"Max"}],"issued":{"date-parts":[["2000"]]}}}],"schema":"https://github.com/citation-style-language/schema/raw/master/csl-citation.json"} </w:instrText>
      </w:r>
      <w:r w:rsidR="00125F42">
        <w:fldChar w:fldCharType="separate"/>
      </w:r>
      <w:r w:rsidR="00125F42" w:rsidRPr="00125F42">
        <w:t>(Wiemer &amp; Wyss, 2000)</w:t>
      </w:r>
      <w:r w:rsidR="00125F42">
        <w:fldChar w:fldCharType="end"/>
      </w:r>
      <w:r>
        <w:t xml:space="preserve">), goodness-of-fit </w:t>
      </w:r>
      <w:r>
        <w:lastRenderedPageBreak/>
        <w:t xml:space="preserve">test (GFT; </w:t>
      </w:r>
      <w:r w:rsidR="00176EF1">
        <w:fldChar w:fldCharType="begin"/>
      </w:r>
      <w:r w:rsidR="00176EF1">
        <w:instrText xml:space="preserve"> ADDIN ZOTERO_ITEM CSL_CITATION {"citationID":"68Gornnm","properties":{"formattedCitation":"(Wiemer &amp; Wyss, 2000)","plainCitation":"(Wiemer &amp; Wyss, 2000)","noteIndex":0},"citationItems":[{"id":252,"uris":["http://zotero.org/users/7782726/items/ETV3UGBF"],"uri":["http://zotero.org/users/7782726/items/ETV3UGBF"],"itemData":{"id":252,"type":"article-journal","container-title":"Bulletin of the Seismological Society of America","issue":"4","note":"ISBN: 1943-3573\npublisher: Seismological Society of America","page":"859-869","title":"Minimum magnitude of completeness in earthquake catalogs: Examples from Alaska, the western United States, and Japan","volume":"90","author":[{"family":"Wiemer","given":"Stefan"},{"family":"Wyss","given":"Max"}],"issued":{"date-parts":[["2000"]]}}}],"schema":"https://github.com/citation-style-language/schema/raw/master/csl-citation.json"} </w:instrText>
      </w:r>
      <w:r w:rsidR="00176EF1">
        <w:fldChar w:fldCharType="separate"/>
      </w:r>
      <w:r w:rsidR="00176EF1" w:rsidRPr="00176EF1">
        <w:t>(Wiemer &amp; Wyss, 2000)</w:t>
      </w:r>
      <w:r w:rsidR="00176EF1">
        <w:fldChar w:fldCharType="end"/>
      </w:r>
      <w:r>
        <w:t xml:space="preserve">), and Mc by b-value stability (MBS; </w:t>
      </w:r>
      <w:r w:rsidR="007E1D44">
        <w:fldChar w:fldCharType="begin"/>
      </w:r>
      <w:r w:rsidR="007E1D44">
        <w:instrText xml:space="preserve"> ADDIN ZOTERO_ITEM CSL_CITATION {"citationID":"TM2onyto","properties":{"formattedCitation":"(Cao &amp; Gao, 2002)","plainCitation":"(Cao &amp; Gao, 2002)","noteIndex":0},"citationItems":[{"id":253,"uris":["http://zotero.org/users/7782726/items/UHG5JIKF"],"uri":["http://zotero.org/users/7782726/items/UHG5JIKF"],"itemData":{"id":253,"type":"article-journal","container-title":"Geophysical research letters","issue":"9","note":"ISBN: 0094-8276\npublisher: Wiley Online Library","page":"48-1-48-3","title":"Temporal variation of seismic b‐values beneath northeastern Japan island arc","volume":"29","author":[{"family":"Cao","given":"Aimin"},{"family":"Gao","given":"Stephen S."}],"issued":{"date-parts":[["2002"]]}}}],"schema":"https://github.com/citation-style-language/schema/raw/master/csl-citation.json"} </w:instrText>
      </w:r>
      <w:r w:rsidR="007E1D44">
        <w:fldChar w:fldCharType="separate"/>
      </w:r>
      <w:r w:rsidR="007E1D44" w:rsidRPr="007E1D44">
        <w:t>(Cao &amp; Gao, 2002)</w:t>
      </w:r>
      <w:r w:rsidR="007E1D44">
        <w:fldChar w:fldCharType="end"/>
      </w:r>
      <w:r>
        <w:t xml:space="preserve">), and they concluded that EMR is the most favorable model to calculate Mc </w:t>
      </w:r>
      <w:r w:rsidR="00B702DF">
        <w:fldChar w:fldCharType="begin"/>
      </w:r>
      <w:r w:rsidR="00B702DF">
        <w:instrText xml:space="preserve"> ADDIN ZOTERO_ITEM CSL_CITATION {"citationID":"3QhLcFeA","properties":{"formattedCitation":"(Woessner &amp; Wiemer, 2005)","plainCitation":"(Woessner &amp; Wiemer, 2005)","noteIndex":0},"citationItems":[{"id":250,"uris":["http://zotero.org/users/7782726/items/EASHM95F"],"uri":["http://zotero.org/users/7782726/items/EASHM95F"],"itemData":{"id":250,"type":"article-journal","container-title":"Bulletin of the Seismological Society of America","issue":"2","note":"ISBN: 1943-3573\npublisher: Seismological Society of America","page":"684-698","title":"Assessing the quality of earthquake catalogues: Estimating the magnitude of completeness and its uncertainty","volume":"95","author":[{"family":"Woessner","given":"Jochen"},{"family":"Wiemer","given":"Stefan"}],"issued":{"date-parts":[["2005"]]}}}],"schema":"https://github.com/citation-style-language/schema/raw/master/csl-citation.json"} </w:instrText>
      </w:r>
      <w:r w:rsidR="00B702DF">
        <w:fldChar w:fldCharType="separate"/>
      </w:r>
      <w:r w:rsidR="00B702DF" w:rsidRPr="00B702DF">
        <w:t>(Woessner &amp; Wiemer, 2005)</w:t>
      </w:r>
      <w:r w:rsidR="00B702DF">
        <w:fldChar w:fldCharType="end"/>
      </w:r>
      <w:r>
        <w:t xml:space="preserve">. The FMD curve indicates a data-based suggested value of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t xml:space="preserve"> = 2.6 which will be used as minimum trustable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t xml:space="preserve"> </w:t>
      </w:r>
      <w:r w:rsidR="00093287">
        <w:t xml:space="preserve">for the </w:t>
      </w:r>
      <w:r>
        <w:t>subsequent analyses</w:t>
      </w:r>
      <w:r w:rsidR="00BA0160">
        <w:t xml:space="preserve"> </w:t>
      </w:r>
      <w:r w:rsidR="00116874">
        <w:fldChar w:fldCharType="begin"/>
      </w:r>
      <w:r w:rsidR="00116874">
        <w:instrText xml:space="preserve"> ADDIN ZOTERO_ITEM CSL_CITATION {"citationID":"O69auK4s","properties":{"formattedCitation":"(Woessner &amp; Wiemer, 2005)","plainCitation":"(Woessner &amp; Wiemer, 2005)","noteIndex":0},"citationItems":[{"id":250,"uris":["http://zotero.org/users/7782726/items/EASHM95F"],"uri":["http://zotero.org/users/7782726/items/EASHM95F"],"itemData":{"id":250,"type":"article-journal","container-title":"Bulletin of the Seismological Society of America","issue":"2","note":"ISBN: 1943-3573\npublisher: Seismological Society of America","page":"684-698","title":"Assessing the quality of earthquake catalogues: Estimating the magnitude of completeness and its uncertainty","volume":"95","author":[{"family":"Woessner","given":"Jochen"},{"family":"Wiemer","given":"Stefan"}],"issued":{"date-parts":[["2005"]]}}}],"schema":"https://github.com/citation-style-language/schema/raw/master/csl-citation.json"} </w:instrText>
      </w:r>
      <w:r w:rsidR="00116874">
        <w:fldChar w:fldCharType="separate"/>
      </w:r>
      <w:r w:rsidR="00116874" w:rsidRPr="00116874">
        <w:t>(Woessner &amp; Wiemer, 2005)</w:t>
      </w:r>
      <w:r w:rsidR="00116874">
        <w:fldChar w:fldCharType="end"/>
      </w:r>
      <w:r>
        <w:t>.</w:t>
      </w:r>
    </w:p>
    <w:p w14:paraId="773F37DA" w14:textId="77777777" w:rsidR="00763D18" w:rsidRDefault="00274D15" w:rsidP="000E41C6">
      <w:pPr>
        <w:keepNext/>
        <w:ind w:left="-432"/>
        <w:jc w:val="center"/>
      </w:pPr>
      <w:r>
        <w:rPr>
          <w:noProof/>
        </w:rPr>
        <w:drawing>
          <wp:inline distT="0" distB="0" distL="0" distR="0" wp14:anchorId="77CEB598" wp14:editId="1EF193A9">
            <wp:extent cx="5116644" cy="4579622"/>
            <wp:effectExtent l="0" t="0" r="8255" b="0"/>
            <wp:docPr id="2" name="图片 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53">
                      <a:extLst>
                        <a:ext uri="{28A0092B-C50C-407E-A947-70E740481C1C}">
                          <a14:useLocalDpi xmlns:a14="http://schemas.microsoft.com/office/drawing/2010/main" val="0"/>
                        </a:ext>
                      </a:extLst>
                    </a:blip>
                    <a:stretch>
                      <a:fillRect/>
                    </a:stretch>
                  </pic:blipFill>
                  <pic:spPr>
                    <a:xfrm>
                      <a:off x="0" y="0"/>
                      <a:ext cx="5116644" cy="4579622"/>
                    </a:xfrm>
                    <a:prstGeom prst="rect">
                      <a:avLst/>
                    </a:prstGeom>
                  </pic:spPr>
                </pic:pic>
              </a:graphicData>
            </a:graphic>
          </wp:inline>
        </w:drawing>
      </w:r>
    </w:p>
    <w:p w14:paraId="69EB7E2B" w14:textId="73BEB7BE" w:rsidR="00274D15" w:rsidRDefault="00763D18" w:rsidP="000E1BFF">
      <w:pPr>
        <w:pStyle w:val="a3"/>
        <w:ind w:firstLine="0"/>
      </w:pPr>
      <w:bookmarkStart w:id="40" w:name="_Toc75360559"/>
      <w:bookmarkStart w:id="41" w:name="_Toc75361827"/>
      <w:bookmarkStart w:id="42" w:name="_Toc75361882"/>
      <w:r>
        <w:t xml:space="preserve">Figure </w:t>
      </w:r>
      <w:r w:rsidR="00754579">
        <w:t>2</w:t>
      </w:r>
      <w:r w:rsidR="00764D25">
        <w:t>.</w:t>
      </w:r>
      <w:r>
        <w:fldChar w:fldCharType="begin"/>
      </w:r>
      <w:r>
        <w:instrText>SEQ Figure \* ARABIC \s 1</w:instrText>
      </w:r>
      <w:r>
        <w:fldChar w:fldCharType="separate"/>
      </w:r>
      <w:r w:rsidR="00492676">
        <w:rPr>
          <w:noProof/>
        </w:rPr>
        <w:t>2</w:t>
      </w:r>
      <w:r>
        <w:fldChar w:fldCharType="end"/>
      </w:r>
      <w:r w:rsidR="000661CC">
        <w:t>.</w:t>
      </w:r>
      <w:r w:rsidRPr="00763D18">
        <w:rPr>
          <w:b w:val="0"/>
          <w:bCs w:val="0"/>
        </w:rPr>
        <w:t xml:space="preserve"> </w:t>
      </w:r>
      <w:r w:rsidRPr="00274D15">
        <w:rPr>
          <w:b w:val="0"/>
          <w:bCs w:val="0"/>
        </w:rPr>
        <w:t>Cumulative and noncumulative frequency-magnitude distributions on logarithmic scale with the black line indicating magnitude of completeness (</w:t>
      </w:r>
      <m:oMath>
        <m:sSub>
          <m:sSubPr>
            <m:ctrlPr>
              <w:rPr>
                <w:rFonts w:ascii="Cambria Math" w:hAnsi="Cambria Math"/>
                <w:b w:val="0"/>
                <w:bCs w:val="0"/>
                <w:i/>
                <w:szCs w:val="24"/>
              </w:rPr>
            </m:ctrlPr>
          </m:sSubPr>
          <m:e>
            <m:r>
              <m:rPr>
                <m:sty m:val="bi"/>
              </m:rPr>
              <w:rPr>
                <w:rFonts w:ascii="Cambria Math" w:hAnsi="Cambria Math"/>
              </w:rPr>
              <m:t>M</m:t>
            </m:r>
          </m:e>
          <m:sub>
            <m:r>
              <m:rPr>
                <m:sty m:val="bi"/>
              </m:rPr>
              <w:rPr>
                <w:rFonts w:ascii="Cambria Math" w:hAnsi="Cambria Math"/>
              </w:rPr>
              <m:t>C</m:t>
            </m:r>
          </m:sub>
        </m:sSub>
      </m:oMath>
      <w:r w:rsidRPr="00274D15">
        <w:rPr>
          <w:b w:val="0"/>
          <w:bCs w:val="0"/>
        </w:rPr>
        <w:t>) for time series during 2006–2017.</w:t>
      </w:r>
      <w:bookmarkEnd w:id="40"/>
      <w:bookmarkEnd w:id="41"/>
      <w:bookmarkEnd w:id="42"/>
    </w:p>
    <w:p w14:paraId="20011D44" w14:textId="73FB6BD5" w:rsidR="00A914C6" w:rsidRDefault="00763D18" w:rsidP="00315D96">
      <w:pPr>
        <w:pStyle w:val="a3"/>
        <w:ind w:firstLine="0"/>
      </w:pPr>
      <w:bookmarkStart w:id="43" w:name="_Toc75015420"/>
      <w:r w:rsidRPr="00274D15">
        <w:rPr>
          <w:b w:val="0"/>
          <w:bCs w:val="0"/>
        </w:rPr>
        <w:t xml:space="preserve"> </w:t>
      </w:r>
      <w:bookmarkEnd w:id="43"/>
    </w:p>
    <w:p w14:paraId="2776EA14" w14:textId="77777777" w:rsidR="003514C7" w:rsidRPr="00465285" w:rsidRDefault="003514C7" w:rsidP="000945B4">
      <w:pPr>
        <w:rPr>
          <w:lang w:eastAsia="zh-CN"/>
        </w:rPr>
      </w:pPr>
    </w:p>
    <w:p w14:paraId="6B859380" w14:textId="4A3BD466" w:rsidR="0041229A" w:rsidRDefault="00B85193" w:rsidP="00B85193">
      <w:pPr>
        <w:pStyle w:val="2"/>
      </w:pPr>
      <w:bookmarkStart w:id="44" w:name="_Toc75939831"/>
      <w:r>
        <w:t xml:space="preserve">2.4 </w:t>
      </w:r>
      <w:r w:rsidRPr="00B85193">
        <w:t>Interannual Seismicity and Wastewater Injection Activity in Oklahoma</w:t>
      </w:r>
      <w:bookmarkEnd w:id="44"/>
    </w:p>
    <w:p w14:paraId="7356093C" w14:textId="0E76C182" w:rsidR="0041229A" w:rsidRDefault="00D73186" w:rsidP="00953D9B">
      <w:pPr>
        <w:rPr>
          <w:lang w:eastAsia="zh-CN"/>
        </w:rPr>
      </w:pPr>
      <w:r w:rsidRPr="00D73186">
        <w:rPr>
          <w:lang w:eastAsia="zh-CN"/>
        </w:rPr>
        <w:t>According to the Oklahoma Geological Survey, the earliest recorded earthquake in the state</w:t>
      </w:r>
      <w:r w:rsidR="00294256">
        <w:rPr>
          <w:lang w:eastAsia="zh-CN"/>
        </w:rPr>
        <w:t xml:space="preserve"> </w:t>
      </w:r>
      <w:r w:rsidRPr="00D73186">
        <w:rPr>
          <w:lang w:eastAsia="zh-CN"/>
        </w:rPr>
        <w:t xml:space="preserve">occurred on 22 October 1882 with a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D73186">
        <w:rPr>
          <w:lang w:eastAsia="zh-CN"/>
        </w:rPr>
        <w:t xml:space="preserve"> 5.0 (Oklahoma Geological Survey 2017). From 1882 to </w:t>
      </w:r>
      <w:r w:rsidRPr="00D73186">
        <w:rPr>
          <w:lang w:eastAsia="zh-CN"/>
        </w:rPr>
        <w:lastRenderedPageBreak/>
        <w:t>2002,</w:t>
      </w:r>
      <w:r w:rsidR="00294256">
        <w:rPr>
          <w:lang w:eastAsia="zh-CN"/>
        </w:rPr>
        <w:t xml:space="preserve"> </w:t>
      </w:r>
      <w:r w:rsidRPr="00D73186">
        <w:rPr>
          <w:lang w:eastAsia="zh-CN"/>
        </w:rPr>
        <w:t>(120 years) Oklahoma had a total of 186 earthquakes with</w:t>
      </w:r>
      <w:r w:rsidR="007F5697">
        <w:rPr>
          <w:lang w:eastAsia="zh-CN"/>
        </w:rPr>
        <w:t xml:space="preserve">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D73186">
        <w:rPr>
          <w:lang w:eastAsia="zh-CN"/>
        </w:rPr>
        <w:t>, for an average of 1.55 earthquakes</w:t>
      </w:r>
      <w:r w:rsidR="00294256">
        <w:rPr>
          <w:lang w:eastAsia="zh-CN"/>
        </w:rPr>
        <w:t xml:space="preserve"> </w:t>
      </w:r>
      <w:r w:rsidRPr="00D73186">
        <w:rPr>
          <w:lang w:eastAsia="zh-CN"/>
        </w:rPr>
        <w:t>per year (Oklahoma Geological Survey 2017). Figure</w:t>
      </w:r>
      <w:r w:rsidR="0078161B">
        <w:rPr>
          <w:lang w:eastAsia="zh-CN"/>
        </w:rPr>
        <w:t>s</w:t>
      </w:r>
      <w:r w:rsidRPr="00D73186">
        <w:rPr>
          <w:lang w:eastAsia="zh-CN"/>
        </w:rPr>
        <w:t xml:space="preserve"> </w:t>
      </w:r>
      <w:r w:rsidR="004364AB">
        <w:rPr>
          <w:lang w:eastAsia="zh-CN"/>
        </w:rPr>
        <w:t>2.</w:t>
      </w:r>
      <w:r w:rsidRPr="00D73186">
        <w:rPr>
          <w:lang w:eastAsia="zh-CN"/>
        </w:rPr>
        <w:t xml:space="preserve">3a,b </w:t>
      </w:r>
      <w:r w:rsidR="0078161B">
        <w:rPr>
          <w:lang w:eastAsia="zh-CN"/>
        </w:rPr>
        <w:t>shows</w:t>
      </w:r>
      <w:r w:rsidRPr="00D73186">
        <w:rPr>
          <w:lang w:eastAsia="zh-CN"/>
        </w:rPr>
        <w:t xml:space="preserve"> the recent history of earthquake</w:t>
      </w:r>
      <w:r w:rsidR="00294256">
        <w:rPr>
          <w:lang w:eastAsia="zh-CN"/>
        </w:rPr>
        <w:t xml:space="preserve"> </w:t>
      </w:r>
      <w:r w:rsidRPr="00D73186">
        <w:rPr>
          <w:lang w:eastAsia="zh-CN"/>
        </w:rPr>
        <w:t>events (bars, N(</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D73186">
        <w:rPr>
          <w:lang w:eastAsia="zh-CN"/>
        </w:rPr>
        <w:t xml:space="preserve">)) in Oklahoma from 2000 to 2017 with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D73186">
        <w:rPr>
          <w:lang w:eastAsia="zh-CN"/>
        </w:rPr>
        <w:t xml:space="preserve"> and discretized by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00294256">
        <w:rPr>
          <w:lang w:eastAsia="zh-CN"/>
        </w:rPr>
        <w:t xml:space="preserve"> </w:t>
      </w:r>
      <w:r w:rsidRPr="00D73186">
        <w:rPr>
          <w:lang w:eastAsia="zh-CN"/>
        </w:rPr>
        <w:t xml:space="preserve">category. Comparatively to its precedent years, the number of seismic events per year with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00294256">
        <w:rPr>
          <w:lang w:eastAsia="zh-CN"/>
        </w:rPr>
        <w:t xml:space="preserve"> </w:t>
      </w:r>
      <w:r w:rsidRPr="00D73186">
        <w:rPr>
          <w:lang w:eastAsia="zh-CN"/>
        </w:rPr>
        <w:t xml:space="preserve">increased to 4.9 </w:t>
      </w:r>
      <w:r w:rsidR="0078161B">
        <w:rPr>
          <w:lang w:eastAsia="zh-CN"/>
        </w:rPr>
        <w:t xml:space="preserve">from 2003 to 2008 </w:t>
      </w:r>
      <w:r w:rsidRPr="00D73186">
        <w:rPr>
          <w:lang w:eastAsia="zh-CN"/>
        </w:rPr>
        <w:t xml:space="preserve">(39 in total; see Figure </w:t>
      </w:r>
      <w:r w:rsidR="004364AB">
        <w:rPr>
          <w:lang w:eastAsia="zh-CN"/>
        </w:rPr>
        <w:t>2.</w:t>
      </w:r>
      <w:r w:rsidRPr="00D73186">
        <w:rPr>
          <w:lang w:eastAsia="zh-CN"/>
        </w:rPr>
        <w:t>3a). However, 2009 appears as a</w:t>
      </w:r>
      <w:r w:rsidR="00294256">
        <w:rPr>
          <w:lang w:eastAsia="zh-CN"/>
        </w:rPr>
        <w:t xml:space="preserve"> </w:t>
      </w:r>
      <w:r w:rsidRPr="00D73186">
        <w:rPr>
          <w:lang w:eastAsia="zh-CN"/>
        </w:rPr>
        <w:t xml:space="preserve">benchmark year that marks a significant increase relative to historic means (see Figure </w:t>
      </w:r>
      <w:r w:rsidR="004364AB">
        <w:rPr>
          <w:lang w:eastAsia="zh-CN"/>
        </w:rPr>
        <w:t>2.</w:t>
      </w:r>
      <w:r w:rsidRPr="00D73186">
        <w:rPr>
          <w:lang w:eastAsia="zh-CN"/>
        </w:rPr>
        <w:t>3b). Between</w:t>
      </w:r>
      <w:r w:rsidR="00294256">
        <w:rPr>
          <w:lang w:eastAsia="zh-CN"/>
        </w:rPr>
        <w:t xml:space="preserve"> </w:t>
      </w:r>
      <w:r w:rsidRPr="00D73186">
        <w:rPr>
          <w:lang w:eastAsia="zh-CN"/>
        </w:rPr>
        <w:t>2009 and 2017, the state had averaged 730 earthquakes per year (6570 total), which is more than four</w:t>
      </w:r>
      <w:r w:rsidR="00294256">
        <w:rPr>
          <w:lang w:eastAsia="zh-CN"/>
        </w:rPr>
        <w:t xml:space="preserve"> </w:t>
      </w:r>
      <w:r w:rsidRPr="00D73186">
        <w:rPr>
          <w:lang w:eastAsia="zh-CN"/>
        </w:rPr>
        <w:t>hundred times (i.e., 471) the historic average up to year 2002. Since “felt earthquakes” usually refer</w:t>
      </w:r>
      <w:r w:rsidR="00294256">
        <w:rPr>
          <w:lang w:eastAsia="zh-CN"/>
        </w:rPr>
        <w:t xml:space="preserve"> </w:t>
      </w:r>
      <w:r w:rsidRPr="00D73186">
        <w:rPr>
          <w:lang w:eastAsia="zh-CN"/>
        </w:rPr>
        <w:t xml:space="preserve">to those with </w:t>
      </w:r>
      <m:oMath>
        <m:r>
          <w:rPr>
            <w:rFonts w:ascii="Cambria Math" w:hAnsi="Cambria Math"/>
            <w:lang w:eastAsia="zh-CN"/>
          </w:rPr>
          <m:t>3≤</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w</m:t>
            </m:r>
          </m:sub>
        </m:sSub>
        <m:r>
          <w:rPr>
            <w:rFonts w:ascii="Cambria Math" w:hAnsi="Cambria Math"/>
            <w:lang w:eastAsia="zh-CN"/>
          </w:rPr>
          <m:t>≤5</m:t>
        </m:r>
      </m:oMath>
      <w:r w:rsidRPr="00D73186">
        <w:rPr>
          <w:lang w:eastAsia="zh-CN"/>
        </w:rPr>
        <w:t xml:space="preserve"> (National Research Council 2013), Figure 3b also depicts N(</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D73186">
        <w:rPr>
          <w:lang w:eastAsia="zh-CN"/>
        </w:rPr>
        <w:t xml:space="preserve">) per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00294256">
        <w:rPr>
          <w:lang w:eastAsia="zh-CN"/>
        </w:rPr>
        <w:t xml:space="preserve"> </w:t>
      </w:r>
      <w:r w:rsidRPr="00D73186">
        <w:rPr>
          <w:lang w:eastAsia="zh-CN"/>
        </w:rPr>
        <w:t xml:space="preserve">category with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&lt;3</m:t>
        </m:r>
      </m:oMath>
      <w:r w:rsidRPr="00D73186">
        <w:rPr>
          <w:lang w:eastAsia="zh-CN"/>
        </w:rPr>
        <w:t xml:space="preserve">, </w:t>
      </w:r>
      <m:oMath>
        <m:r>
          <w:rPr>
            <w:rFonts w:ascii="Cambria Math" w:hAnsi="Cambria Math"/>
            <w:lang w:eastAsia="zh-CN"/>
          </w:rPr>
          <m:t>3≤</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&lt;4</m:t>
        </m:r>
      </m:oMath>
      <w:r w:rsidRPr="00D73186">
        <w:rPr>
          <w:lang w:eastAsia="zh-CN"/>
        </w:rPr>
        <w:t xml:space="preserve"> and </w:t>
      </w:r>
      <m:oMath>
        <m:r>
          <w:rPr>
            <w:rFonts w:ascii="Cambria Math" w:hAnsi="Cambria Math"/>
            <w:lang w:eastAsia="zh-CN"/>
          </w:rPr>
          <m:t>4≤</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&lt;5</m:t>
        </m:r>
      </m:oMath>
      <w:r w:rsidRPr="00D73186">
        <w:rPr>
          <w:lang w:eastAsia="zh-CN"/>
        </w:rPr>
        <w:t xml:space="preserve"> in Oklahoma from 2000 to 2017. A peak in seismicity occurred in 2015 with 2560 events, followed by a steady decrease to 786 in 2017.</w:t>
      </w:r>
      <w:r w:rsidR="00294256">
        <w:rPr>
          <w:lang w:eastAsia="zh-CN"/>
        </w:rPr>
        <w:t xml:space="preserve"> </w:t>
      </w:r>
      <w:r w:rsidRPr="00D73186">
        <w:rPr>
          <w:lang w:eastAsia="zh-CN"/>
        </w:rPr>
        <w:t xml:space="preserve">This trend is replicated by each of the categories in Figure 3b (e.g.,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D73186">
        <w:rPr>
          <w:lang w:eastAsia="zh-CN"/>
        </w:rPr>
        <w:t>, 3 and 4)</w:t>
      </w:r>
      <w:r w:rsidR="00812904">
        <w:rPr>
          <w:lang w:eastAsia="zh-CN"/>
        </w:rPr>
        <w:t xml:space="preserve">, </w:t>
      </w:r>
      <w:r w:rsidR="00953D9B" w:rsidRPr="00953D9B">
        <w:rPr>
          <w:lang w:eastAsia="zh-CN"/>
        </w:rPr>
        <w:t xml:space="preserve">except by the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≥5</m:t>
        </m:r>
      </m:oMath>
      <w:r w:rsidR="00953D9B" w:rsidRPr="00953D9B">
        <w:rPr>
          <w:lang w:eastAsia="zh-CN"/>
        </w:rPr>
        <w:t xml:space="preserve"> whose peak occurred in 2016. The total number of “damaging earthquakes”,</w:t>
      </w:r>
      <w:r w:rsidR="00953D9B">
        <w:rPr>
          <w:lang w:eastAsia="zh-CN"/>
        </w:rPr>
        <w:t xml:space="preserve"> </w:t>
      </w:r>
      <w:r w:rsidR="00953D9B" w:rsidRPr="00953D9B">
        <w:rPr>
          <w:lang w:eastAsia="zh-CN"/>
        </w:rPr>
        <w:t xml:space="preserve">which are those with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≥5</m:t>
        </m:r>
      </m:oMath>
      <w:r w:rsidR="00953D9B" w:rsidRPr="00953D9B">
        <w:rPr>
          <w:lang w:eastAsia="zh-CN"/>
        </w:rPr>
        <w:t xml:space="preserve">, also increased after 2009 as shown in Figure </w:t>
      </w:r>
      <w:r w:rsidR="004364AB">
        <w:rPr>
          <w:lang w:eastAsia="zh-CN"/>
        </w:rPr>
        <w:t>2.</w:t>
      </w:r>
      <w:r w:rsidR="00953D9B" w:rsidRPr="00953D9B">
        <w:rPr>
          <w:lang w:eastAsia="zh-CN"/>
        </w:rPr>
        <w:t>3b.</w:t>
      </w:r>
    </w:p>
    <w:p w14:paraId="5A4E7E58" w14:textId="77777777" w:rsidR="000661CC" w:rsidRDefault="00D16814" w:rsidP="009F7184">
      <w:pPr>
        <w:keepNext/>
        <w:ind w:left="-432"/>
        <w:jc w:val="center"/>
      </w:pPr>
      <w:r>
        <w:rPr>
          <w:noProof/>
        </w:rPr>
        <w:lastRenderedPageBreak/>
        <w:drawing>
          <wp:inline distT="0" distB="0" distL="0" distR="0" wp14:anchorId="79049892" wp14:editId="7780AA2C">
            <wp:extent cx="5071884" cy="4218440"/>
            <wp:effectExtent l="0" t="0" r="0" b="0"/>
            <wp:docPr id="3" name="图片 3" descr="图表, 图示,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pic:nvPicPr>
                  <pic:blipFill>
                    <a:blip r:embed="rId54">
                      <a:extLst>
                        <a:ext uri="{28A0092B-C50C-407E-A947-70E740481C1C}">
                          <a14:useLocalDpi xmlns:a14="http://schemas.microsoft.com/office/drawing/2010/main" val="0"/>
                        </a:ext>
                      </a:extLst>
                    </a:blip>
                    <a:stretch>
                      <a:fillRect/>
                    </a:stretch>
                  </pic:blipFill>
                  <pic:spPr>
                    <a:xfrm>
                      <a:off x="0" y="0"/>
                      <a:ext cx="5071884" cy="4218440"/>
                    </a:xfrm>
                    <a:prstGeom prst="rect">
                      <a:avLst/>
                    </a:prstGeom>
                  </pic:spPr>
                </pic:pic>
              </a:graphicData>
            </a:graphic>
          </wp:inline>
        </w:drawing>
      </w:r>
    </w:p>
    <w:p w14:paraId="0EDB5395" w14:textId="3FD6072D" w:rsidR="00587F70" w:rsidRPr="000661CC" w:rsidRDefault="000661CC" w:rsidP="000661CC">
      <w:pPr>
        <w:pStyle w:val="a3"/>
        <w:ind w:firstLine="0"/>
      </w:pPr>
      <w:bookmarkStart w:id="45" w:name="_Toc75360560"/>
      <w:bookmarkStart w:id="46" w:name="_Toc75361828"/>
      <w:bookmarkStart w:id="47" w:name="_Toc75361883"/>
      <w:r>
        <w:t xml:space="preserve">Figure </w:t>
      </w:r>
      <w:r w:rsidR="00754579">
        <w:t>2</w:t>
      </w:r>
      <w:r w:rsidR="00764D25">
        <w:t>.</w:t>
      </w:r>
      <w:r>
        <w:fldChar w:fldCharType="begin"/>
      </w:r>
      <w:r>
        <w:instrText>SEQ Figure \* ARABIC \s 1</w:instrText>
      </w:r>
      <w:r>
        <w:fldChar w:fldCharType="separate"/>
      </w:r>
      <w:r w:rsidR="00492676">
        <w:rPr>
          <w:noProof/>
        </w:rPr>
        <w:t>3</w:t>
      </w:r>
      <w:r>
        <w:fldChar w:fldCharType="end"/>
      </w:r>
      <w:bookmarkStart w:id="48" w:name="_Toc75015421"/>
      <w:r>
        <w:t>.</w:t>
      </w:r>
      <w:r w:rsidR="00D16814">
        <w:t xml:space="preserve"> </w:t>
      </w:r>
      <w:r w:rsidR="00D16814" w:rsidRPr="00FF2E3E">
        <w:rPr>
          <w:b w:val="0"/>
          <w:bCs w:val="0"/>
        </w:rPr>
        <w:t>(</w:t>
      </w:r>
      <w:r w:rsidR="00D16814" w:rsidRPr="00FF2E3E">
        <w:t>a</w:t>
      </w:r>
      <w:r w:rsidR="00D16814" w:rsidRPr="00FF2E3E">
        <w:rPr>
          <w:b w:val="0"/>
          <w:bCs w:val="0"/>
        </w:rPr>
        <w:t>)</w:t>
      </w:r>
      <w:r w:rsidR="00D16814">
        <w:t xml:space="preserve"> </w:t>
      </w:r>
      <w:r w:rsidR="00D16814" w:rsidRPr="00D16814">
        <w:rPr>
          <w:b w:val="0"/>
          <w:bCs w:val="0"/>
        </w:rPr>
        <w:t>Time series of total annual number of earthquakes (N(</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oMath>
      <w:r w:rsidR="00D16814" w:rsidRPr="00D16814">
        <w:rPr>
          <w:b w:val="0"/>
          <w:bCs w:val="0"/>
        </w:rPr>
        <w:t xml:space="preserve">)) with </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r>
          <m:rPr>
            <m:sty m:val="bi"/>
          </m:rPr>
          <w:rPr>
            <w:rFonts w:ascii="Cambria Math" w:hAnsi="Cambria Math"/>
            <w:lang w:eastAsia="zh-CN"/>
          </w:rPr>
          <m:t>≥</m:t>
        </m:r>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C</m:t>
            </m:r>
          </m:sub>
        </m:sSub>
      </m:oMath>
      <w:r w:rsidR="00D16814" w:rsidRPr="00D16814">
        <w:rPr>
          <w:b w:val="0"/>
          <w:bCs w:val="0"/>
        </w:rPr>
        <w:t xml:space="preserve"> (red bars) and</w:t>
      </w:r>
      <w:r w:rsidR="00017E01">
        <w:rPr>
          <w:b w:val="0"/>
          <w:bCs w:val="0"/>
        </w:rPr>
        <w:t xml:space="preserve"> </w:t>
      </w:r>
      <w:r w:rsidR="00D16814" w:rsidRPr="00D16814">
        <w:rPr>
          <w:b w:val="0"/>
          <w:bCs w:val="0"/>
        </w:rPr>
        <w:t>oil/gas industry-related injected volumes of wastewater (IW) in million cubic</w:t>
      </w:r>
      <w:r w:rsidR="00017E01">
        <w:rPr>
          <w:b w:val="0"/>
          <w:bCs w:val="0"/>
        </w:rPr>
        <w:t xml:space="preserve"> </w:t>
      </w:r>
      <w:r w:rsidR="00D16814" w:rsidRPr="00D16814">
        <w:rPr>
          <w:b w:val="0"/>
          <w:bCs w:val="0"/>
        </w:rPr>
        <w:t>meters (white triangles)</w:t>
      </w:r>
      <w:r w:rsidR="00017E01">
        <w:rPr>
          <w:b w:val="0"/>
          <w:bCs w:val="0"/>
        </w:rPr>
        <w:t xml:space="preserve"> </w:t>
      </w:r>
      <w:r w:rsidR="00D16814" w:rsidRPr="00D16814">
        <w:rPr>
          <w:b w:val="0"/>
          <w:bCs w:val="0"/>
        </w:rPr>
        <w:t>in Oklahoma from 2000 to 2017.</w:t>
      </w:r>
      <w:r w:rsidR="00D16814">
        <w:t xml:space="preserve"> </w:t>
      </w:r>
      <w:r w:rsidR="00D16814" w:rsidRPr="00FF2E3E">
        <w:rPr>
          <w:b w:val="0"/>
          <w:bCs w:val="0"/>
        </w:rPr>
        <w:t>(</w:t>
      </w:r>
      <w:r w:rsidR="00D16814" w:rsidRPr="00FF2E3E">
        <w:t>b</w:t>
      </w:r>
      <w:r w:rsidR="00D16814" w:rsidRPr="00FF2E3E">
        <w:rPr>
          <w:b w:val="0"/>
          <w:bCs w:val="0"/>
        </w:rPr>
        <w:t>)</w:t>
      </w:r>
      <w:r w:rsidR="00D16814">
        <w:t xml:space="preserve"> </w:t>
      </w:r>
      <w:r w:rsidR="00D16814" w:rsidRPr="00D16814">
        <w:rPr>
          <w:b w:val="0"/>
          <w:bCs w:val="0"/>
        </w:rPr>
        <w:t>Time series of total annual number of earthquakes (N(</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oMath>
      <w:r w:rsidR="00D16814" w:rsidRPr="00D16814">
        <w:rPr>
          <w:b w:val="0"/>
          <w:bCs w:val="0"/>
        </w:rPr>
        <w:t>)) with</w:t>
      </w:r>
      <w:r w:rsidR="00017E01">
        <w:rPr>
          <w:b w:val="0"/>
          <w:bCs w:val="0"/>
        </w:rPr>
        <w:t xml:space="preserve"> </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r>
          <m:rPr>
            <m:sty m:val="bi"/>
          </m:rPr>
          <w:rPr>
            <w:rFonts w:ascii="Cambria Math" w:hAnsi="Cambria Math"/>
            <w:lang w:eastAsia="zh-CN"/>
          </w:rPr>
          <m:t>≥</m:t>
        </m:r>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C</m:t>
            </m:r>
          </m:sub>
        </m:sSub>
      </m:oMath>
      <w:r w:rsidR="00D16814" w:rsidRPr="00D16814">
        <w:rPr>
          <w:b w:val="0"/>
          <w:bCs w:val="0"/>
        </w:rPr>
        <w:t xml:space="preserve"> per magnitude range between 2000 and 2017 and oil/gas industry-related volumes of</w:t>
      </w:r>
      <w:r w:rsidR="00017E01">
        <w:rPr>
          <w:b w:val="0"/>
          <w:bCs w:val="0"/>
        </w:rPr>
        <w:t xml:space="preserve"> </w:t>
      </w:r>
      <w:r w:rsidR="00D16814" w:rsidRPr="00D16814">
        <w:rPr>
          <w:b w:val="0"/>
          <w:bCs w:val="0"/>
        </w:rPr>
        <w:t>wastewater injected (IW) between 2006 and 2017 i</w:t>
      </w:r>
      <w:r w:rsidR="00017E01">
        <w:rPr>
          <w:b w:val="0"/>
          <w:bCs w:val="0"/>
        </w:rPr>
        <w:t xml:space="preserve">n </w:t>
      </w:r>
      <w:r w:rsidR="00D16814" w:rsidRPr="00D16814">
        <w:rPr>
          <w:b w:val="0"/>
          <w:bCs w:val="0"/>
        </w:rPr>
        <w:t>Oklahoma. Note the log scale for N(</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oMath>
      <w:r w:rsidR="00D16814" w:rsidRPr="00D16814">
        <w:rPr>
          <w:b w:val="0"/>
          <w:bCs w:val="0"/>
        </w:rPr>
        <w:t>) in (</w:t>
      </w:r>
      <w:r w:rsidR="00D16814" w:rsidRPr="00E70B93">
        <w:t>b</w:t>
      </w:r>
      <w:r w:rsidR="00D16814" w:rsidRPr="00D16814">
        <w:rPr>
          <w:b w:val="0"/>
          <w:bCs w:val="0"/>
        </w:rPr>
        <w:t>).</w:t>
      </w:r>
      <w:bookmarkEnd w:id="45"/>
      <w:bookmarkEnd w:id="46"/>
      <w:bookmarkEnd w:id="47"/>
      <w:bookmarkEnd w:id="48"/>
    </w:p>
    <w:p w14:paraId="7509BA28" w14:textId="113785A6" w:rsidR="007606A3" w:rsidRDefault="007606A3" w:rsidP="007606A3"/>
    <w:p w14:paraId="1A0EE130" w14:textId="1901876E" w:rsidR="007606A3" w:rsidRDefault="00415EAB" w:rsidP="00415EAB">
      <w:r w:rsidRPr="00415EAB">
        <w:t>Crude oil and natural gas have been extracted from Oklahoma’s underground for more than</w:t>
      </w:r>
      <w:r>
        <w:t xml:space="preserve"> </w:t>
      </w:r>
      <w:r w:rsidRPr="00415EAB">
        <w:t xml:space="preserve">100 years </w:t>
      </w:r>
      <w:r w:rsidR="006F2D23">
        <w:fldChar w:fldCharType="begin"/>
      </w:r>
      <w:r w:rsidR="006F2D23">
        <w:instrText xml:space="preserve"> ADDIN ZOTERO_ITEM CSL_CITATION {"citationID":"rU12KaD6","properties":{"formattedCitation":"(Murray &amp; Holland, 2014)","plainCitation":"(Murray &amp; Holland, 2014)","noteIndex":0},"citationItems":[{"id":255,"uris":["http://zotero.org/users/7782726/items/ZIDH5GUR"],"uri":["http://zotero.org/users/7782726/items/ZIDH5GUR"],"itemData":{"id":255,"type":"article-journal","note":"publisher: Oklahoma City Geological Society","title":"Inventory of class II underground injection control volumes in the midcontinent","author":[{"family":"Murray","given":"Kyle E."},{"family":"Holland","given":"Austin A."}],"issued":{"date-parts":[["2014"]]}}}],"schema":"https://github.com/citation-style-language/schema/raw/master/csl-citation.json"} </w:instrText>
      </w:r>
      <w:r w:rsidR="006F2D23">
        <w:fldChar w:fldCharType="separate"/>
      </w:r>
      <w:r w:rsidR="006F2D23" w:rsidRPr="006F2D23">
        <w:t>(Murray &amp; Holland, 2014)</w:t>
      </w:r>
      <w:r w:rsidR="006F2D23">
        <w:fldChar w:fldCharType="end"/>
      </w:r>
      <w:r w:rsidRPr="00415EAB">
        <w:t>. Between 2010 and 2012 Oklahoma was ranked as the 5th highest producing U.S.</w:t>
      </w:r>
      <w:r>
        <w:t xml:space="preserve"> </w:t>
      </w:r>
      <w:r w:rsidRPr="00415EAB">
        <w:t xml:space="preserve">state </w:t>
      </w:r>
      <w:r w:rsidR="001A6B76">
        <w:fldChar w:fldCharType="begin"/>
      </w:r>
      <w:r w:rsidR="001A6B76">
        <w:instrText xml:space="preserve"> ADDIN ZOTERO_ITEM CSL_CITATION {"citationID":"Tx2jNrKq","properties":{"formattedCitation":"(Murray &amp; Holland, 2014)","plainCitation":"(Murray &amp; Holland, 2014)","noteIndex":0},"citationItems":[{"id":255,"uris":["http://zotero.org/users/7782726/items/ZIDH5GUR"],"uri":["http://zotero.org/users/7782726/items/ZIDH5GUR"],"itemData":{"id":255,"type":"article-journal","note":"publisher: Oklahoma City Geological Society","title":"Inventory of class II underground injection control volumes in the midcontinent","author":[{"family":"Murray","given":"Kyle E."},{"family":"Holland","given":"Austin A."}],"issued":{"date-parts":[["2014"]]}}}],"schema":"https://github.com/citation-style-language/schema/raw/master/csl-citation.json"} </w:instrText>
      </w:r>
      <w:r w:rsidR="001A6B76">
        <w:fldChar w:fldCharType="separate"/>
      </w:r>
      <w:r w:rsidR="001A6B76" w:rsidRPr="001A6B76">
        <w:t>(Murray &amp; Holland, 2014)</w:t>
      </w:r>
      <w:r w:rsidR="001A6B76">
        <w:fldChar w:fldCharType="end"/>
      </w:r>
      <w:r w:rsidRPr="00415EAB">
        <w:t xml:space="preserve">. The high oil and gas production rates </w:t>
      </w:r>
      <w:r w:rsidR="00670801">
        <w:t xml:space="preserve">have </w:t>
      </w:r>
      <w:r w:rsidRPr="00415EAB">
        <w:t>caused a rapid increase in construction of underground</w:t>
      </w:r>
      <w:r>
        <w:t xml:space="preserve"> </w:t>
      </w:r>
      <w:r w:rsidRPr="00415EAB">
        <w:t>injection Class II (UIC) wells, widely used to enhance the recovery of oil (EOR</w:t>
      </w:r>
      <w:r w:rsidR="00670801">
        <w:t>;</w:t>
      </w:r>
      <w:r w:rsidRPr="00415EAB">
        <w:t xml:space="preserve"> Enhanced Oil Recovery</w:t>
      </w:r>
      <w:r>
        <w:t xml:space="preserve"> </w:t>
      </w:r>
      <w:r w:rsidRPr="00415EAB">
        <w:t xml:space="preserve">wells) and disposing of industrial wastewater (SWD) since the 1930s </w:t>
      </w:r>
      <w:r w:rsidR="004E475A">
        <w:fldChar w:fldCharType="begin"/>
      </w:r>
      <w:r w:rsidR="004E475A">
        <w:instrText xml:space="preserve"> ADDIN ZOTERO_ITEM CSL_CITATION {"citationID":"MA0R7gRa","properties":{"formattedCitation":"(Council, 2013)","plainCitation":"(Council, 2013)","noteIndex":0},"citationItems":[{"id":256,"uris":["http://zotero.org/users/7782726/items/7LKWRVZG"],"uri":["http://zotero.org/users/7782726/items/7LKWRVZG"],"itemData":{"id":256,"type":"book","ISBN":"0-309-25367-5","publisher":"National Academies Press","title":"Induced seismicity potential in energy technologies","author":[{"family":"Council","given":"National Research"}],"issued":{"date-parts":[["2013"]]}}}],"schema":"https://github.com/citation-style-language/schema/raw/master/csl-citation.json"} </w:instrText>
      </w:r>
      <w:r w:rsidR="004E475A">
        <w:fldChar w:fldCharType="separate"/>
      </w:r>
      <w:r w:rsidR="004E475A" w:rsidRPr="004E475A">
        <w:t>(Council, 2013)</w:t>
      </w:r>
      <w:r w:rsidR="004E475A">
        <w:fldChar w:fldCharType="end"/>
      </w:r>
      <w:r w:rsidRPr="00415EAB">
        <w:t xml:space="preserve">. Figure </w:t>
      </w:r>
      <w:r w:rsidR="004364AB">
        <w:t>2.</w:t>
      </w:r>
      <w:r w:rsidRPr="00415EAB">
        <w:t>3</w:t>
      </w:r>
      <w:r w:rsidR="00670801">
        <w:t xml:space="preserve"> </w:t>
      </w:r>
      <w:r w:rsidRPr="00415EAB">
        <w:t>show</w:t>
      </w:r>
      <w:r w:rsidR="00670801">
        <w:t>s</w:t>
      </w:r>
      <w:r w:rsidRPr="00415EAB">
        <w:t xml:space="preserve"> IW</w:t>
      </w:r>
      <w:r>
        <w:t xml:space="preserve"> </w:t>
      </w:r>
      <w:r w:rsidRPr="00415EAB">
        <w:t>(in</w:t>
      </w:r>
      <w:r w:rsidR="00CE38CB">
        <w:t xml:space="preserve">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year</m:t>
            </m:r>
          </m:den>
        </m:f>
      </m:oMath>
      <w:r w:rsidRPr="00415EAB">
        <w:t>) from OCC UIC Class II wells reports that begin in 2006 to near present. From 2006</w:t>
      </w:r>
      <w:r>
        <w:t xml:space="preserve"> </w:t>
      </w:r>
      <w:r w:rsidRPr="00415EAB">
        <w:t xml:space="preserve">to 2012 the volume </w:t>
      </w:r>
      <w:r w:rsidRPr="00415EAB">
        <w:lastRenderedPageBreak/>
        <w:t xml:space="preserve">of injected water ranged around </w:t>
      </w:r>
      <m:oMath>
        <m:r>
          <w:rPr>
            <w:rFonts w:ascii="Cambria Math" w:hAnsi="Cambria Math"/>
          </w:rPr>
          <m:t>150×</m:t>
        </m:r>
        <m:f>
          <m:fPr>
            <m:type m:val="lin"/>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year</m:t>
            </m:r>
          </m:den>
        </m:f>
      </m:oMath>
      <w:r w:rsidRPr="00415EAB">
        <w:t>. However, starting in 2012 a</w:t>
      </w:r>
      <w:r>
        <w:t xml:space="preserve"> </w:t>
      </w:r>
      <w:r w:rsidRPr="00415EAB">
        <w:t>rapid increase in IW volumes is observed that peak in 2014 and 2015, followed by a sharp decline in</w:t>
      </w:r>
      <w:r>
        <w:t xml:space="preserve"> </w:t>
      </w:r>
      <w:r w:rsidRPr="00415EAB">
        <w:t xml:space="preserve">2016 and 2017 when the IW gets back to a number around the 2006–2012 average of </w:t>
      </w:r>
      <m:oMath>
        <m:r>
          <w:rPr>
            <w:rFonts w:ascii="Cambria Math" w:hAnsi="Cambria Math"/>
          </w:rPr>
          <m:t>150×</m:t>
        </m:r>
        <m:f>
          <m:fPr>
            <m:type m:val="lin"/>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year</m:t>
            </m:r>
          </m:den>
        </m:f>
      </m:oMath>
      <w:r w:rsidRPr="00415EAB">
        <w:t>.</w:t>
      </w:r>
      <w:r>
        <w:t xml:space="preserve"> </w:t>
      </w:r>
      <w:r w:rsidRPr="00415EAB">
        <w:t xml:space="preserve">A paired time series analysis of the coupled IW and </w:t>
      </w:r>
      <w:r w:rsidR="00B1449F" w:rsidRPr="00415EAB">
        <w:t>N(</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oMath>
      <w:r w:rsidRPr="00415EAB">
        <w:t>) reveals that both variables have shown a</w:t>
      </w:r>
      <w:r>
        <w:t xml:space="preserve"> </w:t>
      </w:r>
      <w:r w:rsidRPr="00415EAB">
        <w:t>similar trend since the start of the unconventional use of injected water to retrieve oil and gas.</w:t>
      </w:r>
    </w:p>
    <w:p w14:paraId="2904B2F0" w14:textId="4810AF85" w:rsidR="00730884" w:rsidRDefault="0081550D" w:rsidP="00415EAB">
      <w:r w:rsidRPr="0081550D">
        <w:t xml:space="preserve">Regionally, the spatial distributions of earthquakes </w:t>
      </w:r>
      <w:r w:rsidR="00670801">
        <w:t xml:space="preserve">that </w:t>
      </w:r>
      <w:r w:rsidRPr="0081550D">
        <w:t xml:space="preserve">occurred in Oklahoma between 2006 and 2017 with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81550D">
        <w:t xml:space="preserve"> and the corresponding location of wastewater disposal wells operated during the most active year (i.e., 2014) are illustrated in Figure </w:t>
      </w:r>
      <w:r w:rsidR="004364AB">
        <w:t>2.</w:t>
      </w:r>
      <w:r w:rsidRPr="0081550D">
        <w:t>4</w:t>
      </w:r>
      <w:r w:rsidR="00670801">
        <w:t xml:space="preserve">. </w:t>
      </w:r>
      <w:r w:rsidRPr="0081550D">
        <w:t xml:space="preserve">In both figure panels, the different symbol sizes represent different categories of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oMath>
      <w:r w:rsidRPr="0081550D">
        <w:t xml:space="preserve"> and IW. The spatial distribution of the two variables resemble</w:t>
      </w:r>
      <w:r w:rsidR="0064546C">
        <w:t>s</w:t>
      </w:r>
      <w:r w:rsidRPr="0081550D">
        <w:t xml:space="preserve"> a spatially correlated structure whose dependency functions need to be determined for different time lags. Further, during this period (2006–2017) most earthquakes occurred in central and northern Oklahoma while the largest magnitude ones occurred in the central region of the state. </w:t>
      </w:r>
      <w:r w:rsidR="0064546C">
        <w:t xml:space="preserve">Historically, </w:t>
      </w:r>
      <w:r w:rsidRPr="0081550D">
        <w:t xml:space="preserve">the largest IW volumes occurred mainly in central and northern Oklahoma. In counties like Osage, seismicity appears to be low possibly due to the dense rock bodies that reduce seismogenic potential for basement faults </w:t>
      </w:r>
      <w:r w:rsidR="00702B91">
        <w:fldChar w:fldCharType="begin"/>
      </w:r>
      <w:r w:rsidR="00702B91">
        <w:instrText xml:space="preserve"> ADDIN ZOTERO_ITEM CSL_CITATION {"citationID":"UqOBDxTA","properties":{"formattedCitation":"(Crain et al., 2017; Shah &amp; Keller, 2017)","plainCitation":"(Crain et al., 2017; Shah &amp; Keller, 2017)","noteIndex":0},"citationItems":[{"id":257,"uris":["http://zotero.org/users/7782726/items/EW2SJD9J"],"uri":["http://zotero.org/users/7782726/items/EW2SJD9J"],"itemData":{"id":257,"type":"paper-conference","container-title":"AGU Fall Meeting Abstracts","page":"S23C-0816","title":"Geophysical anomalies of Osage County and its relationship to Oklahoma seismicity","volume":"2017","author":[{"family":"Crain","given":"Kevin"},{"family":"Chang","given":"Jefferson C."},{"family":"Walter","given":"Jacob I."}],"issued":{"date-parts":[["2017"]]}}},{"id":258,"uris":["http://zotero.org/users/7782726/items/JNFLPVTZ"],"uri":["http://zotero.org/users/7782726/items/JNFLPVTZ"],"itemData":{"id":258,"type":"article-journal","container-title":"Geophysical Research Letters","issue":"1","note":"ISBN: 0094-8276\npublisher: Wiley Online Library","page":"152-161","title":"Geologic influence on induced seismicity: Constraints from potential field data in Oklahoma","volume":"44","author":[{"family":"Shah","given":"Anjana K."},{"family":"Keller","given":"G. Randy"}],"issued":{"date-parts":[["2017"]]}}}],"schema":"https://github.com/citation-style-language/schema/raw/master/csl-citation.json"} </w:instrText>
      </w:r>
      <w:r w:rsidR="00702B91">
        <w:fldChar w:fldCharType="separate"/>
      </w:r>
      <w:r w:rsidR="00702B91" w:rsidRPr="00702B91">
        <w:t>(Crain et al., 2017; Shah &amp; Keller, 2017)</w:t>
      </w:r>
      <w:r w:rsidR="00702B91">
        <w:fldChar w:fldCharType="end"/>
      </w:r>
      <w:r w:rsidRPr="0081550D">
        <w:t>.</w:t>
      </w:r>
    </w:p>
    <w:p w14:paraId="17AE596A" w14:textId="77777777" w:rsidR="006A4D25" w:rsidRDefault="00564EAD" w:rsidP="00EF6CF1">
      <w:pPr>
        <w:keepNext/>
        <w:ind w:left="-432"/>
        <w:jc w:val="center"/>
      </w:pPr>
      <w:r>
        <w:rPr>
          <w:noProof/>
        </w:rPr>
        <w:lastRenderedPageBreak/>
        <w:drawing>
          <wp:inline distT="0" distB="0" distL="0" distR="0" wp14:anchorId="3FC47795" wp14:editId="2872CC3B">
            <wp:extent cx="5362856" cy="4404360"/>
            <wp:effectExtent l="0" t="0" r="9525" b="0"/>
            <wp:docPr id="4" name="图片 4"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pic:nvPicPr>
                  <pic:blipFill>
                    <a:blip r:embed="rId55">
                      <a:extLst>
                        <a:ext uri="{28A0092B-C50C-407E-A947-70E740481C1C}">
                          <a14:useLocalDpi xmlns:a14="http://schemas.microsoft.com/office/drawing/2010/main" val="0"/>
                        </a:ext>
                      </a:extLst>
                    </a:blip>
                    <a:stretch>
                      <a:fillRect/>
                    </a:stretch>
                  </pic:blipFill>
                  <pic:spPr>
                    <a:xfrm>
                      <a:off x="0" y="0"/>
                      <a:ext cx="5362856" cy="4404360"/>
                    </a:xfrm>
                    <a:prstGeom prst="rect">
                      <a:avLst/>
                    </a:prstGeom>
                  </pic:spPr>
                </pic:pic>
              </a:graphicData>
            </a:graphic>
          </wp:inline>
        </w:drawing>
      </w:r>
    </w:p>
    <w:p w14:paraId="43A1D8E6" w14:textId="74797A1D" w:rsidR="00AA1D25" w:rsidRPr="006A4D25" w:rsidRDefault="006A4D25" w:rsidP="006A4D25">
      <w:pPr>
        <w:pStyle w:val="a3"/>
        <w:ind w:firstLine="0"/>
      </w:pPr>
      <w:bookmarkStart w:id="49" w:name="_Toc75360561"/>
      <w:bookmarkStart w:id="50" w:name="_Toc75361829"/>
      <w:bookmarkStart w:id="51" w:name="_Toc75361884"/>
      <w:r>
        <w:t xml:space="preserve">Figure </w:t>
      </w:r>
      <w:r w:rsidR="00754579">
        <w:t>2</w:t>
      </w:r>
      <w:r w:rsidR="00764D25">
        <w:t>.</w:t>
      </w:r>
      <w:r>
        <w:fldChar w:fldCharType="begin"/>
      </w:r>
      <w:r>
        <w:instrText>SEQ Figure \* ARABIC \s 1</w:instrText>
      </w:r>
      <w:r>
        <w:fldChar w:fldCharType="separate"/>
      </w:r>
      <w:r w:rsidR="00492676">
        <w:rPr>
          <w:noProof/>
        </w:rPr>
        <w:t>4</w:t>
      </w:r>
      <w:r>
        <w:fldChar w:fldCharType="end"/>
      </w:r>
      <w:bookmarkStart w:id="52" w:name="_Toc75015422"/>
      <w:r>
        <w:t xml:space="preserve">. </w:t>
      </w:r>
      <w:r w:rsidR="00564EAD" w:rsidRPr="00564EAD">
        <w:rPr>
          <w:b w:val="0"/>
          <w:bCs w:val="0"/>
        </w:rPr>
        <w:t>(</w:t>
      </w:r>
      <w:r w:rsidR="00564EAD" w:rsidRPr="00DF6936">
        <w:t>a</w:t>
      </w:r>
      <w:r w:rsidR="00564EAD" w:rsidRPr="00564EAD">
        <w:rPr>
          <w:b w:val="0"/>
          <w:bCs w:val="0"/>
        </w:rPr>
        <w:t xml:space="preserve">) Spatial distribution of earthquakes with </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r>
          <m:rPr>
            <m:sty m:val="bi"/>
          </m:rPr>
          <w:rPr>
            <w:rFonts w:ascii="Cambria Math" w:hAnsi="Cambria Math"/>
            <w:lang w:eastAsia="zh-CN"/>
          </w:rPr>
          <m:t>≥</m:t>
        </m:r>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C</m:t>
            </m:r>
          </m:sub>
        </m:sSub>
      </m:oMath>
      <w:r w:rsidR="00564EAD" w:rsidRPr="00564EAD">
        <w:rPr>
          <w:b w:val="0"/>
          <w:bCs w:val="0"/>
        </w:rPr>
        <w:t xml:space="preserve"> occurred in Oklahoma from 2006 to 2017; (</w:t>
      </w:r>
      <w:r w:rsidR="00564EAD" w:rsidRPr="00DF6936">
        <w:t>b</w:t>
      </w:r>
      <w:r w:rsidR="00564EAD" w:rsidRPr="00564EAD">
        <w:rPr>
          <w:b w:val="0"/>
          <w:bCs w:val="0"/>
        </w:rPr>
        <w:t>) Spatial distribution of wastewater disposal wells with corresponding IW volume (</w:t>
      </w:r>
      <m:oMath>
        <m:f>
          <m:fPr>
            <m:type m:val="lin"/>
            <m:ctrlPr>
              <w:rPr>
                <w:rFonts w:ascii="Cambria Math" w:hAnsi="Cambria Math"/>
                <w:b w:val="0"/>
                <w:bCs w:val="0"/>
                <w:i/>
              </w:rPr>
            </m:ctrlPr>
          </m:fPr>
          <m:num>
            <m:sSup>
              <m:sSupPr>
                <m:ctrlPr>
                  <w:rPr>
                    <w:rFonts w:ascii="Cambria Math" w:hAnsi="Cambria Math"/>
                    <w:b w:val="0"/>
                    <w:bCs w:val="0"/>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year</m:t>
            </m:r>
          </m:den>
        </m:f>
      </m:oMath>
      <w:r w:rsidR="00564EAD" w:rsidRPr="00564EAD">
        <w:rPr>
          <w:b w:val="0"/>
          <w:bCs w:val="0"/>
        </w:rPr>
        <w:t>) operated in 2014.</w:t>
      </w:r>
      <w:bookmarkEnd w:id="49"/>
      <w:bookmarkEnd w:id="50"/>
      <w:bookmarkEnd w:id="51"/>
      <w:bookmarkEnd w:id="52"/>
    </w:p>
    <w:p w14:paraId="6AF34014" w14:textId="77777777" w:rsidR="007E3E23" w:rsidRPr="007E3E23" w:rsidRDefault="007E3E23" w:rsidP="007E3E23"/>
    <w:p w14:paraId="3DD790A4" w14:textId="10EE2B17" w:rsidR="00AA1D25" w:rsidRDefault="007E3E23" w:rsidP="007E3E23">
      <w:pPr>
        <w:pStyle w:val="2"/>
      </w:pPr>
      <w:bookmarkStart w:id="53" w:name="_Toc75939832"/>
      <w:r>
        <w:t xml:space="preserve">2.5 </w:t>
      </w:r>
      <w:r w:rsidRPr="007E3E23">
        <w:t>Regional Migration Pattern of Epicenters and Wastewater Injection Activity</w:t>
      </w:r>
      <w:bookmarkEnd w:id="53"/>
    </w:p>
    <w:p w14:paraId="1BF7D385" w14:textId="2AAFA283" w:rsidR="007E3E23" w:rsidRDefault="00F90C5B" w:rsidP="007E3E23">
      <w:r w:rsidRPr="00F90C5B">
        <w:t xml:space="preserve">Since the spatial distribution of earthquakes appears to be highly conditioned by the zonal intensity of underground water injection, as shown in Figure </w:t>
      </w:r>
      <w:r w:rsidR="00431280">
        <w:t>2.</w:t>
      </w:r>
      <w:r w:rsidRPr="00F90C5B">
        <w:t xml:space="preserve">4, a cluster analysis can provide a clearer picture of the spatial co-variance between the two processes in play. Figure </w:t>
      </w:r>
      <w:r w:rsidR="00431280">
        <w:t>2.</w:t>
      </w:r>
      <w:r w:rsidRPr="00F90C5B">
        <w:t>5a shows the spatial distribution of weighted mean centers and standard deviational ellipses of all recorded Oklahoma earthquake epicenters occurred during each year from 2006 through 2017. A weighted mean center (</w:t>
      </w:r>
      <m:oMath>
        <m:sSub>
          <m:sSubPr>
            <m:ctrlPr>
              <w:rPr>
                <w:rFonts w:ascii="Cambria Math" w:hAnsi="Cambria Math"/>
                <w:i/>
              </w:rPr>
            </m:ctrlPr>
          </m:sSubPr>
          <m:e>
            <m:r>
              <w:rPr>
                <w:rFonts w:ascii="Cambria Math" w:hAnsi="Cambria Math"/>
              </w:rPr>
              <m:t>X</m:t>
            </m:r>
          </m:e>
          <m:sub>
            <m:r>
              <w:rPr>
                <w:rFonts w:ascii="Cambria Math" w:hAnsi="Cambria Math"/>
              </w:rPr>
              <m:t>T</m:t>
            </m:r>
          </m:sub>
        </m:sSub>
      </m:oMath>
      <w:r w:rsidRPr="00F90C5B">
        <w:t xml:space="preserve">, </w:t>
      </w:r>
      <m:oMath>
        <m:sSub>
          <m:sSubPr>
            <m:ctrlPr>
              <w:rPr>
                <w:rFonts w:ascii="Cambria Math" w:hAnsi="Cambria Math"/>
                <w:i/>
              </w:rPr>
            </m:ctrlPr>
          </m:sSubPr>
          <m:e>
            <m:r>
              <w:rPr>
                <w:rFonts w:ascii="Cambria Math" w:hAnsi="Cambria Math"/>
              </w:rPr>
              <m:t>Y</m:t>
            </m:r>
          </m:e>
          <m:sub>
            <m:r>
              <w:rPr>
                <w:rFonts w:ascii="Cambria Math" w:hAnsi="Cambria Math"/>
              </w:rPr>
              <m:t>T</m:t>
            </m:r>
          </m:sub>
        </m:sSub>
      </m:oMath>
      <w:r w:rsidRPr="00F90C5B">
        <w:t>) in any year (T) is the representative geographic location of all epicenters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F90C5B">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F90C5B">
        <w:t xml:space="preserve">) adjusted for the local magnitude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oMath>
      <w:r w:rsidRPr="00F90C5B">
        <w:t xml:space="preserve"> associated with each earthquake (</w:t>
      </w:r>
      <w:r w:rsidR="002166F5">
        <w:t>i</w:t>
      </w:r>
      <w:r w:rsidRPr="00F90C5B">
        <w:t>) acting as weighting factors (</w:t>
      </w:r>
      <m:oMath>
        <m:sSub>
          <m:sSubPr>
            <m:ctrlPr>
              <w:rPr>
                <w:rFonts w:ascii="Cambria Math" w:hAnsi="Cambria Math"/>
                <w:i/>
                <w:lang w:eastAsia="zh-CN"/>
              </w:rPr>
            </m:ctrlPr>
          </m:sSubPr>
          <m:e>
            <m:r>
              <w:rPr>
                <w:rFonts w:ascii="Cambria Math" w:hAnsi="Cambria Math"/>
                <w:lang w:eastAsia="zh-CN"/>
              </w:rPr>
              <m:t>w</m:t>
            </m:r>
          </m:e>
          <m:sub>
            <m:r>
              <w:rPr>
                <w:rFonts w:ascii="Cambria Math" w:hAnsi="Cambria Math"/>
                <w:lang w:eastAsia="zh-CN"/>
              </w:rPr>
              <m:t>i</m:t>
            </m:r>
          </m:sub>
        </m:sSub>
      </m:oMath>
      <w:r w:rsidRPr="00F90C5B">
        <w:t>) as shown in Equation (</w:t>
      </w:r>
      <w:r w:rsidR="00B25E8E">
        <w:t>2.</w:t>
      </w:r>
      <w:r w:rsidRPr="00F90C5B">
        <w:t xml:space="preserve">1) </w:t>
      </w:r>
      <w:r w:rsidR="003E1774">
        <w:fldChar w:fldCharType="begin"/>
      </w:r>
      <w:r w:rsidR="003E1774">
        <w:instrText xml:space="preserve"> ADDIN ZOTERO_ITEM CSL_CITATION {"citationID":"HpOPQ8pI","properties":{"formattedCitation":"(Burt et al., 2009)","plainCitation":"(Burt et al., 2009)","noteIndex":0},"citationItems":[{"id":259,"uris":["http://zotero.org/users/7782726/items/MGSKYMY9"],"uri":["http://zotero.org/users/7782726/items/MGSKYMY9"],"itemData":{"id":259,"type":"book","ISBN":"1-57230-484-7","publisher":"Guilford Press","title":"Elementary statistics for geographers","author":[{"family":"Burt","given":"James E."},{"family":"Barber","given":"Gerald M."},{"family":"Rigby","given":"David L."}],"issued":{"date-parts":[["2009"]]}}}],"schema":"https://github.com/citation-style-language/schema/raw/master/csl-citation.json"} </w:instrText>
      </w:r>
      <w:r w:rsidR="003E1774">
        <w:fldChar w:fldCharType="separate"/>
      </w:r>
      <w:r w:rsidR="003E1774" w:rsidRPr="003E1774">
        <w:t>(Burt et al., 2009)</w:t>
      </w:r>
      <w:r w:rsidR="003E1774">
        <w:fldChar w:fldCharType="end"/>
      </w:r>
      <w:r w:rsidRPr="00F90C5B">
        <w:t>.</w:t>
      </w:r>
    </w:p>
    <w:p w14:paraId="36677ED3" w14:textId="5132FD0D" w:rsidR="00D245C9" w:rsidRPr="007E3E23" w:rsidRDefault="00143C6C" w:rsidP="005747CD">
      <w:pPr>
        <w:jc w:val="center"/>
      </w:pPr>
      <m:oMath>
        <m:bar>
          <m:barPr>
            <m:pos m:val="top"/>
            <m:ctrlPr>
              <w:rPr>
                <w:rFonts w:ascii="Cambria Math" w:hAnsi="Cambria Math"/>
                <w:i/>
              </w:rPr>
            </m:ctrlPr>
          </m:barPr>
          <m:e>
            <m:sSub>
              <m:sSubPr>
                <m:ctrlPr>
                  <w:rPr>
                    <w:rFonts w:ascii="Cambria Math" w:hAnsi="Cambria Math"/>
                    <w:i/>
                  </w:rPr>
                </m:ctrlPr>
              </m:sSubPr>
              <m:e>
                <m:r>
                  <w:rPr>
                    <w:rFonts w:ascii="Cambria Math" w:hAnsi="Cambria Math"/>
                  </w:rPr>
                  <m:t>X</m:t>
                </m:r>
              </m:e>
              <m:sub>
                <m:r>
                  <w:rPr>
                    <w:rFonts w:ascii="Cambria Math" w:hAnsi="Cambria Math"/>
                  </w:rPr>
                  <m:t>T</m:t>
                </m:r>
              </m:sub>
            </m:sSub>
          </m:e>
        </m:bar>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num>
          <m:den>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i</m:t>
                    </m:r>
                  </m:sub>
                </m:sSub>
              </m:e>
            </m:nary>
          </m:den>
        </m:f>
        <m:r>
          <w:rPr>
            <w:rFonts w:ascii="Cambria Math" w:hAnsi="Cambria Math"/>
          </w:rPr>
          <m:t xml:space="preserve">                 </m:t>
        </m:r>
        <m:bar>
          <m:barPr>
            <m:pos m:val="top"/>
            <m:ctrlPr>
              <w:rPr>
                <w:rFonts w:ascii="Cambria Math" w:hAnsi="Cambria Math"/>
                <w:i/>
              </w:rPr>
            </m:ctrlPr>
          </m:barPr>
          <m:e>
            <m:sSub>
              <m:sSubPr>
                <m:ctrlPr>
                  <w:rPr>
                    <w:rFonts w:ascii="Cambria Math" w:hAnsi="Cambria Math"/>
                    <w:i/>
                  </w:rPr>
                </m:ctrlPr>
              </m:sSubPr>
              <m:e>
                <m:r>
                  <w:rPr>
                    <w:rFonts w:ascii="Cambria Math" w:hAnsi="Cambria Math"/>
                  </w:rPr>
                  <m:t>Y</m:t>
                </m:r>
              </m:e>
              <m:sub>
                <m:r>
                  <w:rPr>
                    <w:rFonts w:ascii="Cambria Math" w:hAnsi="Cambria Math"/>
                  </w:rPr>
                  <m:t>T</m:t>
                </m:r>
              </m:sub>
            </m:sSub>
          </m:e>
        </m:bar>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num>
          <m:den>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i</m:t>
                    </m:r>
                  </m:sub>
                </m:sSub>
              </m:e>
            </m:nary>
          </m:den>
        </m:f>
        <m:r>
          <w:rPr>
            <w:rFonts w:ascii="Cambria Math" w:hAnsi="Cambria Math"/>
          </w:rPr>
          <m:t xml:space="preserve">                       (2.1)</m:t>
        </m:r>
      </m:oMath>
      <w:r w:rsidR="00825066">
        <w:t xml:space="preserve">            </w:t>
      </w:r>
    </w:p>
    <w:p w14:paraId="52C595BE" w14:textId="77777777" w:rsidR="00F259A9" w:rsidRDefault="00231F3E" w:rsidP="00F259A9">
      <w:pPr>
        <w:keepNext/>
        <w:ind w:firstLine="0"/>
        <w:jc w:val="center"/>
      </w:pPr>
      <w:r>
        <w:rPr>
          <w:noProof/>
        </w:rPr>
        <w:drawing>
          <wp:inline distT="0" distB="0" distL="0" distR="0" wp14:anchorId="3303539F" wp14:editId="7CEB734E">
            <wp:extent cx="5943600" cy="5050789"/>
            <wp:effectExtent l="0" t="0" r="0" b="0"/>
            <wp:docPr id="5"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pic:nvPicPr>
                  <pic:blipFill>
                    <a:blip r:embed="rId56">
                      <a:extLst>
                        <a:ext uri="{28A0092B-C50C-407E-A947-70E740481C1C}">
                          <a14:useLocalDpi xmlns:a14="http://schemas.microsoft.com/office/drawing/2010/main" val="0"/>
                        </a:ext>
                      </a:extLst>
                    </a:blip>
                    <a:stretch>
                      <a:fillRect/>
                    </a:stretch>
                  </pic:blipFill>
                  <pic:spPr>
                    <a:xfrm>
                      <a:off x="0" y="0"/>
                      <a:ext cx="5943600" cy="5050789"/>
                    </a:xfrm>
                    <a:prstGeom prst="rect">
                      <a:avLst/>
                    </a:prstGeom>
                  </pic:spPr>
                </pic:pic>
              </a:graphicData>
            </a:graphic>
          </wp:inline>
        </w:drawing>
      </w:r>
    </w:p>
    <w:p w14:paraId="7F43B081" w14:textId="160D54D7" w:rsidR="0041229A" w:rsidRPr="00F259A9" w:rsidRDefault="00F259A9" w:rsidP="00F259A9">
      <w:pPr>
        <w:pStyle w:val="a3"/>
        <w:ind w:firstLine="0"/>
      </w:pPr>
      <w:bookmarkStart w:id="54" w:name="_Toc75360562"/>
      <w:bookmarkStart w:id="55" w:name="_Toc75361830"/>
      <w:bookmarkStart w:id="56" w:name="_Toc75361885"/>
      <w:r>
        <w:t xml:space="preserve">Figure </w:t>
      </w:r>
      <w:r w:rsidR="008D68BA">
        <w:t>2</w:t>
      </w:r>
      <w:r w:rsidR="00764D25">
        <w:t>.</w:t>
      </w:r>
      <w:r>
        <w:fldChar w:fldCharType="begin"/>
      </w:r>
      <w:r>
        <w:instrText>SEQ Figure \* ARABIC \s 1</w:instrText>
      </w:r>
      <w:r>
        <w:fldChar w:fldCharType="separate"/>
      </w:r>
      <w:r w:rsidR="00492676">
        <w:rPr>
          <w:noProof/>
        </w:rPr>
        <w:t>5</w:t>
      </w:r>
      <w:r>
        <w:fldChar w:fldCharType="end"/>
      </w:r>
      <w:bookmarkStart w:id="57" w:name="_Toc75015423"/>
      <w:r>
        <w:t xml:space="preserve">. </w:t>
      </w:r>
      <w:r w:rsidR="00D55869" w:rsidRPr="00D55869">
        <w:rPr>
          <w:b w:val="0"/>
          <w:bCs w:val="0"/>
        </w:rPr>
        <w:t>(</w:t>
      </w:r>
      <w:r w:rsidR="00D55869" w:rsidRPr="00D55869">
        <w:t>a</w:t>
      </w:r>
      <w:r w:rsidR="00D55869" w:rsidRPr="00D55869">
        <w:rPr>
          <w:b w:val="0"/>
          <w:bCs w:val="0"/>
        </w:rPr>
        <w:t>) Earthquake-clustering occurrence by year. Epicenter weighted mean centers (triangles) and standard deviation ellipses of all recorded earthquakes occurred in Oklahoma between 2006 and 2017; (</w:t>
      </w:r>
      <w:r w:rsidR="00D55869" w:rsidRPr="00D55869">
        <w:t>b</w:t>
      </w:r>
      <w:r w:rsidR="00D55869" w:rsidRPr="00D55869">
        <w:rPr>
          <w:b w:val="0"/>
          <w:bCs w:val="0"/>
        </w:rPr>
        <w:t>) Wastewater injection volume weighted mean centers (triangles) and standard deviation ellipses in Oklahoma between 2006 and 2017. The colors in both panels match for the same years, except by 2013 whose dashed lines are intended to improve result visualization. Coordinates of mean weighted centers are computed using Equation (</w:t>
      </w:r>
      <w:r w:rsidR="00B25E8E">
        <w:rPr>
          <w:b w:val="0"/>
          <w:bCs w:val="0"/>
        </w:rPr>
        <w:t>2.</w:t>
      </w:r>
      <w:r w:rsidR="00D55869" w:rsidRPr="00D55869">
        <w:rPr>
          <w:b w:val="0"/>
          <w:bCs w:val="0"/>
        </w:rPr>
        <w:t>1).</w:t>
      </w:r>
      <w:bookmarkEnd w:id="54"/>
      <w:bookmarkEnd w:id="55"/>
      <w:bookmarkEnd w:id="56"/>
      <w:bookmarkEnd w:id="57"/>
    </w:p>
    <w:p w14:paraId="4A88DAF9" w14:textId="7F454E95" w:rsidR="002813DE" w:rsidRDefault="002813DE" w:rsidP="002813DE"/>
    <w:p w14:paraId="20E498F3" w14:textId="54B5E904" w:rsidR="002813DE" w:rsidRDefault="00596F67" w:rsidP="00A07999">
      <w:r w:rsidRPr="00596F67">
        <w:lastRenderedPageBreak/>
        <w:t xml:space="preserve">Where </w:t>
      </w:r>
      <m:oMath>
        <m:sSub>
          <m:sSubPr>
            <m:ctrlPr>
              <w:rPr>
                <w:rFonts w:ascii="Cambria Math" w:hAnsi="Cambria Math"/>
                <w:i/>
                <w:lang w:eastAsia="zh-CN"/>
              </w:rPr>
            </m:ctrlPr>
          </m:sSubPr>
          <m:e>
            <m:r>
              <w:rPr>
                <w:rFonts w:ascii="Cambria Math" w:hAnsi="Cambria Math"/>
                <w:lang w:eastAsia="zh-CN"/>
              </w:rPr>
              <m:t>w</m:t>
            </m:r>
          </m:e>
          <m:sub>
            <m:r>
              <w:rPr>
                <w:rFonts w:ascii="Cambria Math" w:hAnsi="Cambria Math"/>
                <w:lang w:eastAsia="zh-CN"/>
              </w:rPr>
              <m:t>i</m:t>
            </m:r>
          </m:sub>
        </m:sSub>
      </m:oMath>
      <w:r w:rsidRPr="00596F67">
        <w:t xml:space="preserve"> is the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oMath>
      <w:r w:rsidRPr="00596F67">
        <w:t xml:space="preserve"> for each earthquake event (i) in a particular year T. Following equation</w:t>
      </w:r>
      <w:r w:rsidR="00FF7592">
        <w:t xml:space="preserve"> </w:t>
      </w:r>
      <w:r w:rsidRPr="00596F67">
        <w:t>(</w:t>
      </w:r>
      <w:r w:rsidR="00B25E8E">
        <w:t>2.</w:t>
      </w:r>
      <w:r w:rsidRPr="00596F67">
        <w:t xml:space="preserve">1), weighted mean centers of all earthquakes </w:t>
      </w:r>
      <w:r w:rsidR="001B2BD1">
        <w:t xml:space="preserve">occurring </w:t>
      </w:r>
      <w:r w:rsidRPr="00596F67">
        <w:t xml:space="preserve">in a particular year T would be closer to epicenters with the largest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oMath>
      <w:r w:rsidRPr="00596F67">
        <w:t xml:space="preserve"> during that year. The major and minor axes of these weighted standard deviation ellipses are calculated as the second moment of the x- and y-coordinates distribution from each weighted mean center </w:t>
      </w:r>
      <w:r w:rsidR="002C5621">
        <w:fldChar w:fldCharType="begin"/>
      </w:r>
      <w:r w:rsidR="002C5621">
        <w:instrText xml:space="preserve"> ADDIN ZOTERO_ITEM CSL_CITATION {"citationID":"7Vtc2eu8","properties":{"formattedCitation":"(Zoback, 2012)","plainCitation":"(Zoback, 2012)","noteIndex":0},"citationItems":[{"id":260,"uris":["http://zotero.org/users/7782726/items/ABQFN278"],"uri":["http://zotero.org/users/7782726/items/ABQFN278"],"itemData":{"id":260,"type":"article-journal","container-title":"Earth","issue":"4","note":"ISBN: 1943-345X","page":"38","title":"Managing the seismic risk posed by wastewater disposal","volume":"57","author":[{"family":"Zoback","given":"Mark D."}],"issued":{"date-parts":[["2012"]]}}}],"schema":"https://github.com/citation-style-language/schema/raw/master/csl-citation.json"} </w:instrText>
      </w:r>
      <w:r w:rsidR="002C5621">
        <w:fldChar w:fldCharType="separate"/>
      </w:r>
      <w:r w:rsidR="002C5621" w:rsidRPr="002C5621">
        <w:t>(Zoback, 2012)</w:t>
      </w:r>
      <w:r w:rsidR="002C5621">
        <w:fldChar w:fldCharType="end"/>
      </w:r>
      <w:r w:rsidRPr="00596F67">
        <w:t xml:space="preserve">. This approach, illustrated by Figure </w:t>
      </w:r>
      <w:r w:rsidR="00B25E8E">
        <w:t>2.</w:t>
      </w:r>
      <w:r w:rsidRPr="00596F67">
        <w:t xml:space="preserve">5a, shows a generalized northwest seismic migration pattern from 2006 through 2017. Correspondingly, Figure </w:t>
      </w:r>
      <w:r w:rsidR="00B25E8E">
        <w:t>2.</w:t>
      </w:r>
      <w:r w:rsidRPr="00596F67">
        <w:t xml:space="preserve">5b illustrates the weighted mean centers and standard deviation ellipses of wastewater disposal wells in each year from 2006 through 2017. Analogously to epicenters, wastewater injection locations are weighted by the volumetric magnitude of the annual injection volumes associated with each well. Thus, the weighted mean center of wastewater disposal wells in a particular year would be geographically closer to wells with larger annual injection volumes, reflecting the regional trend of well activity in that specific year. In summary, both unconventional oil and gas extraction and earthquake count show a northwest migration pattern </w:t>
      </w:r>
      <w:r w:rsidR="006E43E0">
        <w:t>from</w:t>
      </w:r>
      <w:r w:rsidRPr="00596F67">
        <w:t xml:space="preserve"> 2006 to 2017. To recognize year to year migration patterns, Figure </w:t>
      </w:r>
      <w:r w:rsidR="00B25E8E">
        <w:t>2.</w:t>
      </w:r>
      <w:r w:rsidRPr="00596F67">
        <w:t xml:space="preserve">6 </w:t>
      </w:r>
      <w:r w:rsidR="006E43E0">
        <w:t xml:space="preserve">shows </w:t>
      </w:r>
      <w:r w:rsidRPr="00596F67">
        <w:t xml:space="preserve">trends </w:t>
      </w:r>
      <w:r w:rsidR="006E43E0">
        <w:t xml:space="preserve">as indicated by </w:t>
      </w:r>
      <w:r w:rsidRPr="00596F67">
        <w:t xml:space="preserve">vectors whose length is proportional to the average migration distance between consecutive years. The diagram shows some years when both processes migrated similar distances in similar directions, particularly 2007–2008 (~33 to 35 km SE), 2009–2010 (10 to 20 km NNE), 2012–2013 (~43 km SSE), 2014–2015 (~9 to 22 km SE) and 2016–2017 (7 to 15 km W). In other cases, the two vectors </w:t>
      </w:r>
      <w:r w:rsidR="001D41B4">
        <w:t>show</w:t>
      </w:r>
      <w:r w:rsidRPr="00596F67">
        <w:t xml:space="preserve"> an angular distance greater than 90 degrees such as 2006–2007, 2010–2011 (N-E quadrant), 2011–2012 (mostly E quadrants), 2015–2016 (mostly S quadrants). The large disparity in distances in 2006–2007, 2011–2012 and 2013, 2014 may</w:t>
      </w:r>
      <w:r w:rsidR="001D41B4">
        <w:t xml:space="preserve"> </w:t>
      </w:r>
      <w:r w:rsidRPr="00596F67">
        <w:t xml:space="preserve">be </w:t>
      </w:r>
      <w:r w:rsidR="001D41B4" w:rsidRPr="00596F67">
        <w:t>because</w:t>
      </w:r>
      <w:r w:rsidRPr="00596F67">
        <w:t xml:space="preserve"> injection operations moved quickly in the last months of the last year and earthquake count (since it has a lagged response) did not immediately showed the expected pattern of migration. Overall, regional migration patterns seem </w:t>
      </w:r>
      <w:r w:rsidRPr="00596F67">
        <w:lastRenderedPageBreak/>
        <w:t>to correspond to one another evidencing a zonal effect of the unconventional oil and gas industry on the number of regional earthquake count.</w:t>
      </w:r>
    </w:p>
    <w:p w14:paraId="4CC26CDF" w14:textId="77777777" w:rsidR="001D2218" w:rsidRDefault="007D3F22" w:rsidP="00E83A7E">
      <w:pPr>
        <w:keepNext/>
        <w:ind w:left="-432"/>
        <w:jc w:val="center"/>
      </w:pPr>
      <w:r>
        <w:rPr>
          <w:noProof/>
        </w:rPr>
        <w:drawing>
          <wp:inline distT="0" distB="0" distL="0" distR="0" wp14:anchorId="46137075" wp14:editId="36C62B85">
            <wp:extent cx="5943600" cy="4561840"/>
            <wp:effectExtent l="0" t="0" r="0" b="0"/>
            <wp:docPr id="6" name="图片 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pic:nvPicPr>
                  <pic:blipFill>
                    <a:blip r:embed="rId57">
                      <a:extLst>
                        <a:ext uri="{28A0092B-C50C-407E-A947-70E740481C1C}">
                          <a14:useLocalDpi xmlns:a14="http://schemas.microsoft.com/office/drawing/2010/main" val="0"/>
                        </a:ext>
                      </a:extLst>
                    </a:blip>
                    <a:stretch>
                      <a:fillRect/>
                    </a:stretch>
                  </pic:blipFill>
                  <pic:spPr>
                    <a:xfrm>
                      <a:off x="0" y="0"/>
                      <a:ext cx="5943600" cy="4561840"/>
                    </a:xfrm>
                    <a:prstGeom prst="rect">
                      <a:avLst/>
                    </a:prstGeom>
                  </pic:spPr>
                </pic:pic>
              </a:graphicData>
            </a:graphic>
          </wp:inline>
        </w:drawing>
      </w:r>
    </w:p>
    <w:p w14:paraId="332E8EDB" w14:textId="2E810A26" w:rsidR="007D3F22" w:rsidRPr="001D2218" w:rsidRDefault="001D2218" w:rsidP="001D2218">
      <w:pPr>
        <w:pStyle w:val="a3"/>
        <w:ind w:firstLine="0"/>
      </w:pPr>
      <w:bookmarkStart w:id="58" w:name="_Toc75360563"/>
      <w:bookmarkStart w:id="59" w:name="_Toc75361831"/>
      <w:bookmarkStart w:id="60" w:name="_Toc75361886"/>
      <w:r>
        <w:t xml:space="preserve">Figure </w:t>
      </w:r>
      <w:r w:rsidR="0011487A">
        <w:t>2</w:t>
      </w:r>
      <w:r w:rsidR="00764D25">
        <w:t>.</w:t>
      </w:r>
      <w:r>
        <w:fldChar w:fldCharType="begin"/>
      </w:r>
      <w:r>
        <w:instrText>SEQ Figure \* ARABIC \s 1</w:instrText>
      </w:r>
      <w:r>
        <w:fldChar w:fldCharType="separate"/>
      </w:r>
      <w:r w:rsidR="00492676">
        <w:rPr>
          <w:noProof/>
        </w:rPr>
        <w:t>6</w:t>
      </w:r>
      <w:r>
        <w:fldChar w:fldCharType="end"/>
      </w:r>
      <w:bookmarkStart w:id="61" w:name="_Toc75015424"/>
      <w:r>
        <w:t xml:space="preserve">. </w:t>
      </w:r>
      <w:r w:rsidR="00116B22" w:rsidRPr="00116B22">
        <w:rPr>
          <w:b w:val="0"/>
          <w:bCs w:val="0"/>
        </w:rPr>
        <w:t>Yearly migration patterns between earthquakes weighted epicenters and wastewater injection activity in Oklahoma since 2006. Red and blue lines mean the average displacement of mean weighted centers of wastewater injection and earthquakes between consecutive years. The average displacement distance is also indicated within each compass diagram.</w:t>
      </w:r>
      <w:bookmarkEnd w:id="58"/>
      <w:bookmarkEnd w:id="59"/>
      <w:bookmarkEnd w:id="60"/>
      <w:bookmarkEnd w:id="61"/>
    </w:p>
    <w:p w14:paraId="7E25D72B" w14:textId="0CBC7AD8" w:rsidR="00482E48" w:rsidRDefault="00482E48" w:rsidP="00482E48"/>
    <w:p w14:paraId="35C16B70" w14:textId="0201595A" w:rsidR="00482E48" w:rsidRDefault="002F408D" w:rsidP="00E10713">
      <w:pPr>
        <w:pStyle w:val="2"/>
      </w:pPr>
      <w:bookmarkStart w:id="62" w:name="_Toc75939833"/>
      <w:r>
        <w:t>2.</w:t>
      </w:r>
      <w:r w:rsidRPr="002F408D">
        <w:t>6 A Parsimonious Model of Seismicity.</w:t>
      </w:r>
      <w:bookmarkEnd w:id="62"/>
    </w:p>
    <w:p w14:paraId="08CD7092" w14:textId="6950C539" w:rsidR="00E10713" w:rsidRDefault="00BC5E6C" w:rsidP="00E10713">
      <w:r w:rsidRPr="00BC5E6C">
        <w:t>With the objective of proposing a (single-variable) parsimonious regional predictive model between cumulative wastewater injection (IW) and earthquake count (N), patterns of lagged seismic responses to cumulative injected water during the 2006 to 2017 period in Oklahoma are explored. A cross-correlation analysis is carried to determine the temporal lags (</w:t>
      </w:r>
      <w:r>
        <w:t>i</w:t>
      </w:r>
      <w:r w:rsidRPr="00BC5E6C">
        <w:t xml:space="preserve">) </w:t>
      </w:r>
      <w:r w:rsidR="00CF04A3">
        <w:t xml:space="preserve">which may be </w:t>
      </w:r>
      <w:r w:rsidR="00CF04A3">
        <w:lastRenderedPageBreak/>
        <w:t>associated with the</w:t>
      </w:r>
      <w:r w:rsidRPr="00BC5E6C">
        <w:t xml:space="preserve"> number of expected earthquakes in a particular month t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Pr="00BC5E6C">
        <w:t xml:space="preserve">) as a function of </w:t>
      </w:r>
      <m:oMath>
        <m:sSub>
          <m:sSubPr>
            <m:ctrlPr>
              <w:rPr>
                <w:rFonts w:ascii="Cambria Math" w:hAnsi="Cambria Math"/>
                <w:i/>
              </w:rPr>
            </m:ctrlPr>
          </m:sSubPr>
          <m:e>
            <m:r>
              <w:rPr>
                <w:rFonts w:ascii="Cambria Math" w:hAnsi="Cambria Math"/>
              </w:rPr>
              <m:t>IW</m:t>
            </m:r>
          </m:e>
          <m:sub>
            <m:r>
              <w:rPr>
                <w:rFonts w:ascii="Cambria Math" w:hAnsi="Cambria Math"/>
              </w:rPr>
              <m:t>t-i</m:t>
            </m:r>
          </m:sub>
        </m:sSub>
      </m:oMath>
      <w:r w:rsidRPr="00BC5E6C">
        <w:t xml:space="preserve"> for i = 0, 1, 2, etc, months. This time delay can be physically expressed as the time the pressure increase takes to propagate from the injection wells to critically stressed faults in the crystalline basement </w:t>
      </w:r>
      <w:r w:rsidR="00A27B39">
        <w:fldChar w:fldCharType="begin"/>
      </w:r>
      <w:r w:rsidR="0075552F">
        <w:instrText xml:space="preserve"> ADDIN ZOTERO_ITEM CSL_CITATION {"citationID":"0nvIUAYs","properties":{"formattedCitation":"(X. Chen et al., 2017; Langenbruch &amp; Zoback, 2016)","plainCitation":"(X. Chen et al., 2017; Langenbruch &amp; Zoback, 2016)","dontUpdate":true,"noteIndex":0},"citationItems":[{"id":237,"uris":["http://zotero.org/users/7782726/items/IJ48E3KZ"],"uri":["http://zotero.org/users/7782726/items/IJ48E3KZ"],"itemData":{"id":237,"type":"article-journal","container-title":"Scientific Reports","issue":"1","note":"ISBN: 2045-2322\npublisher: Nature Publishing Group","page":"1-18","title":"The Pawnee earthquake as a result of the interplay among injection, faults and foreshocks","volume":"7","author":[{"family":"Chen","given":"Xiaowei"},{"family":"Nakata","given":"Nori"},{"family":"Pennington","given":"Colin"},{"family":"Haffener","given":"Jackson"},{"family":"Chang","given":"Jefferson C."},{"family":"He","given":"Xiaohui"},{"family":"Zhan","given":"Zhongwen"},{"family":"Ni","given":"Sidao"},{"family":"Walter","given":"Jacob I."}],"issued":{"date-parts":[["2017"]]}}},{"id":240,"uris":["http://zotero.org/users/7782726/items/WHPZB4ER"],"uri":["http://zotero.org/users/7782726/items/WHPZB4ER"],"itemData":{"id":240,"type":"article-journal","container-title":"Science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A27B39">
        <w:fldChar w:fldCharType="separate"/>
      </w:r>
      <w:r w:rsidR="004B6177" w:rsidRPr="004B6177">
        <w:t>(Chen et al., 2017; Langenbruch &amp; Zoback, 2016)</w:t>
      </w:r>
      <w:r w:rsidR="00A27B39">
        <w:fldChar w:fldCharType="end"/>
      </w:r>
      <w:r w:rsidRPr="00BC5E6C">
        <w:t xml:space="preserve">. The cross-correlogram illustrated in Figure </w:t>
      </w:r>
      <w:r w:rsidR="00B25E8E">
        <w:t>2.</w:t>
      </w:r>
      <w:r w:rsidRPr="00BC5E6C">
        <w:t xml:space="preserve">7a reveals that lags i = 0 through −25 </w:t>
      </w:r>
      <w:r w:rsidR="00552C6B" w:rsidRPr="00BC5E6C">
        <w:t>before</w:t>
      </w:r>
      <w:r w:rsidRPr="00BC5E6C">
        <w:t xml:space="preserve"> the seismic events appear to mostly contribute to the bivariate co-dependence between IW (predictor) and N (predictand).  Figure </w:t>
      </w:r>
      <w:r w:rsidR="00B25E8E">
        <w:t>2.</w:t>
      </w:r>
      <w:r w:rsidRPr="00BC5E6C">
        <w:t>7b quantifies the contribution of each lag i to the total correlation structure above the Pearson correlation coefficient significance threshold. According to the correlations for lags 0 to 25 months, we extract weight coefficients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rsidRPr="00BC5E6C">
        <w:t xml:space="preserve">) for each lagged contribution to express </w:t>
      </w:r>
      <m:oMath>
        <m:acc>
          <m:accPr>
            <m:ctrlPr>
              <w:rPr>
                <w:rFonts w:ascii="Cambria Math" w:hAnsi="Cambria Math"/>
                <w:i/>
              </w:rPr>
            </m:ctrlPr>
          </m:accPr>
          <m:e>
            <m:r>
              <w:rPr>
                <w:rFonts w:ascii="Cambria Math" w:hAnsi="Cambria Math"/>
              </w:rPr>
              <m:t>IW</m:t>
            </m:r>
          </m:e>
        </m:acc>
      </m:oMath>
      <w:r w:rsidRPr="00BC5E6C">
        <w:t xml:space="preserve"> as a function of </w:t>
      </w:r>
      <m:oMath>
        <m:sSub>
          <m:sSubPr>
            <m:ctrlPr>
              <w:rPr>
                <w:rFonts w:ascii="Cambria Math" w:hAnsi="Cambria Math"/>
                <w:i/>
              </w:rPr>
            </m:ctrlPr>
          </m:sSubPr>
          <m:e>
            <m:r>
              <w:rPr>
                <w:rFonts w:ascii="Cambria Math" w:hAnsi="Cambria Math"/>
              </w:rPr>
              <m:t>IW</m:t>
            </m:r>
          </m:e>
          <m:sub>
            <m:r>
              <w:rPr>
                <w:rFonts w:ascii="Cambria Math" w:hAnsi="Cambria Math"/>
              </w:rPr>
              <m:t>t-i</m:t>
            </m:r>
          </m:sub>
        </m:sSub>
      </m:oMath>
      <w:r w:rsidRPr="00BC5E6C">
        <w:t xml:space="preserve"> (i = 0, 1, 2…, 25 months) as shown in Equation (2</w:t>
      </w:r>
      <w:r w:rsidR="00B25E8E">
        <w:t>.2</w:t>
      </w:r>
      <w:r w:rsidRPr="00BC5E6C">
        <w:t>):</w:t>
      </w:r>
    </w:p>
    <w:p w14:paraId="5E14B5E2" w14:textId="5C2E3777" w:rsidR="004F10F8" w:rsidRDefault="00143C6C" w:rsidP="00587D56">
      <w:pPr>
        <w:jc w:val="center"/>
      </w:pPr>
      <m:oMath>
        <m:acc>
          <m:accPr>
            <m:ctrlPr>
              <w:rPr>
                <w:rFonts w:ascii="Cambria Math" w:hAnsi="Cambria Math"/>
                <w:i/>
              </w:rPr>
            </m:ctrlPr>
          </m:accPr>
          <m:e>
            <m:r>
              <w:rPr>
                <w:rFonts w:ascii="Cambria Math" w:hAnsi="Cambria Math"/>
              </w:rPr>
              <m:t>IW</m:t>
            </m:r>
          </m:e>
        </m:acc>
        <m:r>
          <w:rPr>
            <w:rFonts w:ascii="Cambria Math" w:hAnsi="Cambria Math"/>
          </w:rPr>
          <m:t>=</m:t>
        </m:r>
        <m:nary>
          <m:naryPr>
            <m:chr m:val="∑"/>
            <m:limLoc m:val="undOvr"/>
            <m:ctrlPr>
              <w:rPr>
                <w:rFonts w:ascii="Cambria Math" w:hAnsi="Cambria Math"/>
                <w:i/>
              </w:rPr>
            </m:ctrlPr>
          </m:naryPr>
          <m:sub>
            <m:r>
              <w:rPr>
                <w:rFonts w:ascii="Cambria Math" w:hAnsi="Cambria Math"/>
              </w:rPr>
              <m:t>0</m:t>
            </m:r>
          </m:sub>
          <m:sup>
            <m:r>
              <w:rPr>
                <w:rFonts w:ascii="Cambria Math" w:hAnsi="Cambria Math"/>
              </w:rPr>
              <m:t>25</m:t>
            </m:r>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IW</m:t>
                </m:r>
              </m:e>
              <m:sub>
                <m:r>
                  <w:rPr>
                    <w:rFonts w:ascii="Cambria Math" w:hAnsi="Cambria Math"/>
                  </w:rPr>
                  <m:t>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sSub>
              <m:sSubPr>
                <m:ctrlPr>
                  <w:rPr>
                    <w:rFonts w:ascii="Cambria Math" w:hAnsi="Cambria Math"/>
                    <w:i/>
                  </w:rPr>
                </m:ctrlPr>
              </m:sSubPr>
              <m:e>
                <m:r>
                  <w:rPr>
                    <w:rFonts w:ascii="Cambria Math" w:hAnsi="Cambria Math"/>
                  </w:rPr>
                  <m:t>IW</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sSub>
              <m:sSubPr>
                <m:ctrlPr>
                  <w:rPr>
                    <w:rFonts w:ascii="Cambria Math" w:hAnsi="Cambria Math"/>
                    <w:i/>
                  </w:rPr>
                </m:ctrlPr>
              </m:sSubPr>
              <m:e>
                <m:r>
                  <w:rPr>
                    <w:rFonts w:ascii="Cambria Math" w:hAnsi="Cambria Math"/>
                  </w:rPr>
                  <m:t>IW</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sSub>
              <m:sSubPr>
                <m:ctrlPr>
                  <w:rPr>
                    <w:rFonts w:ascii="Cambria Math" w:hAnsi="Cambria Math"/>
                    <w:i/>
                  </w:rPr>
                </m:ctrlPr>
              </m:sSubPr>
              <m:e>
                <m:r>
                  <w:rPr>
                    <w:rFonts w:ascii="Cambria Math" w:hAnsi="Cambria Math"/>
                  </w:rPr>
                  <m:t>IW</m:t>
                </m:r>
              </m:e>
              <m:sub>
                <m:r>
                  <w:rPr>
                    <w:rFonts w:ascii="Cambria Math" w:hAnsi="Cambria Math"/>
                  </w:rPr>
                  <m:t>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25</m:t>
                </m:r>
              </m:sub>
            </m:sSub>
            <m:sSub>
              <m:sSubPr>
                <m:ctrlPr>
                  <w:rPr>
                    <w:rFonts w:ascii="Cambria Math" w:hAnsi="Cambria Math"/>
                    <w:i/>
                  </w:rPr>
                </m:ctrlPr>
              </m:sSubPr>
              <m:e>
                <m:r>
                  <w:rPr>
                    <w:rFonts w:ascii="Cambria Math" w:hAnsi="Cambria Math"/>
                  </w:rPr>
                  <m:t>IW</m:t>
                </m:r>
              </m:e>
              <m:sub>
                <m:r>
                  <w:rPr>
                    <w:rFonts w:ascii="Cambria Math" w:hAnsi="Cambria Math"/>
                  </w:rPr>
                  <m:t>t-25</m:t>
                </m:r>
              </m:sub>
            </m:sSub>
          </m:e>
        </m:nary>
      </m:oMath>
      <w:r w:rsidR="00587D56">
        <w:t xml:space="preserve">         (2</w:t>
      </w:r>
      <w:r w:rsidR="00B25E8E">
        <w:t>.2</w:t>
      </w:r>
      <w:r w:rsidR="00587D56">
        <w:t>)</w:t>
      </w:r>
    </w:p>
    <w:p w14:paraId="077E3A82" w14:textId="77777777" w:rsidR="000C4457" w:rsidRDefault="009F413E" w:rsidP="00157E92">
      <w:pPr>
        <w:keepNext/>
        <w:ind w:left="-432"/>
        <w:jc w:val="center"/>
      </w:pPr>
      <w:r>
        <w:rPr>
          <w:noProof/>
        </w:rPr>
        <w:drawing>
          <wp:inline distT="0" distB="0" distL="0" distR="0" wp14:anchorId="20F4C48A" wp14:editId="213C0B1E">
            <wp:extent cx="5943600" cy="2291715"/>
            <wp:effectExtent l="0" t="0" r="0" b="0"/>
            <wp:docPr id="7" name="图片 7"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pic:nvPicPr>
                  <pic:blipFill>
                    <a:blip r:embed="rId58">
                      <a:extLst>
                        <a:ext uri="{28A0092B-C50C-407E-A947-70E740481C1C}">
                          <a14:useLocalDpi xmlns:a14="http://schemas.microsoft.com/office/drawing/2010/main" val="0"/>
                        </a:ext>
                      </a:extLst>
                    </a:blip>
                    <a:stretch>
                      <a:fillRect/>
                    </a:stretch>
                  </pic:blipFill>
                  <pic:spPr>
                    <a:xfrm>
                      <a:off x="0" y="0"/>
                      <a:ext cx="5943600" cy="2291715"/>
                    </a:xfrm>
                    <a:prstGeom prst="rect">
                      <a:avLst/>
                    </a:prstGeom>
                  </pic:spPr>
                </pic:pic>
              </a:graphicData>
            </a:graphic>
          </wp:inline>
        </w:drawing>
      </w:r>
    </w:p>
    <w:p w14:paraId="1D8424B8" w14:textId="365B684E" w:rsidR="00587D56" w:rsidRPr="000C4457" w:rsidRDefault="000C4457" w:rsidP="000C4457">
      <w:pPr>
        <w:pStyle w:val="a3"/>
        <w:ind w:firstLine="0"/>
      </w:pPr>
      <w:bookmarkStart w:id="63" w:name="_Toc75360564"/>
      <w:bookmarkStart w:id="64" w:name="_Toc75361832"/>
      <w:bookmarkStart w:id="65" w:name="_Toc75361887"/>
      <w:r>
        <w:t xml:space="preserve">Figure </w:t>
      </w:r>
      <w:r w:rsidR="00FC4232">
        <w:t>2</w:t>
      </w:r>
      <w:r w:rsidR="00764D25">
        <w:t>.</w:t>
      </w:r>
      <w:r>
        <w:fldChar w:fldCharType="begin"/>
      </w:r>
      <w:r>
        <w:instrText>SEQ Figure \* ARABIC \s 1</w:instrText>
      </w:r>
      <w:r>
        <w:fldChar w:fldCharType="separate"/>
      </w:r>
      <w:r w:rsidR="00492676">
        <w:rPr>
          <w:noProof/>
        </w:rPr>
        <w:t>7</w:t>
      </w:r>
      <w:r>
        <w:fldChar w:fldCharType="end"/>
      </w:r>
      <w:bookmarkStart w:id="66" w:name="_Toc75015425"/>
      <w:r>
        <w:t xml:space="preserve">. </w:t>
      </w:r>
      <w:r w:rsidR="00B5255C" w:rsidRPr="00B5255C">
        <w:rPr>
          <w:b w:val="0"/>
          <w:bCs w:val="0"/>
        </w:rPr>
        <w:t>(</w:t>
      </w:r>
      <w:r w:rsidR="00B5255C" w:rsidRPr="006E2D62">
        <w:t>a</w:t>
      </w:r>
      <w:r w:rsidR="00B5255C" w:rsidRPr="00B5255C">
        <w:rPr>
          <w:b w:val="0"/>
          <w:bCs w:val="0"/>
        </w:rPr>
        <w:t xml:space="preserve">) Cross-correlation diagram between </w:t>
      </w:r>
      <m:oMath>
        <m:sSub>
          <m:sSubPr>
            <m:ctrlPr>
              <w:rPr>
                <w:rFonts w:ascii="Cambria Math" w:hAnsi="Cambria Math"/>
                <w:b w:val="0"/>
                <w:bCs w:val="0"/>
                <w:i/>
                <w:szCs w:val="24"/>
              </w:rPr>
            </m:ctrlPr>
          </m:sSubPr>
          <m:e>
            <m:r>
              <m:rPr>
                <m:sty m:val="bi"/>
              </m:rPr>
              <w:rPr>
                <w:rFonts w:ascii="Cambria Math" w:hAnsi="Cambria Math"/>
              </w:rPr>
              <m:t>IW</m:t>
            </m:r>
          </m:e>
          <m:sub>
            <m:r>
              <m:rPr>
                <m:sty m:val="bi"/>
              </m:rPr>
              <w:rPr>
                <w:rFonts w:ascii="Cambria Math" w:hAnsi="Cambria Math"/>
              </w:rPr>
              <m:t>t-i</m:t>
            </m:r>
          </m:sub>
        </m:sSub>
      </m:oMath>
      <w:r w:rsidR="00B5255C" w:rsidRPr="00B5255C">
        <w:rPr>
          <w:b w:val="0"/>
          <w:bCs w:val="0"/>
        </w:rPr>
        <w:t xml:space="preserve"> and </w:t>
      </w:r>
      <m:oMath>
        <m:sSub>
          <m:sSubPr>
            <m:ctrlPr>
              <w:rPr>
                <w:rFonts w:ascii="Cambria Math" w:hAnsi="Cambria Math"/>
                <w:b w:val="0"/>
                <w:bCs w:val="0"/>
                <w:i/>
                <w:szCs w:val="24"/>
              </w:rPr>
            </m:ctrlPr>
          </m:sSubPr>
          <m:e>
            <m:r>
              <m:rPr>
                <m:sty m:val="bi"/>
              </m:rPr>
              <w:rPr>
                <w:rFonts w:ascii="Cambria Math" w:hAnsi="Cambria Math"/>
              </w:rPr>
              <m:t>N</m:t>
            </m:r>
          </m:e>
          <m:sub>
            <m:r>
              <m:rPr>
                <m:sty m:val="bi"/>
              </m:rPr>
              <w:rPr>
                <w:rFonts w:ascii="Cambria Math" w:hAnsi="Cambria Math"/>
              </w:rPr>
              <m:t>t</m:t>
            </m:r>
          </m:sub>
        </m:sSub>
      </m:oMath>
      <w:r w:rsidR="00B5255C" w:rsidRPr="00B5255C">
        <w:rPr>
          <w:b w:val="0"/>
          <w:bCs w:val="0"/>
        </w:rPr>
        <w:t xml:space="preserve"> for different lags of IW (e.g., i = 0, 1, 2, 3…, n months). Negative numbers mean that IW precedes </w:t>
      </w:r>
      <m:oMath>
        <m:sSub>
          <m:sSubPr>
            <m:ctrlPr>
              <w:rPr>
                <w:rFonts w:ascii="Cambria Math" w:hAnsi="Cambria Math"/>
                <w:b w:val="0"/>
                <w:bCs w:val="0"/>
                <w:i/>
                <w:szCs w:val="24"/>
              </w:rPr>
            </m:ctrlPr>
          </m:sSubPr>
          <m:e>
            <m:r>
              <m:rPr>
                <m:sty m:val="bi"/>
              </m:rPr>
              <w:rPr>
                <w:rFonts w:ascii="Cambria Math" w:hAnsi="Cambria Math"/>
              </w:rPr>
              <m:t>N</m:t>
            </m:r>
          </m:e>
          <m:sub>
            <m:r>
              <m:rPr>
                <m:sty m:val="bi"/>
              </m:rPr>
              <w:rPr>
                <w:rFonts w:ascii="Cambria Math" w:hAnsi="Cambria Math"/>
              </w:rPr>
              <m:t>t</m:t>
            </m:r>
          </m:sub>
        </m:sSub>
      </m:oMath>
      <w:r w:rsidR="00B5255C" w:rsidRPr="00B5255C">
        <w:rPr>
          <w:b w:val="0"/>
          <w:bCs w:val="0"/>
        </w:rPr>
        <w:t>. (</w:t>
      </w:r>
      <w:r w:rsidR="00B5255C" w:rsidRPr="006E2D62">
        <w:t>b</w:t>
      </w:r>
      <w:r w:rsidR="00B5255C" w:rsidRPr="00B5255C">
        <w:rPr>
          <w:b w:val="0"/>
          <w:bCs w:val="0"/>
        </w:rPr>
        <w:t>) Contribution (</w:t>
      </w:r>
      <m:oMath>
        <m:sSub>
          <m:sSubPr>
            <m:ctrlPr>
              <w:rPr>
                <w:rFonts w:ascii="Cambria Math" w:hAnsi="Cambria Math"/>
                <w:b w:val="0"/>
                <w:bCs w:val="0"/>
                <w:i/>
                <w:szCs w:val="24"/>
              </w:rPr>
            </m:ctrlPr>
          </m:sSubPr>
          <m:e>
            <m:r>
              <m:rPr>
                <m:sty m:val="bi"/>
              </m:rPr>
              <w:rPr>
                <w:rFonts w:ascii="Cambria Math" w:hAnsi="Cambria Math"/>
                <w:szCs w:val="24"/>
              </w:rPr>
              <m:t>w</m:t>
            </m:r>
          </m:e>
          <m:sub>
            <m:r>
              <m:rPr>
                <m:sty m:val="bi"/>
              </m:rPr>
              <w:rPr>
                <w:rFonts w:ascii="Cambria Math" w:hAnsi="Cambria Math"/>
              </w:rPr>
              <m:t>i</m:t>
            </m:r>
          </m:sub>
        </m:sSub>
      </m:oMath>
      <w:r w:rsidR="00B5255C" w:rsidRPr="00B5255C">
        <w:rPr>
          <w:b w:val="0"/>
          <w:bCs w:val="0"/>
        </w:rPr>
        <w:t>) of each lag i to the prediction of the total of number of earthquakes in a particular month t (</w:t>
      </w:r>
      <m:oMath>
        <m:sSub>
          <m:sSubPr>
            <m:ctrlPr>
              <w:rPr>
                <w:rFonts w:ascii="Cambria Math" w:hAnsi="Cambria Math"/>
                <w:b w:val="0"/>
                <w:bCs w:val="0"/>
                <w:i/>
                <w:szCs w:val="24"/>
              </w:rPr>
            </m:ctrlPr>
          </m:sSubPr>
          <m:e>
            <m:r>
              <m:rPr>
                <m:sty m:val="bi"/>
              </m:rPr>
              <w:rPr>
                <w:rFonts w:ascii="Cambria Math" w:hAnsi="Cambria Math"/>
              </w:rPr>
              <m:t>N</m:t>
            </m:r>
          </m:e>
          <m:sub>
            <m:r>
              <m:rPr>
                <m:sty m:val="bi"/>
              </m:rPr>
              <w:rPr>
                <w:rFonts w:ascii="Cambria Math" w:hAnsi="Cambria Math"/>
              </w:rPr>
              <m:t>t</m:t>
            </m:r>
          </m:sub>
        </m:sSub>
      </m:oMath>
      <w:r w:rsidR="00B5255C" w:rsidRPr="00B5255C">
        <w:rPr>
          <w:b w:val="0"/>
          <w:bCs w:val="0"/>
        </w:rPr>
        <w:t>), to be applied to the predictors in Equation (2).</w:t>
      </w:r>
      <w:bookmarkEnd w:id="63"/>
      <w:bookmarkEnd w:id="64"/>
      <w:bookmarkEnd w:id="65"/>
      <w:bookmarkEnd w:id="66"/>
    </w:p>
    <w:p w14:paraId="083F3FE2" w14:textId="7D827BFE" w:rsidR="00AB4FD4" w:rsidRDefault="00AB4FD4" w:rsidP="00AB4FD4">
      <w:pPr>
        <w:rPr>
          <w:lang w:eastAsia="zh-CN"/>
        </w:rPr>
      </w:pPr>
    </w:p>
    <w:p w14:paraId="11DBCDA2" w14:textId="5DF6FEB7" w:rsidR="00AB4FD4" w:rsidRDefault="00796A7E" w:rsidP="00796A7E">
      <w:pPr>
        <w:rPr>
          <w:lang w:eastAsia="zh-CN"/>
        </w:rPr>
      </w:pPr>
      <w:r w:rsidRPr="00796A7E">
        <w:rPr>
          <w:lang w:eastAsia="zh-CN"/>
        </w:rPr>
        <w:t xml:space="preserve">Figure </w:t>
      </w:r>
      <w:r w:rsidR="00B25E8E">
        <w:rPr>
          <w:lang w:eastAsia="zh-CN"/>
        </w:rPr>
        <w:t>2.</w:t>
      </w:r>
      <w:r w:rsidRPr="00796A7E">
        <w:rPr>
          <w:lang w:eastAsia="zh-CN"/>
        </w:rPr>
        <w:t xml:space="preserve">7b </w:t>
      </w:r>
      <w:r w:rsidR="00552C6B">
        <w:rPr>
          <w:lang w:eastAsia="zh-CN"/>
        </w:rPr>
        <w:t xml:space="preserve">shows that </w:t>
      </w:r>
      <w:r w:rsidRPr="00796A7E">
        <w:rPr>
          <w:lang w:eastAsia="zh-CN"/>
        </w:rPr>
        <w:t xml:space="preserve">lags 0 to 10 will be responsible for 50% of the variability in </w:t>
      </w:r>
      <m:oMath>
        <m:acc>
          <m:accPr>
            <m:ctrlPr>
              <w:rPr>
                <w:rFonts w:ascii="Cambria Math" w:hAnsi="Cambria Math"/>
                <w:i/>
              </w:rPr>
            </m:ctrlPr>
          </m:accPr>
          <m:e>
            <m:r>
              <w:rPr>
                <w:rFonts w:ascii="Cambria Math" w:hAnsi="Cambria Math"/>
              </w:rPr>
              <m:t>IW</m:t>
            </m:r>
          </m:e>
        </m:acc>
      </m:oMath>
      <w:r w:rsidRPr="00796A7E">
        <w:rPr>
          <w:lang w:eastAsia="zh-CN"/>
        </w:rPr>
        <w:t xml:space="preserve"> in Equation (</w:t>
      </w:r>
      <w:r w:rsidR="00B25E8E">
        <w:rPr>
          <w:lang w:eastAsia="zh-CN"/>
        </w:rPr>
        <w:t>2.</w:t>
      </w:r>
      <w:r w:rsidRPr="00796A7E">
        <w:rPr>
          <w:lang w:eastAsia="zh-CN"/>
        </w:rPr>
        <w:t xml:space="preserve">2), confirming that the number of earthquakes in a particular month is the result of the </w:t>
      </w:r>
      <w:r w:rsidRPr="00796A7E">
        <w:rPr>
          <w:lang w:eastAsia="zh-CN"/>
        </w:rPr>
        <w:lastRenderedPageBreak/>
        <w:t xml:space="preserve">pressure buildup due to previous-months water injection activity. According to the correlation structure derived, we fitted a mathematical power-law relating </w:t>
      </w:r>
      <m:oMath>
        <m:acc>
          <m:accPr>
            <m:ctrlPr>
              <w:rPr>
                <w:rFonts w:ascii="Cambria Math" w:hAnsi="Cambria Math"/>
                <w:i/>
              </w:rPr>
            </m:ctrlPr>
          </m:accPr>
          <m:e>
            <m:r>
              <w:rPr>
                <w:rFonts w:ascii="Cambria Math" w:hAnsi="Cambria Math"/>
              </w:rPr>
              <m:t>IW</m:t>
            </m:r>
          </m:e>
        </m:acc>
      </m:oMath>
      <w:r w:rsidRPr="00796A7E">
        <w:rPr>
          <w:lang w:eastAsia="zh-CN"/>
        </w:rPr>
        <w:t xml:space="preserve"> (</w:t>
      </w:r>
      <m:oMath>
        <m:f>
          <m:fPr>
            <m:type m:val="lin"/>
            <m:ctrlPr>
              <w:rPr>
                <w:rFonts w:ascii="Cambria Math" w:hAnsi="Cambria Math"/>
                <w:i/>
                <w:lang w:eastAsia="zh-CN"/>
              </w:rPr>
            </m:ctrlPr>
          </m:fPr>
          <m:num>
            <m:sSup>
              <m:sSupPr>
                <m:ctrlPr>
                  <w:rPr>
                    <w:rFonts w:ascii="Cambria Math" w:hAnsi="Cambria Math"/>
                    <w:i/>
                    <w:lang w:eastAsia="zh-CN"/>
                  </w:rPr>
                </m:ctrlPr>
              </m:sSupPr>
              <m:e>
                <m:r>
                  <w:rPr>
                    <w:rFonts w:ascii="Cambria Math" w:hAnsi="Cambria Math"/>
                    <w:lang w:eastAsia="zh-CN"/>
                  </w:rPr>
                  <m:t>m</m:t>
                </m:r>
              </m:e>
              <m:sup>
                <m:r>
                  <w:rPr>
                    <w:rFonts w:ascii="Cambria Math" w:hAnsi="Cambria Math"/>
                    <w:lang w:eastAsia="zh-CN"/>
                  </w:rPr>
                  <m:t>3</m:t>
                </m:r>
              </m:sup>
            </m:sSup>
          </m:num>
          <m:den>
            <m:r>
              <w:rPr>
                <w:rFonts w:ascii="Cambria Math" w:hAnsi="Cambria Math"/>
                <w:lang w:eastAsia="zh-CN"/>
              </w:rPr>
              <m:t>month</m:t>
            </m:r>
          </m:den>
        </m:f>
      </m:oMath>
      <w:r w:rsidRPr="00796A7E">
        <w:rPr>
          <w:lang w:eastAsia="zh-CN"/>
        </w:rPr>
        <w:t xml:space="preserve">) to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Pr="00796A7E">
        <w:rPr>
          <w:lang w:eastAsia="zh-CN"/>
        </w:rPr>
        <w:t xml:space="preserve"> for all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796A7E">
        <w:rPr>
          <w:lang w:eastAsia="zh-CN"/>
        </w:rPr>
        <w:t xml:space="preserve"> (see Equation </w:t>
      </w:r>
      <w:r w:rsidR="00B25E8E">
        <w:rPr>
          <w:lang w:eastAsia="zh-CN"/>
        </w:rPr>
        <w:t>2.</w:t>
      </w:r>
      <w:r w:rsidRPr="00796A7E">
        <w:rPr>
          <w:lang w:eastAsia="zh-CN"/>
        </w:rPr>
        <w:t>3). Figure 8 illustrates such a fitted relation applied to the logarithms of the monthly values since 2011 (complete data pairs).</w:t>
      </w:r>
    </w:p>
    <w:p w14:paraId="66999684" w14:textId="17582308" w:rsidR="0002155C" w:rsidRPr="00B30B76" w:rsidRDefault="00143C6C" w:rsidP="000D52E4">
      <w:pPr>
        <w:jc w:val="center"/>
        <w:rPr>
          <w:lang w:eastAsia="zh-CN"/>
        </w:rPr>
      </w:pPr>
      <m:oMathPara>
        <m:oMathParaPr>
          <m:jc m:val="center"/>
        </m:oMathParaPr>
        <m:oMath>
          <m:sSub>
            <m:sSubPr>
              <m:ctrlPr>
                <w:rPr>
                  <w:rFonts w:ascii="Cambria Math" w:hAnsi="Cambria Math"/>
                  <w:i/>
                  <w:lang w:eastAsia="zh-CN"/>
                </w:rPr>
              </m:ctrlPr>
            </m:sSubPr>
            <m:e>
              <m:r>
                <w:rPr>
                  <w:rFonts w:ascii="Cambria Math" w:hAnsi="Cambria Math"/>
                  <w:lang w:eastAsia="zh-CN"/>
                </w:rPr>
                <m:t>N</m:t>
              </m:r>
            </m:e>
            <m:sub>
              <m:r>
                <w:rPr>
                  <w:rFonts w:ascii="Cambria Math" w:hAnsi="Cambria Math"/>
                  <w:lang w:eastAsia="zh-CN"/>
                </w:rPr>
                <m:t>t</m:t>
              </m:r>
            </m:sub>
          </m:sSub>
          <m:r>
            <w:rPr>
              <w:rFonts w:ascii="Cambria Math" w:hAnsi="Cambria Math"/>
              <w:lang w:eastAsia="zh-CN"/>
            </w:rPr>
            <m:t>=3.2099×</m:t>
          </m:r>
          <m:sSup>
            <m:sSupPr>
              <m:ctrlPr>
                <w:rPr>
                  <w:rFonts w:ascii="Cambria Math" w:hAnsi="Cambria Math"/>
                  <w:i/>
                  <w:lang w:eastAsia="zh-CN"/>
                </w:rPr>
              </m:ctrlPr>
            </m:sSupPr>
            <m:e>
              <m:r>
                <w:rPr>
                  <w:rFonts w:ascii="Cambria Math" w:hAnsi="Cambria Math"/>
                  <w:lang w:eastAsia="zh-CN"/>
                </w:rPr>
                <m:t>10</m:t>
              </m:r>
            </m:e>
            <m:sup>
              <m:r>
                <w:rPr>
                  <w:rFonts w:ascii="Cambria Math" w:hAnsi="Cambria Math"/>
                  <w:lang w:eastAsia="zh-CN"/>
                </w:rPr>
                <m:t>-6</m:t>
              </m:r>
            </m:sup>
          </m:sSup>
          <m:sSup>
            <m:sSupPr>
              <m:ctrlPr>
                <w:rPr>
                  <w:rFonts w:ascii="Cambria Math" w:hAnsi="Cambria Math"/>
                  <w:i/>
                  <w:lang w:eastAsia="zh-CN"/>
                </w:rPr>
              </m:ctrlPr>
            </m:sSupPr>
            <m:e>
              <m:acc>
                <m:accPr>
                  <m:ctrlPr>
                    <w:rPr>
                      <w:rFonts w:ascii="Cambria Math" w:hAnsi="Cambria Math"/>
                      <w:i/>
                      <w:lang w:eastAsia="zh-CN"/>
                    </w:rPr>
                  </m:ctrlPr>
                </m:accPr>
                <m:e>
                  <m:r>
                    <w:rPr>
                      <w:rFonts w:ascii="Cambria Math" w:hAnsi="Cambria Math"/>
                      <w:lang w:eastAsia="zh-CN"/>
                    </w:rPr>
                    <m:t>IW</m:t>
                  </m:r>
                </m:e>
              </m:acc>
            </m:e>
            <m:sup>
              <m:r>
                <w:rPr>
                  <w:rFonts w:ascii="Cambria Math" w:hAnsi="Cambria Math"/>
                  <w:lang w:eastAsia="zh-CN"/>
                </w:rPr>
                <m:t>6.1489</m:t>
              </m:r>
            </m:sup>
          </m:sSup>
          <m:r>
            <w:rPr>
              <w:rFonts w:ascii="Cambria Math" w:hAnsi="Cambria Math"/>
              <w:lang w:eastAsia="zh-CN"/>
            </w:rPr>
            <m:t xml:space="preserve">                           (2.3)</m:t>
          </m:r>
        </m:oMath>
      </m:oMathPara>
    </w:p>
    <w:p w14:paraId="418293F4" w14:textId="77777777" w:rsidR="004077D0" w:rsidRDefault="00686CE3" w:rsidP="00AE5029">
      <w:pPr>
        <w:keepNext/>
        <w:ind w:left="-432"/>
        <w:jc w:val="center"/>
      </w:pPr>
      <w:r>
        <w:rPr>
          <w:noProof/>
        </w:rPr>
        <w:drawing>
          <wp:inline distT="0" distB="0" distL="0" distR="0" wp14:anchorId="4B35EB07" wp14:editId="6AC2B05A">
            <wp:extent cx="5943600" cy="4572000"/>
            <wp:effectExtent l="0" t="0" r="0" b="0"/>
            <wp:docPr id="8" name="图片 8"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pic:nvPicPr>
                  <pic:blipFill>
                    <a:blip r:embed="rId59">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inline>
        </w:drawing>
      </w:r>
    </w:p>
    <w:p w14:paraId="290AF934" w14:textId="5BA22406" w:rsidR="00B30B76" w:rsidRPr="004077D0" w:rsidRDefault="004077D0" w:rsidP="004077D0">
      <w:pPr>
        <w:pStyle w:val="a3"/>
        <w:ind w:firstLine="0"/>
      </w:pPr>
      <w:bookmarkStart w:id="67" w:name="_Toc75360565"/>
      <w:bookmarkStart w:id="68" w:name="_Toc75361833"/>
      <w:bookmarkStart w:id="69" w:name="_Toc75361888"/>
      <w:r>
        <w:t xml:space="preserve">Figure </w:t>
      </w:r>
      <w:r w:rsidR="00FC4232">
        <w:t>2</w:t>
      </w:r>
      <w:r w:rsidR="00764D25">
        <w:t>.</w:t>
      </w:r>
      <w:r>
        <w:fldChar w:fldCharType="begin"/>
      </w:r>
      <w:r>
        <w:instrText>SEQ Figure \* ARABIC \s 1</w:instrText>
      </w:r>
      <w:r>
        <w:fldChar w:fldCharType="separate"/>
      </w:r>
      <w:r w:rsidR="00492676">
        <w:rPr>
          <w:noProof/>
        </w:rPr>
        <w:t>8</w:t>
      </w:r>
      <w:r>
        <w:fldChar w:fldCharType="end"/>
      </w:r>
      <w:bookmarkStart w:id="70" w:name="_Toc75015426"/>
      <w:r>
        <w:t xml:space="preserve">. </w:t>
      </w:r>
      <w:r w:rsidR="000D1898" w:rsidRPr="000D1898">
        <w:rPr>
          <w:b w:val="0"/>
          <w:bCs w:val="0"/>
        </w:rPr>
        <w:t xml:space="preserve">Regional induced-earthquake count </w:t>
      </w:r>
      <m:oMath>
        <m:sSub>
          <m:sSubPr>
            <m:ctrlPr>
              <w:rPr>
                <w:rFonts w:ascii="Cambria Math" w:hAnsi="Cambria Math"/>
                <w:b w:val="0"/>
                <w:bCs w:val="0"/>
                <w:i/>
                <w:szCs w:val="24"/>
              </w:rPr>
            </m:ctrlPr>
          </m:sSubPr>
          <m:e>
            <m:r>
              <m:rPr>
                <m:sty m:val="bi"/>
              </m:rPr>
              <w:rPr>
                <w:rFonts w:ascii="Cambria Math" w:hAnsi="Cambria Math"/>
              </w:rPr>
              <m:t>N</m:t>
            </m:r>
          </m:e>
          <m:sub>
            <m:r>
              <m:rPr>
                <m:sty m:val="bi"/>
              </m:rPr>
              <w:rPr>
                <w:rFonts w:ascii="Cambria Math" w:hAnsi="Cambria Math"/>
              </w:rPr>
              <m:t>t</m:t>
            </m:r>
          </m:sub>
        </m:sSub>
      </m:oMath>
      <w:r w:rsidR="000D1898" w:rsidRPr="000D1898">
        <w:rPr>
          <w:b w:val="0"/>
          <w:bCs w:val="0"/>
        </w:rPr>
        <w:t xml:space="preserve"> (</w:t>
      </w:r>
      <m:oMath>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L</m:t>
            </m:r>
          </m:sub>
        </m:sSub>
        <m:r>
          <m:rPr>
            <m:sty m:val="bi"/>
          </m:rPr>
          <w:rPr>
            <w:rFonts w:ascii="Cambria Math" w:hAnsi="Cambria Math"/>
            <w:lang w:eastAsia="zh-CN"/>
          </w:rPr>
          <m:t>≥</m:t>
        </m:r>
        <m:sSub>
          <m:sSubPr>
            <m:ctrlPr>
              <w:rPr>
                <w:rFonts w:ascii="Cambria Math" w:hAnsi="Cambria Math"/>
                <w:b w:val="0"/>
                <w:bCs w:val="0"/>
                <w:i/>
                <w:szCs w:val="24"/>
                <w:lang w:eastAsia="zh-CN"/>
              </w:rPr>
            </m:ctrlPr>
          </m:sSubPr>
          <m:e>
            <m:r>
              <m:rPr>
                <m:sty m:val="bi"/>
              </m:rPr>
              <w:rPr>
                <w:rFonts w:ascii="Cambria Math" w:hAnsi="Cambria Math"/>
                <w:lang w:eastAsia="zh-CN"/>
              </w:rPr>
              <m:t>M</m:t>
            </m:r>
          </m:e>
          <m:sub>
            <m:r>
              <m:rPr>
                <m:sty m:val="bi"/>
              </m:rPr>
              <w:rPr>
                <w:rFonts w:ascii="Cambria Math" w:hAnsi="Cambria Math"/>
                <w:lang w:eastAsia="zh-CN"/>
              </w:rPr>
              <m:t>C</m:t>
            </m:r>
          </m:sub>
        </m:sSub>
      </m:oMath>
      <w:r w:rsidR="000D1898" w:rsidRPr="000D1898">
        <w:rPr>
          <w:b w:val="0"/>
          <w:bCs w:val="0"/>
        </w:rPr>
        <w:t xml:space="preserve">) and </w:t>
      </w:r>
      <m:oMath>
        <m:acc>
          <m:accPr>
            <m:ctrlPr>
              <w:rPr>
                <w:rFonts w:ascii="Cambria Math" w:hAnsi="Cambria Math"/>
                <w:b w:val="0"/>
                <w:bCs w:val="0"/>
                <w:i/>
                <w:szCs w:val="24"/>
              </w:rPr>
            </m:ctrlPr>
          </m:accPr>
          <m:e>
            <m:r>
              <m:rPr>
                <m:sty m:val="bi"/>
              </m:rPr>
              <w:rPr>
                <w:rFonts w:ascii="Cambria Math" w:hAnsi="Cambria Math"/>
              </w:rPr>
              <m:t>IW</m:t>
            </m:r>
          </m:e>
        </m:acc>
      </m:oMath>
      <w:r w:rsidR="000D1898" w:rsidRPr="000D1898">
        <w:rPr>
          <w:b w:val="0"/>
          <w:bCs w:val="0"/>
        </w:rPr>
        <w:t xml:space="preserve"> estimator calibrated between years 2006 and 2017 in the state of Oklahoma. The power law explains 77% of the bivariate behavior of monthly injection and earthquakes number. Upper and lower dashed lines representing standard errors of estimates have been added to the mean predicted values.</w:t>
      </w:r>
      <w:bookmarkEnd w:id="67"/>
      <w:bookmarkEnd w:id="68"/>
      <w:bookmarkEnd w:id="69"/>
      <w:bookmarkEnd w:id="70"/>
    </w:p>
    <w:p w14:paraId="4F5AB0CA" w14:textId="653D283F" w:rsidR="00A263E8" w:rsidRDefault="00A263E8" w:rsidP="00A263E8"/>
    <w:p w14:paraId="763DE42E" w14:textId="4DEB2892" w:rsidR="00A263E8" w:rsidRDefault="00465971" w:rsidP="00A263E8">
      <w:r w:rsidRPr="00465971">
        <w:t xml:space="preserve">We found that a power law of this type retrieves the highest coefficient of determination and explains 77% of the bivariate dependency between weighted cumulative regionally injected water </w:t>
      </w:r>
      <w:r w:rsidRPr="00465971">
        <w:lastRenderedPageBreak/>
        <w:t xml:space="preserve">and seismicity in north-central Oklahoma. Standard error lines also provide a statistical estimation of the average error when using this relationship in a predictive manner. Figure </w:t>
      </w:r>
      <w:r w:rsidR="003633A0">
        <w:t>2.</w:t>
      </w:r>
      <w:r w:rsidRPr="00465971">
        <w:t xml:space="preserve">8 </w:t>
      </w:r>
      <w:r w:rsidR="005411B8">
        <w:t xml:space="preserve">illustrates a </w:t>
      </w:r>
      <w:r w:rsidRPr="00465971">
        <w:t>compar</w:t>
      </w:r>
      <w:r w:rsidR="005411B8">
        <w:t xml:space="preserve">ison between </w:t>
      </w:r>
      <w:r w:rsidRPr="00465971">
        <w:t xml:space="preserve">historical benchmark periods with distinct seismic (e.g., number of events) activity in Oklahoma (see Section </w:t>
      </w:r>
      <w:r w:rsidR="003633A0">
        <w:t>2.</w:t>
      </w:r>
      <w:r w:rsidRPr="00465971">
        <w:t>4; Oklahoma Geological Survey, 2017). By applying this relationship to a scenario of hypothetical, constant-in-time</w:t>
      </w:r>
      <w:r w:rsidR="005411B8">
        <w:t xml:space="preserve"> </w:t>
      </w:r>
      <w:r w:rsidRPr="00465971">
        <w:t>injection rate</w:t>
      </w:r>
      <w:r w:rsidR="005411B8">
        <w:t>s</w:t>
      </w:r>
      <w:r w:rsidRPr="00465971">
        <w:t xml:space="preserve">, we can compare with historic benchmarks and study possibilities for sustainable oil and gas extraction limits (see Table </w:t>
      </w:r>
      <w:r w:rsidR="003633A0">
        <w:t>2.</w:t>
      </w:r>
      <w:r w:rsidRPr="00465971">
        <w:t xml:space="preserve">3) in terms of the expected number of seismic events (i.e,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Pr="00465971">
        <w:t xml:space="preserve">). The term “sustainable limit” in column 5 of Table </w:t>
      </w:r>
      <w:r w:rsidR="003633A0">
        <w:t>2.</w:t>
      </w:r>
      <w:r w:rsidRPr="00465971">
        <w:t xml:space="preserve">3 refers to potential maximum injection values per month that the Oklahoma state regulation authorities (e.g., OCC and/or EPA) could consider for regulation of the oil and gas industry. This by no means accounts for other influences on environmental issues like water or energy consumption, groundwater, land or air pollution. In this table, it appears that constant and continuous rates (i.e., </w:t>
      </w:r>
      <m:oMath>
        <m:sSub>
          <m:sSubPr>
            <m:ctrlPr>
              <w:rPr>
                <w:rFonts w:ascii="Cambria Math" w:hAnsi="Cambria Math"/>
                <w:i/>
              </w:rPr>
            </m:ctrlPr>
          </m:sSubPr>
          <m:e>
            <m:r>
              <w:rPr>
                <w:rFonts w:ascii="Cambria Math" w:hAnsi="Cambria Math"/>
              </w:rPr>
              <m:t>IW</m:t>
            </m:r>
          </m:e>
          <m:sub>
            <m:r>
              <w:rPr>
                <w:rFonts w:ascii="Cambria Math" w:hAnsi="Cambria Math"/>
              </w:rPr>
              <m:t>t-i</m:t>
            </m:r>
          </m:sub>
        </m:sSub>
      </m:oMath>
      <w:r w:rsidRPr="00465971">
        <w:t xml:space="preserve">) of 5.6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465971">
        <w:t xml:space="preserve"> (i = 0, 1, 2, 3, etc) could reduce the number of earthquakes to pre- year 2000 conditions to 1.55 earthquakes per year with magnitude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465971">
        <w:t xml:space="preserve">. However, one could also define other limits </w:t>
      </w:r>
      <w:r w:rsidR="005411B8">
        <w:t>such as</w:t>
      </w:r>
      <w:r w:rsidRPr="00465971">
        <w:t xml:space="preserve"> the mean water injection during the period 2003–2008 (6.8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465971">
        <w:t xml:space="preserve">) as a sustainable limit, but at the expense of potential additional seismic occurrences (5.1 </w:t>
      </w:r>
      <m:oMath>
        <m:f>
          <m:fPr>
            <m:type m:val="lin"/>
            <m:ctrlPr>
              <w:rPr>
                <w:rFonts w:ascii="Cambria Math" w:hAnsi="Cambria Math"/>
                <w:i/>
              </w:rPr>
            </m:ctrlPr>
          </m:fPr>
          <m:num>
            <m:r>
              <w:rPr>
                <w:rFonts w:ascii="Cambria Math" w:hAnsi="Cambria Math"/>
              </w:rPr>
              <m:t>events</m:t>
            </m:r>
          </m:num>
          <m:den>
            <m:r>
              <w:rPr>
                <w:rFonts w:ascii="Cambria Math" w:hAnsi="Cambria Math"/>
              </w:rPr>
              <m:t>year</m:t>
            </m:r>
          </m:den>
        </m:f>
      </m:oMath>
      <w:r w:rsidRPr="00465971">
        <w:t>) similar to the beginning of the 2000 decade or previous to the boom of oil and gas extraction (pre 2009–2015).</w:t>
      </w:r>
      <w:r w:rsidR="003633A0">
        <w:t xml:space="preserve"> </w:t>
      </w:r>
      <w:r w:rsidR="006A4A77">
        <w:t>A</w:t>
      </w:r>
      <w:r w:rsidRPr="00465971">
        <w:t xml:space="preserve">n increase in </w:t>
      </w:r>
      <m:oMath>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6</m:t>
            </m:r>
          </m:sup>
        </m:sSup>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465971">
        <w:t xml:space="preserve"> of injected water represents different changes in seismicity across the spectrum of IW values with larger values triggering dramatic increases in seismic events, </w:t>
      </w: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Pr="00465971">
        <w:t xml:space="preserve">. As an example, an increase of 1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465971">
        <w:t xml:space="preserve"> above 19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465971">
        <w:t xml:space="preserve"> (super-boom scenario) would represent more than 1000 additional earthquakes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465971">
        <w:t>) per year.</w:t>
      </w:r>
    </w:p>
    <w:p w14:paraId="136C5CFE" w14:textId="77777777" w:rsidR="006B2693" w:rsidRPr="006B2693" w:rsidRDefault="006B2693" w:rsidP="006B2693"/>
    <w:p w14:paraId="7BF60CC3" w14:textId="60712A5D" w:rsidR="00482191" w:rsidRDefault="00482191" w:rsidP="00482191">
      <w:pPr>
        <w:pStyle w:val="a3"/>
        <w:keepNext/>
        <w:ind w:firstLine="0"/>
        <w:jc w:val="left"/>
        <w:rPr>
          <w:b w:val="0"/>
          <w:bCs w:val="0"/>
        </w:rPr>
      </w:pPr>
      <w:bookmarkStart w:id="71" w:name="_Toc75361142"/>
      <w:r>
        <w:t xml:space="preserve">Table </w:t>
      </w:r>
      <w:r w:rsidR="00FC4232">
        <w:t>2</w:t>
      </w:r>
      <w:r w:rsidR="00685F41">
        <w:t>.</w:t>
      </w:r>
      <w:r>
        <w:fldChar w:fldCharType="begin"/>
      </w:r>
      <w:r>
        <w:instrText>SEQ Table \* ARABIC \s 1</w:instrText>
      </w:r>
      <w:r>
        <w:fldChar w:fldCharType="separate"/>
      </w:r>
      <w:r w:rsidR="00492676">
        <w:rPr>
          <w:noProof/>
        </w:rPr>
        <w:t>3</w:t>
      </w:r>
      <w:r>
        <w:fldChar w:fldCharType="end"/>
      </w:r>
      <w:r>
        <w:t xml:space="preserve">. </w:t>
      </w:r>
      <w:r w:rsidRPr="006B2693">
        <w:rPr>
          <w:b w:val="0"/>
          <w:bCs w:val="0"/>
        </w:rPr>
        <w:t xml:space="preserve">Predicting </w:t>
      </w:r>
      <m:oMath>
        <m:sSub>
          <m:sSubPr>
            <m:ctrlPr>
              <w:rPr>
                <w:rFonts w:ascii="Cambria Math" w:hAnsi="Cambria Math"/>
                <w:b w:val="0"/>
                <w:bCs w:val="0"/>
                <w:i/>
                <w:szCs w:val="24"/>
              </w:rPr>
            </m:ctrlPr>
          </m:sSubPr>
          <m:e>
            <m:r>
              <m:rPr>
                <m:sty m:val="bi"/>
              </m:rPr>
              <w:rPr>
                <w:rFonts w:ascii="Cambria Math" w:hAnsi="Cambria Math"/>
              </w:rPr>
              <m:t>N</m:t>
            </m:r>
          </m:e>
          <m:sub>
            <m:r>
              <m:rPr>
                <m:sty m:val="bi"/>
              </m:rPr>
              <w:rPr>
                <w:rFonts w:ascii="Cambria Math" w:hAnsi="Cambria Math"/>
              </w:rPr>
              <m:t>t</m:t>
            </m:r>
          </m:sub>
        </m:sSub>
      </m:oMath>
      <w:r w:rsidRPr="006B2693">
        <w:rPr>
          <w:b w:val="0"/>
          <w:bCs w:val="0"/>
        </w:rPr>
        <w:t xml:space="preserve"> (number of earthquakes/year) in terms of hypothetical scenarios of different weighted average ( </w:t>
      </w:r>
      <m:oMath>
        <m:acc>
          <m:accPr>
            <m:ctrlPr>
              <w:rPr>
                <w:rFonts w:ascii="Cambria Math" w:hAnsi="Cambria Math"/>
                <w:b w:val="0"/>
                <w:bCs w:val="0"/>
                <w:i/>
                <w:szCs w:val="24"/>
              </w:rPr>
            </m:ctrlPr>
          </m:accPr>
          <m:e>
            <m:r>
              <m:rPr>
                <m:sty m:val="bi"/>
              </m:rPr>
              <w:rPr>
                <w:rFonts w:ascii="Cambria Math" w:hAnsi="Cambria Math"/>
              </w:rPr>
              <m:t>IW</m:t>
            </m:r>
          </m:e>
        </m:acc>
      </m:oMath>
      <w:r w:rsidRPr="006B2693">
        <w:rPr>
          <w:b w:val="0"/>
          <w:bCs w:val="0"/>
        </w:rPr>
        <w:t xml:space="preserve">; Equation (2)) or monthly constant IW in light of historical </w:t>
      </w:r>
      <w:r w:rsidRPr="006B2693">
        <w:rPr>
          <w:b w:val="0"/>
          <w:bCs w:val="0"/>
        </w:rPr>
        <w:lastRenderedPageBreak/>
        <w:t xml:space="preserve">records and benchmark periods. Uncertainty interval estimates have been added to each predicted </w:t>
      </w:r>
      <m:oMath>
        <m:sSub>
          <m:sSubPr>
            <m:ctrlPr>
              <w:rPr>
                <w:rFonts w:ascii="Cambria Math" w:hAnsi="Cambria Math"/>
                <w:b w:val="0"/>
                <w:bCs w:val="0"/>
                <w:i/>
                <w:szCs w:val="24"/>
              </w:rPr>
            </m:ctrlPr>
          </m:sSubPr>
          <m:e>
            <m:r>
              <m:rPr>
                <m:sty m:val="bi"/>
              </m:rPr>
              <w:rPr>
                <w:rFonts w:ascii="Cambria Math" w:hAnsi="Cambria Math"/>
              </w:rPr>
              <m:t>N</m:t>
            </m:r>
          </m:e>
          <m:sub>
            <m:r>
              <m:rPr>
                <m:sty m:val="bi"/>
              </m:rPr>
              <w:rPr>
                <w:rFonts w:ascii="Cambria Math" w:hAnsi="Cambria Math"/>
              </w:rPr>
              <m:t>t</m:t>
            </m:r>
          </m:sub>
        </m:sSub>
      </m:oMath>
      <w:r w:rsidRPr="006B2693">
        <w:rPr>
          <w:b w:val="0"/>
          <w:bCs w:val="0"/>
        </w:rPr>
        <w:t>. Historical benchmark periods have been extracted from section 4 this manuscript for reasons of comparison.</w:t>
      </w:r>
      <w:bookmarkEnd w:id="71"/>
    </w:p>
    <w:p w14:paraId="098EEB87" w14:textId="29549485" w:rsidR="00482191" w:rsidRDefault="00482191" w:rsidP="00482191">
      <w:pPr>
        <w:pStyle w:val="a3"/>
        <w:keepNext/>
      </w:pPr>
    </w:p>
    <w:tbl>
      <w:tblPr>
        <w:tblStyle w:val="21"/>
        <w:tblW w:w="0" w:type="auto"/>
        <w:tblLook w:val="04A0" w:firstRow="1" w:lastRow="0" w:firstColumn="1" w:lastColumn="0" w:noHBand="0" w:noVBand="1"/>
      </w:tblPr>
      <w:tblGrid>
        <w:gridCol w:w="2315"/>
        <w:gridCol w:w="2041"/>
        <w:gridCol w:w="2041"/>
        <w:gridCol w:w="1487"/>
        <w:gridCol w:w="1476"/>
      </w:tblGrid>
      <w:tr w:rsidR="000566E4" w14:paraId="2DF20E6D" w14:textId="77777777" w:rsidTr="00482191">
        <w:trPr>
          <w:cnfStyle w:val="100000000000" w:firstRow="1" w:lastRow="0" w:firstColumn="0" w:lastColumn="0" w:oddVBand="0" w:evenVBand="0" w:oddHBand="0"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2315" w:type="dxa"/>
          </w:tcPr>
          <w:p w14:paraId="62BC128A" w14:textId="77777777" w:rsidR="00281C40" w:rsidRPr="00D92776" w:rsidRDefault="00143C6C" w:rsidP="00281C40">
            <w:pPr>
              <w:ind w:firstLine="0"/>
              <w:jc w:val="center"/>
              <w:rPr>
                <w:b w:val="0"/>
                <w:bCs w:val="0"/>
              </w:rPr>
            </w:pPr>
            <m:oMathPara>
              <m:oMath>
                <m:acc>
                  <m:accPr>
                    <m:ctrlPr>
                      <w:rPr>
                        <w:rFonts w:ascii="Cambria Math" w:hAnsi="Cambria Math"/>
                        <w:i/>
                      </w:rPr>
                    </m:ctrlPr>
                  </m:accPr>
                  <m:e>
                    <m:r>
                      <m:rPr>
                        <m:sty m:val="bi"/>
                      </m:rPr>
                      <w:rPr>
                        <w:rFonts w:ascii="Cambria Math" w:hAnsi="Cambria Math"/>
                      </w:rPr>
                      <m:t>IW</m:t>
                    </m:r>
                  </m:e>
                </m:acc>
              </m:oMath>
            </m:oMathPara>
          </w:p>
          <w:p w14:paraId="125FA7AF" w14:textId="64202873" w:rsidR="00D92776" w:rsidRDefault="00143C6C" w:rsidP="00281C40">
            <w:pPr>
              <w:ind w:firstLine="0"/>
              <w:jc w:val="center"/>
            </w:pPr>
            <m:oMathPara>
              <m:oMath>
                <m:d>
                  <m:dPr>
                    <m:ctrlPr>
                      <w:rPr>
                        <w:rFonts w:ascii="Cambria Math" w:hAnsi="Cambria Math"/>
                        <w:b w:val="0"/>
                        <w:bCs w:val="0"/>
                        <w:i/>
                      </w:rPr>
                    </m:ctrlPr>
                  </m:dPr>
                  <m:e>
                    <m:r>
                      <m:rPr>
                        <m:sty m:val="bi"/>
                      </m:rPr>
                      <w:rPr>
                        <w:rFonts w:ascii="Cambria Math" w:hAnsi="Cambria Math"/>
                      </w:rPr>
                      <m:t>×</m:t>
                    </m:r>
                    <m:sSup>
                      <m:sSupPr>
                        <m:ctrlPr>
                          <w:rPr>
                            <w:rFonts w:ascii="Cambria Math" w:hAnsi="Cambria Math"/>
                            <w:b w:val="0"/>
                            <w:bCs w:val="0"/>
                            <w:i/>
                          </w:rPr>
                        </m:ctrlPr>
                      </m:sSupPr>
                      <m:e>
                        <m:r>
                          <m:rPr>
                            <m:sty m:val="bi"/>
                          </m:rPr>
                          <w:rPr>
                            <w:rFonts w:ascii="Cambria Math" w:hAnsi="Cambria Math"/>
                          </w:rPr>
                          <m:t>10</m:t>
                        </m:r>
                      </m:e>
                      <m:sup>
                        <m:r>
                          <m:rPr>
                            <m:sty m:val="bi"/>
                          </m:rPr>
                          <w:rPr>
                            <w:rFonts w:ascii="Cambria Math" w:hAnsi="Cambria Math"/>
                          </w:rPr>
                          <m:t>6</m:t>
                        </m:r>
                      </m:sup>
                    </m:sSup>
                    <m:f>
                      <m:fPr>
                        <m:type m:val="lin"/>
                        <m:ctrlPr>
                          <w:rPr>
                            <w:rFonts w:ascii="Cambria Math" w:hAnsi="Cambria Math"/>
                            <w:b w:val="0"/>
                            <w:bCs w:val="0"/>
                            <w:i/>
                          </w:rPr>
                        </m:ctrlPr>
                      </m:fPr>
                      <m:num>
                        <m:sSup>
                          <m:sSupPr>
                            <m:ctrlPr>
                              <w:rPr>
                                <w:rFonts w:ascii="Cambria Math" w:hAnsi="Cambria Math"/>
                                <w:b w:val="0"/>
                                <w:bCs w:val="0"/>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month</m:t>
                        </m:r>
                      </m:den>
                    </m:f>
                  </m:e>
                </m:d>
              </m:oMath>
            </m:oMathPara>
          </w:p>
        </w:tc>
        <w:tc>
          <w:tcPr>
            <w:tcW w:w="2041" w:type="dxa"/>
          </w:tcPr>
          <w:p w14:paraId="294CD793" w14:textId="68E2CF5E" w:rsidR="00281C40" w:rsidRPr="00746347" w:rsidRDefault="00143C6C" w:rsidP="00281C40">
            <w:pPr>
              <w:ind w:firstLine="0"/>
              <w:jc w:val="cente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t</m:t>
                    </m:r>
                  </m:sub>
                </m:sSub>
              </m:oMath>
            </m:oMathPara>
          </w:p>
          <w:p w14:paraId="722DB105" w14:textId="35D4AF04" w:rsidR="00D92776" w:rsidRPr="00D92776" w:rsidRDefault="00143C6C" w:rsidP="00281C40">
            <w:pPr>
              <w:ind w:firstLine="0"/>
              <w:jc w:val="center"/>
              <w:cnfStyle w:val="100000000000" w:firstRow="1" w:lastRow="0" w:firstColumn="0" w:lastColumn="0" w:oddVBand="0" w:evenVBand="0" w:oddHBand="0" w:evenHBand="0" w:firstRowFirstColumn="0" w:firstRowLastColumn="0" w:lastRowFirstColumn="0" w:lastRowLastColumn="0"/>
            </w:pPr>
            <m:oMathPara>
              <m:oMath>
                <m:d>
                  <m:dPr>
                    <m:ctrlPr>
                      <w:rPr>
                        <w:rFonts w:ascii="Cambria Math" w:hAnsi="Cambria Math"/>
                        <w:i/>
                      </w:rPr>
                    </m:ctrlPr>
                  </m:dPr>
                  <m:e>
                    <m:f>
                      <m:fPr>
                        <m:type m:val="lin"/>
                        <m:ctrlPr>
                          <w:rPr>
                            <w:rFonts w:ascii="Cambria Math" w:hAnsi="Cambria Math"/>
                            <w:b w:val="0"/>
                            <w:bCs w:val="0"/>
                            <w:i/>
                          </w:rPr>
                        </m:ctrlPr>
                      </m:fPr>
                      <m:num>
                        <m:r>
                          <m:rPr>
                            <m:sty m:val="bi"/>
                          </m:rPr>
                          <w:rPr>
                            <w:rFonts w:ascii="Cambria Math" w:hAnsi="Cambria Math"/>
                          </w:rPr>
                          <m:t>number</m:t>
                        </m:r>
                      </m:num>
                      <m:den>
                        <m:r>
                          <m:rPr>
                            <m:sty m:val="bi"/>
                          </m:rPr>
                          <w:rPr>
                            <w:rFonts w:ascii="Cambria Math" w:hAnsi="Cambria Math"/>
                          </w:rPr>
                          <m:t>year</m:t>
                        </m:r>
                      </m:den>
                    </m:f>
                  </m:e>
                </m:d>
              </m:oMath>
            </m:oMathPara>
          </w:p>
          <w:p w14:paraId="7AB09A25" w14:textId="0FA78959" w:rsidR="00D92776" w:rsidRPr="00D92776" w:rsidRDefault="00D92776" w:rsidP="007F3B01">
            <w:pPr>
              <w:ind w:firstLine="0"/>
              <w:cnfStyle w:val="100000000000" w:firstRow="1" w:lastRow="0" w:firstColumn="0" w:lastColumn="0" w:oddVBand="0" w:evenVBand="0" w:oddHBand="0" w:evenHBand="0" w:firstRowFirstColumn="0" w:firstRowLastColumn="0" w:lastRowFirstColumn="0" w:lastRowLastColumn="0"/>
            </w:pPr>
          </w:p>
        </w:tc>
        <w:tc>
          <w:tcPr>
            <w:tcW w:w="2041" w:type="dxa"/>
          </w:tcPr>
          <w:p w14:paraId="1AE9661C" w14:textId="07D8A194" w:rsidR="00281C40" w:rsidRPr="0061525C" w:rsidRDefault="00143C6C" w:rsidP="00281C40">
            <w:pPr>
              <w:ind w:firstLine="0"/>
              <w:jc w:val="center"/>
              <w:cnfStyle w:val="100000000000" w:firstRow="1" w:lastRow="0" w:firstColumn="0" w:lastColumn="0" w:oddVBand="0" w:evenVBand="0" w:oddHBand="0" w:evenHBand="0" w:firstRowFirstColumn="0" w:firstRowLastColumn="0" w:lastRowFirstColumn="0" w:lastRowLastColumn="0"/>
              <w:rPr>
                <w:b w:val="0"/>
                <w:bCs w:val="0"/>
              </w:rPr>
            </w:pPr>
            <m:oMathPara>
              <m:oMath>
                <m:sSub>
                  <m:sSubPr>
                    <m:ctrlPr>
                      <w:rPr>
                        <w:rFonts w:ascii="Cambria Math" w:hAnsi="Cambria Math"/>
                        <w:i/>
                      </w:rPr>
                    </m:ctrlPr>
                  </m:sSubPr>
                  <m:e>
                    <m:r>
                      <m:rPr>
                        <m:sty m:val="bi"/>
                      </m:rPr>
                      <w:rPr>
                        <w:rFonts w:ascii="Cambria Math" w:hAnsi="Cambria Math"/>
                      </w:rPr>
                      <m:t>N</m:t>
                    </m:r>
                  </m:e>
                  <m:sub>
                    <m:r>
                      <m:rPr>
                        <m:sty m:val="bi"/>
                      </m:rPr>
                      <w:rPr>
                        <w:rFonts w:ascii="Cambria Math" w:hAnsi="Cambria Math"/>
                      </w:rPr>
                      <m:t>t</m:t>
                    </m:r>
                  </m:sub>
                </m:sSub>
                <m:r>
                  <m:rPr>
                    <m:sty m:val="bi"/>
                  </m:rPr>
                  <w:rPr>
                    <w:rFonts w:ascii="Cambria Math" w:hAnsi="Cambria Math"/>
                  </w:rPr>
                  <m:t xml:space="preserve"> </m:t>
                </m:r>
                <m:r>
                  <m:rPr>
                    <m:sty m:val="b"/>
                  </m:rPr>
                  <w:rPr>
                    <w:rFonts w:ascii="Cambria Math" w:hAnsi="Cambria Math"/>
                  </w:rPr>
                  <m:t>Interval</m:t>
                </m:r>
              </m:oMath>
            </m:oMathPara>
          </w:p>
          <w:p w14:paraId="0B61D18B" w14:textId="77777777" w:rsidR="0061525C" w:rsidRPr="0061525C" w:rsidRDefault="00143C6C" w:rsidP="00281C40">
            <w:pPr>
              <w:ind w:firstLine="0"/>
              <w:jc w:val="center"/>
              <w:cnfStyle w:val="100000000000" w:firstRow="1" w:lastRow="0" w:firstColumn="0" w:lastColumn="0" w:oddVBand="0" w:evenVBand="0" w:oddHBand="0" w:evenHBand="0" w:firstRowFirstColumn="0" w:firstRowLastColumn="0" w:lastRowFirstColumn="0" w:lastRowLastColumn="0"/>
            </w:pPr>
            <m:oMathPara>
              <m:oMath>
                <m:d>
                  <m:dPr>
                    <m:begChr m:val="["/>
                    <m:endChr m:val="]"/>
                    <m:ctrlPr>
                      <w:rPr>
                        <w:rFonts w:ascii="Cambria Math" w:hAnsi="Cambria Math"/>
                        <w:b w:val="0"/>
                        <w:bCs w:val="0"/>
                        <w:i/>
                      </w:rPr>
                    </m:ctrlPr>
                  </m:dPr>
                  <m:e>
                    <m:r>
                      <m:rPr>
                        <m:sty m:val="bi"/>
                      </m:rPr>
                      <w:rPr>
                        <w:rFonts w:ascii="Cambria Math" w:hAnsi="Cambria Math"/>
                      </w:rPr>
                      <m:t>min, max</m:t>
                    </m:r>
                  </m:e>
                </m:d>
              </m:oMath>
            </m:oMathPara>
          </w:p>
          <w:p w14:paraId="641678C6" w14:textId="5E43DDA4" w:rsidR="0061525C" w:rsidRPr="0061525C" w:rsidRDefault="00143C6C" w:rsidP="00281C40">
            <w:pPr>
              <w:ind w:firstLine="0"/>
              <w:jc w:val="center"/>
              <w:cnfStyle w:val="100000000000" w:firstRow="1" w:lastRow="0" w:firstColumn="0" w:lastColumn="0" w:oddVBand="0" w:evenVBand="0" w:oddHBand="0" w:evenHBand="0" w:firstRowFirstColumn="0" w:firstRowLastColumn="0" w:lastRowFirstColumn="0" w:lastRowLastColumn="0"/>
              <w:rPr>
                <w:b w:val="0"/>
                <w:bCs w:val="0"/>
              </w:rPr>
            </w:pPr>
            <m:oMathPara>
              <m:oMath>
                <m:d>
                  <m:dPr>
                    <m:ctrlPr>
                      <w:rPr>
                        <w:rFonts w:ascii="Cambria Math" w:hAnsi="Cambria Math"/>
                        <w:i/>
                      </w:rPr>
                    </m:ctrlPr>
                  </m:dPr>
                  <m:e>
                    <m:f>
                      <m:fPr>
                        <m:type m:val="lin"/>
                        <m:ctrlPr>
                          <w:rPr>
                            <w:rFonts w:ascii="Cambria Math" w:hAnsi="Cambria Math"/>
                            <w:b w:val="0"/>
                            <w:bCs w:val="0"/>
                            <w:i/>
                          </w:rPr>
                        </m:ctrlPr>
                      </m:fPr>
                      <m:num>
                        <m:r>
                          <m:rPr>
                            <m:sty m:val="bi"/>
                          </m:rPr>
                          <w:rPr>
                            <w:rFonts w:ascii="Cambria Math" w:hAnsi="Cambria Math"/>
                          </w:rPr>
                          <m:t>number</m:t>
                        </m:r>
                      </m:num>
                      <m:den>
                        <m:r>
                          <m:rPr>
                            <m:sty m:val="bi"/>
                          </m:rPr>
                          <w:rPr>
                            <w:rFonts w:ascii="Cambria Math" w:hAnsi="Cambria Math"/>
                          </w:rPr>
                          <m:t>year</m:t>
                        </m:r>
                      </m:den>
                    </m:f>
                  </m:e>
                </m:d>
              </m:oMath>
            </m:oMathPara>
          </w:p>
        </w:tc>
        <w:tc>
          <w:tcPr>
            <w:tcW w:w="1593" w:type="dxa"/>
          </w:tcPr>
          <w:p w14:paraId="4D241D2B" w14:textId="25DDB7BF" w:rsidR="00281C40" w:rsidRDefault="000566E4" w:rsidP="00281C40">
            <w:pPr>
              <w:ind w:firstLine="0"/>
              <w:jc w:val="center"/>
              <w:cnfStyle w:val="100000000000" w:firstRow="1" w:lastRow="0" w:firstColumn="0" w:lastColumn="0" w:oddVBand="0" w:evenVBand="0" w:oddHBand="0" w:evenHBand="0" w:firstRowFirstColumn="0" w:firstRowLastColumn="0" w:lastRowFirstColumn="0" w:lastRowLastColumn="0"/>
            </w:pPr>
            <w:r>
              <w:t>Historical Benchmark Period</w:t>
            </w:r>
          </w:p>
        </w:tc>
        <w:tc>
          <w:tcPr>
            <w:tcW w:w="1586" w:type="dxa"/>
          </w:tcPr>
          <w:p w14:paraId="7D7FE145" w14:textId="44048BA4" w:rsidR="00281C40" w:rsidRDefault="000566E4" w:rsidP="00281C40">
            <w:pPr>
              <w:ind w:firstLine="0"/>
              <w:jc w:val="center"/>
              <w:cnfStyle w:val="100000000000" w:firstRow="1" w:lastRow="0" w:firstColumn="0" w:lastColumn="0" w:oddVBand="0" w:evenVBand="0" w:oddHBand="0" w:evenHBand="0" w:firstRowFirstColumn="0" w:firstRowLastColumn="0" w:lastRowFirstColumn="0" w:lastRowLastColumn="0"/>
            </w:pPr>
            <w:r>
              <w:t>Sustainable Limit?</w:t>
            </w:r>
          </w:p>
        </w:tc>
      </w:tr>
      <w:tr w:rsidR="0061525C" w14:paraId="2693960F"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3A2036E7" w14:textId="5E33E03B" w:rsidR="00281C40" w:rsidRDefault="001935DA" w:rsidP="00281C40">
            <w:pPr>
              <w:ind w:firstLine="0"/>
              <w:jc w:val="center"/>
            </w:pPr>
            <w:r>
              <w:t>1</w:t>
            </w:r>
          </w:p>
        </w:tc>
        <w:tc>
          <w:tcPr>
            <w:tcW w:w="2041" w:type="dxa"/>
          </w:tcPr>
          <w:p w14:paraId="00E70474" w14:textId="2408A0FF" w:rsidR="00281C40"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3.5×</m:t>
                </m:r>
                <m:sSup>
                  <m:sSupPr>
                    <m:ctrlPr>
                      <w:rPr>
                        <w:rFonts w:ascii="Cambria Math" w:hAnsi="Cambria Math"/>
                        <w:i/>
                      </w:rPr>
                    </m:ctrlPr>
                  </m:sSupPr>
                  <m:e>
                    <m:r>
                      <w:rPr>
                        <w:rFonts w:ascii="Cambria Math" w:hAnsi="Cambria Math"/>
                      </w:rPr>
                      <m:t>10</m:t>
                    </m:r>
                  </m:e>
                  <m:sup>
                    <m:r>
                      <w:rPr>
                        <w:rFonts w:ascii="Cambria Math" w:hAnsi="Cambria Math"/>
                      </w:rPr>
                      <m:t>-5</m:t>
                    </m:r>
                  </m:sup>
                </m:sSup>
              </m:oMath>
            </m:oMathPara>
          </w:p>
        </w:tc>
        <w:tc>
          <w:tcPr>
            <w:tcW w:w="2041" w:type="dxa"/>
          </w:tcPr>
          <w:p w14:paraId="294560EC" w14:textId="26A3D4E7" w:rsidR="00D112C9" w:rsidRPr="00D112C9" w:rsidRDefault="00D112C9" w:rsidP="00D112C9">
            <w:pPr>
              <w:ind w:firstLine="0"/>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2.53×</m:t>
                </m:r>
                <m:sSup>
                  <m:sSupPr>
                    <m:ctrlPr>
                      <w:rPr>
                        <w:rFonts w:ascii="Cambria Math" w:hAnsi="Cambria Math"/>
                        <w:i/>
                      </w:rPr>
                    </m:ctrlPr>
                  </m:sSupPr>
                  <m:e>
                    <m:r>
                      <w:rPr>
                        <w:rFonts w:ascii="Cambria Math" w:hAnsi="Cambria Math"/>
                      </w:rPr>
                      <m:t>10</m:t>
                    </m:r>
                  </m:e>
                  <m:sup>
                    <m:r>
                      <w:rPr>
                        <w:rFonts w:ascii="Cambria Math" w:hAnsi="Cambria Math"/>
                      </w:rPr>
                      <m:t>-5</m:t>
                    </m:r>
                  </m:sup>
                </m:sSup>
                <m:r>
                  <w:rPr>
                    <w:rFonts w:ascii="Cambria Math" w:hAnsi="Cambria Math"/>
                  </w:rPr>
                  <m:t>,</m:t>
                </m:r>
              </m:oMath>
            </m:oMathPara>
          </w:p>
          <w:p w14:paraId="39A28306" w14:textId="2B2E3494" w:rsidR="00D112C9" w:rsidRPr="00D112C9" w:rsidRDefault="00D112C9" w:rsidP="00D112C9">
            <w:pPr>
              <w:ind w:firstLine="0"/>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5.87×</m:t>
                </m:r>
                <m:sSup>
                  <m:sSupPr>
                    <m:ctrlPr>
                      <w:rPr>
                        <w:rFonts w:ascii="Cambria Math" w:hAnsi="Cambria Math"/>
                        <w:i/>
                      </w:rPr>
                    </m:ctrlPr>
                  </m:sSupPr>
                  <m:e>
                    <m:r>
                      <w:rPr>
                        <w:rFonts w:ascii="Cambria Math" w:hAnsi="Cambria Math"/>
                      </w:rPr>
                      <m:t>10</m:t>
                    </m:r>
                  </m:e>
                  <m:sup>
                    <m:r>
                      <w:rPr>
                        <w:rFonts w:ascii="Cambria Math" w:hAnsi="Cambria Math"/>
                      </w:rPr>
                      <m:t>-5</m:t>
                    </m:r>
                  </m:sup>
                </m:sSup>
              </m:oMath>
            </m:oMathPara>
          </w:p>
        </w:tc>
        <w:tc>
          <w:tcPr>
            <w:tcW w:w="1593" w:type="dxa"/>
          </w:tcPr>
          <w:p w14:paraId="2A894F74" w14:textId="34DE201E" w:rsidR="00281C40" w:rsidRDefault="00013D90"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70B9E503" w14:textId="2F9BB80E" w:rsidR="00281C40" w:rsidRDefault="00A916B8"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0566E4" w14:paraId="73B1A920"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06F07B92" w14:textId="072E2B17" w:rsidR="00281C40" w:rsidRDefault="001935DA" w:rsidP="00281C40">
            <w:pPr>
              <w:ind w:firstLine="0"/>
              <w:jc w:val="center"/>
            </w:pPr>
            <w:r>
              <w:t>3</w:t>
            </w:r>
          </w:p>
        </w:tc>
        <w:tc>
          <w:tcPr>
            <w:tcW w:w="2041" w:type="dxa"/>
          </w:tcPr>
          <w:p w14:paraId="52C13368" w14:textId="142DAAAF" w:rsidR="00281C40"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0.03</w:t>
            </w:r>
          </w:p>
        </w:tc>
        <w:tc>
          <w:tcPr>
            <w:tcW w:w="2041" w:type="dxa"/>
          </w:tcPr>
          <w:p w14:paraId="58DDEC6E" w14:textId="79C5DA67" w:rsidR="00281C40"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0.02, 0.05</w:t>
            </w:r>
          </w:p>
        </w:tc>
        <w:tc>
          <w:tcPr>
            <w:tcW w:w="1593" w:type="dxa"/>
          </w:tcPr>
          <w:p w14:paraId="54C41505" w14:textId="327096A1" w:rsidR="00281C40" w:rsidRDefault="00013D90"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c>
          <w:tcPr>
            <w:tcW w:w="1586" w:type="dxa"/>
          </w:tcPr>
          <w:p w14:paraId="01675196" w14:textId="03F0C097" w:rsidR="00281C40" w:rsidRDefault="00A916B8"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r>
      <w:tr w:rsidR="0061525C" w14:paraId="0911EA4A"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01B23554" w14:textId="1137BF84" w:rsidR="00281C40" w:rsidRDefault="001935DA" w:rsidP="00281C40">
            <w:pPr>
              <w:ind w:firstLine="0"/>
              <w:jc w:val="center"/>
            </w:pPr>
            <w:r>
              <w:t>5</w:t>
            </w:r>
          </w:p>
        </w:tc>
        <w:tc>
          <w:tcPr>
            <w:tcW w:w="2041" w:type="dxa"/>
          </w:tcPr>
          <w:p w14:paraId="2CB48A8B" w14:textId="10B4F0F6" w:rsidR="00281C40"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0.76</w:t>
            </w:r>
          </w:p>
        </w:tc>
        <w:tc>
          <w:tcPr>
            <w:tcW w:w="2041" w:type="dxa"/>
          </w:tcPr>
          <w:p w14:paraId="2533C4BA" w14:textId="50C6E61E" w:rsidR="00281C40"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0.50, 1.17</w:t>
            </w:r>
          </w:p>
        </w:tc>
        <w:tc>
          <w:tcPr>
            <w:tcW w:w="1593" w:type="dxa"/>
          </w:tcPr>
          <w:p w14:paraId="4E0ECFF6" w14:textId="244F7256" w:rsidR="00281C40" w:rsidRDefault="00013D90"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294CF9A5" w14:textId="4619099E" w:rsidR="00281C40" w:rsidRDefault="00A916B8"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0566E4" w14:paraId="77A2E4FC"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0F55C6F8" w14:textId="0B6F3D5E" w:rsidR="00281C40" w:rsidRDefault="001935DA" w:rsidP="00281C40">
            <w:pPr>
              <w:ind w:firstLine="0"/>
              <w:jc w:val="center"/>
            </w:pPr>
            <w:r>
              <w:t>5.6</w:t>
            </w:r>
          </w:p>
        </w:tc>
        <w:tc>
          <w:tcPr>
            <w:tcW w:w="2041" w:type="dxa"/>
          </w:tcPr>
          <w:p w14:paraId="68BEC067" w14:textId="1AE6C168" w:rsidR="00281C40"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1.54</w:t>
            </w:r>
          </w:p>
        </w:tc>
        <w:tc>
          <w:tcPr>
            <w:tcW w:w="2041" w:type="dxa"/>
          </w:tcPr>
          <w:p w14:paraId="78E824FA" w14:textId="17341718" w:rsidR="00281C40"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1.01, 2.34</w:t>
            </w:r>
          </w:p>
        </w:tc>
        <w:tc>
          <w:tcPr>
            <w:tcW w:w="1593" w:type="dxa"/>
          </w:tcPr>
          <w:p w14:paraId="7CDF8ACB" w14:textId="0F47241D" w:rsidR="00281C40" w:rsidRPr="00013D90" w:rsidRDefault="0041389B" w:rsidP="00281C40">
            <w:pPr>
              <w:ind w:firstLine="0"/>
              <w:jc w:val="center"/>
              <w:cnfStyle w:val="000000000000" w:firstRow="0" w:lastRow="0" w:firstColumn="0" w:lastColumn="0" w:oddVBand="0" w:evenVBand="0" w:oddHBand="0" w:evenHBand="0" w:firstRowFirstColumn="0" w:firstRowLastColumn="0" w:lastRowFirstColumn="0" w:lastRowLastColumn="0"/>
            </w:pPr>
            <w:r>
              <w:t>1884-2002</w:t>
            </w:r>
          </w:p>
        </w:tc>
        <w:tc>
          <w:tcPr>
            <w:tcW w:w="1586" w:type="dxa"/>
          </w:tcPr>
          <w:p w14:paraId="26DC973E" w14:textId="5BE752D5" w:rsidR="00281C40" w:rsidRDefault="00A916B8" w:rsidP="00281C40">
            <w:pPr>
              <w:ind w:firstLine="0"/>
              <w:jc w:val="center"/>
              <w:cnfStyle w:val="000000000000" w:firstRow="0" w:lastRow="0" w:firstColumn="0" w:lastColumn="0" w:oddVBand="0" w:evenVBand="0" w:oddHBand="0" w:evenHBand="0" w:firstRowFirstColumn="0" w:firstRowLastColumn="0" w:lastRowFirstColumn="0" w:lastRowLastColumn="0"/>
            </w:pPr>
            <w:r>
              <w:t>Pre-2002</w:t>
            </w:r>
          </w:p>
        </w:tc>
      </w:tr>
      <w:tr w:rsidR="0061525C" w14:paraId="624400B2"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3F3791FB" w14:textId="459F2D1F" w:rsidR="00281C40" w:rsidRDefault="001935DA" w:rsidP="00281C40">
            <w:pPr>
              <w:ind w:firstLine="0"/>
              <w:jc w:val="center"/>
            </w:pPr>
            <w:r>
              <w:t>6.8</w:t>
            </w:r>
          </w:p>
        </w:tc>
        <w:tc>
          <w:tcPr>
            <w:tcW w:w="2041" w:type="dxa"/>
          </w:tcPr>
          <w:p w14:paraId="51E81C87" w14:textId="0C67F511" w:rsidR="00281C40"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5.07</w:t>
            </w:r>
          </w:p>
        </w:tc>
        <w:tc>
          <w:tcPr>
            <w:tcW w:w="2041" w:type="dxa"/>
          </w:tcPr>
          <w:p w14:paraId="509B58C9" w14:textId="752C658C" w:rsidR="00281C40"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3.32, 7.21</w:t>
            </w:r>
          </w:p>
        </w:tc>
        <w:tc>
          <w:tcPr>
            <w:tcW w:w="1593" w:type="dxa"/>
          </w:tcPr>
          <w:p w14:paraId="72A9E684" w14:textId="27906C05" w:rsidR="00281C40" w:rsidRDefault="0041389B" w:rsidP="00281C40">
            <w:pPr>
              <w:ind w:firstLine="0"/>
              <w:jc w:val="center"/>
              <w:cnfStyle w:val="000000100000" w:firstRow="0" w:lastRow="0" w:firstColumn="0" w:lastColumn="0" w:oddVBand="0" w:evenVBand="0" w:oddHBand="1" w:evenHBand="0" w:firstRowFirstColumn="0" w:firstRowLastColumn="0" w:lastRowFirstColumn="0" w:lastRowLastColumn="0"/>
            </w:pPr>
            <w:r>
              <w:t>2003-2008</w:t>
            </w:r>
          </w:p>
        </w:tc>
        <w:tc>
          <w:tcPr>
            <w:tcW w:w="1586" w:type="dxa"/>
          </w:tcPr>
          <w:p w14:paraId="7AFD4B70" w14:textId="352E3A54" w:rsidR="00281C40" w:rsidRDefault="00A916B8" w:rsidP="00281C40">
            <w:pPr>
              <w:ind w:firstLine="0"/>
              <w:jc w:val="center"/>
              <w:cnfStyle w:val="000000100000" w:firstRow="0" w:lastRow="0" w:firstColumn="0" w:lastColumn="0" w:oddVBand="0" w:evenVBand="0" w:oddHBand="1" w:evenHBand="0" w:firstRowFirstColumn="0" w:firstRowLastColumn="0" w:lastRowFirstColumn="0" w:lastRowLastColumn="0"/>
            </w:pPr>
            <w:r>
              <w:t>Pre oil and gas boom (2003-2008)</w:t>
            </w:r>
          </w:p>
        </w:tc>
      </w:tr>
      <w:tr w:rsidR="000566E4" w14:paraId="74F34196"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65DB93FD" w14:textId="0692CEF7" w:rsidR="00281C40" w:rsidRDefault="001935DA" w:rsidP="00281C40">
            <w:pPr>
              <w:ind w:firstLine="0"/>
              <w:jc w:val="center"/>
            </w:pPr>
            <w:r>
              <w:t>7</w:t>
            </w:r>
          </w:p>
        </w:tc>
        <w:tc>
          <w:tcPr>
            <w:tcW w:w="2041" w:type="dxa"/>
          </w:tcPr>
          <w:p w14:paraId="33C93D42" w14:textId="34916EE7" w:rsidR="00281C40"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6.05</w:t>
            </w:r>
          </w:p>
        </w:tc>
        <w:tc>
          <w:tcPr>
            <w:tcW w:w="2041" w:type="dxa"/>
          </w:tcPr>
          <w:p w14:paraId="4A3FD97A" w14:textId="793B692E" w:rsidR="00281C40"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3.97, 9.23</w:t>
            </w:r>
          </w:p>
        </w:tc>
        <w:tc>
          <w:tcPr>
            <w:tcW w:w="1593" w:type="dxa"/>
          </w:tcPr>
          <w:p w14:paraId="0E87089F" w14:textId="5F814B7D" w:rsidR="00281C40" w:rsidRDefault="0041389B"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c>
          <w:tcPr>
            <w:tcW w:w="1586" w:type="dxa"/>
          </w:tcPr>
          <w:p w14:paraId="6D62736E" w14:textId="49806775" w:rsidR="00281C40" w:rsidRDefault="00A916B8"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r>
      <w:tr w:rsidR="0061525C" w14:paraId="19B2514A"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332816CC" w14:textId="491A7EE5" w:rsidR="00281C40" w:rsidRDefault="001935DA" w:rsidP="00281C40">
            <w:pPr>
              <w:ind w:firstLine="0"/>
              <w:jc w:val="center"/>
            </w:pPr>
            <w:r>
              <w:t>9</w:t>
            </w:r>
          </w:p>
        </w:tc>
        <w:tc>
          <w:tcPr>
            <w:tcW w:w="2041" w:type="dxa"/>
          </w:tcPr>
          <w:p w14:paraId="23FF5AF7" w14:textId="7DF54A3F" w:rsidR="00281C40"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28.4</w:t>
            </w:r>
          </w:p>
        </w:tc>
        <w:tc>
          <w:tcPr>
            <w:tcW w:w="2041" w:type="dxa"/>
          </w:tcPr>
          <w:p w14:paraId="16517AD1" w14:textId="66B28123" w:rsidR="00281C40"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18.6, 43.3</w:t>
            </w:r>
          </w:p>
        </w:tc>
        <w:tc>
          <w:tcPr>
            <w:tcW w:w="1593" w:type="dxa"/>
          </w:tcPr>
          <w:p w14:paraId="4EE16989" w14:textId="7E39EEC5" w:rsidR="00281C40" w:rsidRDefault="0041389B"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389A7CCB" w14:textId="5E0DBD28" w:rsidR="00281C40" w:rsidRDefault="00A916B8"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B0356C" w14:paraId="3BC902E4"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0757A477" w14:textId="770C0B05" w:rsidR="00B0356C" w:rsidRDefault="00B0356C" w:rsidP="00281C40">
            <w:pPr>
              <w:ind w:firstLine="0"/>
              <w:jc w:val="center"/>
            </w:pPr>
            <w:r>
              <w:t>11</w:t>
            </w:r>
          </w:p>
        </w:tc>
        <w:tc>
          <w:tcPr>
            <w:tcW w:w="2041" w:type="dxa"/>
          </w:tcPr>
          <w:p w14:paraId="484D15E3" w14:textId="66B6B200" w:rsidR="00B0356C"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97.5</w:t>
            </w:r>
          </w:p>
        </w:tc>
        <w:tc>
          <w:tcPr>
            <w:tcW w:w="2041" w:type="dxa"/>
          </w:tcPr>
          <w:p w14:paraId="504D8932" w14:textId="773ABE7B" w:rsidR="00B0356C"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64.0, 148.6</w:t>
            </w:r>
          </w:p>
        </w:tc>
        <w:tc>
          <w:tcPr>
            <w:tcW w:w="1593" w:type="dxa"/>
          </w:tcPr>
          <w:p w14:paraId="499513F0" w14:textId="0F89FF25" w:rsidR="00B0356C" w:rsidRDefault="0041389B"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c>
          <w:tcPr>
            <w:tcW w:w="1586" w:type="dxa"/>
          </w:tcPr>
          <w:p w14:paraId="772AB0AE" w14:textId="501E9693" w:rsidR="00B0356C" w:rsidRDefault="00A916B8"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r>
      <w:tr w:rsidR="00B0356C" w14:paraId="103A7653"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35BB3C84" w14:textId="08AA70D0" w:rsidR="00B0356C" w:rsidRDefault="00B0356C" w:rsidP="00281C40">
            <w:pPr>
              <w:ind w:firstLine="0"/>
              <w:jc w:val="center"/>
            </w:pPr>
            <w:r>
              <w:t>13</w:t>
            </w:r>
          </w:p>
        </w:tc>
        <w:tc>
          <w:tcPr>
            <w:tcW w:w="2041" w:type="dxa"/>
          </w:tcPr>
          <w:p w14:paraId="6B0D70A3" w14:textId="4852412C" w:rsidR="00B0356C"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272</w:t>
            </w:r>
          </w:p>
        </w:tc>
        <w:tc>
          <w:tcPr>
            <w:tcW w:w="2041" w:type="dxa"/>
          </w:tcPr>
          <w:p w14:paraId="7DA71180" w14:textId="1E249F7E" w:rsidR="00B0356C"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179, 415</w:t>
            </w:r>
          </w:p>
        </w:tc>
        <w:tc>
          <w:tcPr>
            <w:tcW w:w="1593" w:type="dxa"/>
          </w:tcPr>
          <w:p w14:paraId="0D57581C" w14:textId="39B80B6E" w:rsidR="00B0356C" w:rsidRDefault="008A3E07"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6ADBE058" w14:textId="40836696" w:rsidR="00B0356C" w:rsidRDefault="00A916B8"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B0356C" w14:paraId="79545977"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7F606D10" w14:textId="328E424B" w:rsidR="00B0356C" w:rsidRDefault="00B0356C" w:rsidP="00281C40">
            <w:pPr>
              <w:ind w:firstLine="0"/>
              <w:jc w:val="center"/>
            </w:pPr>
            <w:r>
              <w:t>15</w:t>
            </w:r>
          </w:p>
        </w:tc>
        <w:tc>
          <w:tcPr>
            <w:tcW w:w="2041" w:type="dxa"/>
          </w:tcPr>
          <w:p w14:paraId="31450ADB" w14:textId="26265DEC" w:rsidR="00B0356C"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657</w:t>
            </w:r>
          </w:p>
        </w:tc>
        <w:tc>
          <w:tcPr>
            <w:tcW w:w="2041" w:type="dxa"/>
          </w:tcPr>
          <w:p w14:paraId="40BE39C4" w14:textId="025BECD2" w:rsidR="00B0356C"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431, 1001</w:t>
            </w:r>
          </w:p>
        </w:tc>
        <w:tc>
          <w:tcPr>
            <w:tcW w:w="1593" w:type="dxa"/>
          </w:tcPr>
          <w:p w14:paraId="5CBAF59C" w14:textId="649B4D3B" w:rsidR="00B0356C" w:rsidRDefault="008A3E07"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c>
          <w:tcPr>
            <w:tcW w:w="1586" w:type="dxa"/>
          </w:tcPr>
          <w:p w14:paraId="0B6D409C" w14:textId="0C035286" w:rsidR="00B0356C" w:rsidRDefault="00A916B8"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r>
      <w:tr w:rsidR="00B0356C" w14:paraId="0C66D155"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68B859A7" w14:textId="307D8466" w:rsidR="00B0356C" w:rsidRDefault="00B0356C" w:rsidP="00281C40">
            <w:pPr>
              <w:ind w:firstLine="0"/>
              <w:jc w:val="center"/>
            </w:pPr>
            <w:r>
              <w:t>15.2</w:t>
            </w:r>
          </w:p>
        </w:tc>
        <w:tc>
          <w:tcPr>
            <w:tcW w:w="2041" w:type="dxa"/>
          </w:tcPr>
          <w:p w14:paraId="035448D8" w14:textId="335CA21D" w:rsidR="00B0356C"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712</w:t>
            </w:r>
          </w:p>
        </w:tc>
        <w:tc>
          <w:tcPr>
            <w:tcW w:w="2041" w:type="dxa"/>
          </w:tcPr>
          <w:p w14:paraId="537B2C88" w14:textId="053489AC" w:rsidR="00B0356C"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467, 1086</w:t>
            </w:r>
          </w:p>
        </w:tc>
        <w:tc>
          <w:tcPr>
            <w:tcW w:w="1593" w:type="dxa"/>
          </w:tcPr>
          <w:p w14:paraId="376841BD" w14:textId="4627C8C2" w:rsidR="00B0356C" w:rsidRDefault="008A3E07" w:rsidP="00281C40">
            <w:pPr>
              <w:ind w:firstLine="0"/>
              <w:jc w:val="center"/>
              <w:cnfStyle w:val="000000100000" w:firstRow="0" w:lastRow="0" w:firstColumn="0" w:lastColumn="0" w:oddVBand="0" w:evenVBand="0" w:oddHBand="1" w:evenHBand="0" w:firstRowFirstColumn="0" w:firstRowLastColumn="0" w:lastRowFirstColumn="0" w:lastRowLastColumn="0"/>
            </w:pPr>
            <w:r>
              <w:t>2009-2017</w:t>
            </w:r>
          </w:p>
        </w:tc>
        <w:tc>
          <w:tcPr>
            <w:tcW w:w="1586" w:type="dxa"/>
          </w:tcPr>
          <w:p w14:paraId="35AEC275" w14:textId="2CA05E7E" w:rsidR="00B0356C" w:rsidRDefault="00A916B8" w:rsidP="00281C40">
            <w:pPr>
              <w:ind w:firstLine="0"/>
              <w:jc w:val="center"/>
              <w:cnfStyle w:val="000000100000" w:firstRow="0" w:lastRow="0" w:firstColumn="0" w:lastColumn="0" w:oddVBand="0" w:evenVBand="0" w:oddHBand="1" w:evenHBand="0" w:firstRowFirstColumn="0" w:firstRowLastColumn="0" w:lastRowFirstColumn="0" w:lastRowLastColumn="0"/>
            </w:pPr>
            <w:r>
              <w:t>Peak Period</w:t>
            </w:r>
          </w:p>
        </w:tc>
      </w:tr>
      <w:tr w:rsidR="00B0356C" w14:paraId="7E24F12A"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61B3B622" w14:textId="5DD3050F" w:rsidR="00B0356C" w:rsidRDefault="00B0356C" w:rsidP="00281C40">
            <w:pPr>
              <w:ind w:firstLine="0"/>
              <w:jc w:val="center"/>
            </w:pPr>
            <w:r>
              <w:t>15.4</w:t>
            </w:r>
          </w:p>
        </w:tc>
        <w:tc>
          <w:tcPr>
            <w:tcW w:w="2041" w:type="dxa"/>
          </w:tcPr>
          <w:p w14:paraId="465F1D14" w14:textId="0E5B1D56" w:rsidR="00B0356C"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788</w:t>
            </w:r>
          </w:p>
        </w:tc>
        <w:tc>
          <w:tcPr>
            <w:tcW w:w="2041" w:type="dxa"/>
          </w:tcPr>
          <w:p w14:paraId="49EB633A" w14:textId="5A98809C" w:rsidR="00B0356C"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517, 1200</w:t>
            </w:r>
          </w:p>
        </w:tc>
        <w:tc>
          <w:tcPr>
            <w:tcW w:w="1593" w:type="dxa"/>
          </w:tcPr>
          <w:p w14:paraId="664A958A" w14:textId="4CDCA6FA" w:rsidR="00B0356C" w:rsidRDefault="003B349D" w:rsidP="00281C40">
            <w:pPr>
              <w:ind w:firstLine="0"/>
              <w:jc w:val="center"/>
              <w:cnfStyle w:val="000000000000" w:firstRow="0" w:lastRow="0" w:firstColumn="0" w:lastColumn="0" w:oddVBand="0" w:evenVBand="0" w:oddHBand="0" w:evenHBand="0" w:firstRowFirstColumn="0" w:firstRowLastColumn="0" w:lastRowFirstColumn="0" w:lastRowLastColumn="0"/>
            </w:pPr>
            <w:r>
              <w:t>2017</w:t>
            </w:r>
          </w:p>
        </w:tc>
        <w:tc>
          <w:tcPr>
            <w:tcW w:w="1586" w:type="dxa"/>
          </w:tcPr>
          <w:p w14:paraId="5657B76F" w14:textId="6C50C7FC" w:rsidR="00B0356C" w:rsidRDefault="000C49F2" w:rsidP="00281C40">
            <w:pPr>
              <w:ind w:firstLine="0"/>
              <w:jc w:val="center"/>
              <w:cnfStyle w:val="000000000000" w:firstRow="0" w:lastRow="0" w:firstColumn="0" w:lastColumn="0" w:oddVBand="0" w:evenVBand="0" w:oddHBand="0" w:evenHBand="0" w:firstRowFirstColumn="0" w:firstRowLastColumn="0" w:lastRowFirstColumn="0" w:lastRowLastColumn="0"/>
            </w:pPr>
            <w:r w:rsidRPr="000C49F2">
              <w:t>Oil/gas price</w:t>
            </w:r>
            <w:r>
              <w:t xml:space="preserve"> </w:t>
            </w:r>
            <w:r w:rsidRPr="000C49F2">
              <w:t>fall/OCC</w:t>
            </w:r>
            <w:r>
              <w:t xml:space="preserve"> </w:t>
            </w:r>
            <w:r w:rsidRPr="000C49F2">
              <w:t>regulation</w:t>
            </w:r>
          </w:p>
        </w:tc>
      </w:tr>
      <w:tr w:rsidR="00B0356C" w14:paraId="73AF200C"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7CA67C1D" w14:textId="3271E299" w:rsidR="00B0356C" w:rsidRDefault="00B0356C" w:rsidP="00281C40">
            <w:pPr>
              <w:ind w:firstLine="0"/>
              <w:jc w:val="center"/>
            </w:pPr>
            <w:r>
              <w:lastRenderedPageBreak/>
              <w:t>17</w:t>
            </w:r>
          </w:p>
        </w:tc>
        <w:tc>
          <w:tcPr>
            <w:tcW w:w="2041" w:type="dxa"/>
          </w:tcPr>
          <w:p w14:paraId="19F450CF" w14:textId="5E569489" w:rsidR="00B0356C"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1417</w:t>
            </w:r>
          </w:p>
        </w:tc>
        <w:tc>
          <w:tcPr>
            <w:tcW w:w="2041" w:type="dxa"/>
          </w:tcPr>
          <w:p w14:paraId="4CCCDACF" w14:textId="5A90F779" w:rsidR="00B0356C"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930, 2161</w:t>
            </w:r>
          </w:p>
        </w:tc>
        <w:tc>
          <w:tcPr>
            <w:tcW w:w="1593" w:type="dxa"/>
          </w:tcPr>
          <w:p w14:paraId="69F30738" w14:textId="47FEAAB9" w:rsidR="00B0356C" w:rsidRDefault="003B349D"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2B68EF3F" w14:textId="29600930" w:rsidR="00B0356C" w:rsidRDefault="008C748F"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B0356C" w14:paraId="6F27B28B"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57DA2B91" w14:textId="4631084B" w:rsidR="00B0356C" w:rsidRDefault="00B0356C" w:rsidP="00281C40">
            <w:pPr>
              <w:ind w:firstLine="0"/>
              <w:jc w:val="center"/>
            </w:pPr>
            <w:r>
              <w:t>18.7</w:t>
            </w:r>
          </w:p>
        </w:tc>
        <w:tc>
          <w:tcPr>
            <w:tcW w:w="2041" w:type="dxa"/>
          </w:tcPr>
          <w:p w14:paraId="67C6372F" w14:textId="3D710294" w:rsidR="00B0356C"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2547</w:t>
            </w:r>
          </w:p>
        </w:tc>
        <w:tc>
          <w:tcPr>
            <w:tcW w:w="2041" w:type="dxa"/>
          </w:tcPr>
          <w:p w14:paraId="3A3FFA4A" w14:textId="15240453" w:rsidR="00B0356C"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1671, 3882</w:t>
            </w:r>
          </w:p>
        </w:tc>
        <w:tc>
          <w:tcPr>
            <w:tcW w:w="1593" w:type="dxa"/>
          </w:tcPr>
          <w:p w14:paraId="4371B828" w14:textId="05D14815" w:rsidR="00B0356C" w:rsidRDefault="003B349D" w:rsidP="00281C40">
            <w:pPr>
              <w:ind w:firstLine="0"/>
              <w:jc w:val="center"/>
              <w:cnfStyle w:val="000000000000" w:firstRow="0" w:lastRow="0" w:firstColumn="0" w:lastColumn="0" w:oddVBand="0" w:evenVBand="0" w:oddHBand="0" w:evenHBand="0" w:firstRowFirstColumn="0" w:firstRowLastColumn="0" w:lastRowFirstColumn="0" w:lastRowLastColumn="0"/>
            </w:pPr>
            <w:r>
              <w:t>2015</w:t>
            </w:r>
          </w:p>
        </w:tc>
        <w:tc>
          <w:tcPr>
            <w:tcW w:w="1586" w:type="dxa"/>
          </w:tcPr>
          <w:p w14:paraId="7CB2B71C" w14:textId="73A4D9DC" w:rsidR="00B0356C" w:rsidRDefault="002E65E7" w:rsidP="00281C40">
            <w:pPr>
              <w:ind w:firstLine="0"/>
              <w:jc w:val="center"/>
              <w:cnfStyle w:val="000000000000" w:firstRow="0" w:lastRow="0" w:firstColumn="0" w:lastColumn="0" w:oddVBand="0" w:evenVBand="0" w:oddHBand="0" w:evenHBand="0" w:firstRowFirstColumn="0" w:firstRowLastColumn="0" w:lastRowFirstColumn="0" w:lastRowLastColumn="0"/>
            </w:pPr>
            <w:r>
              <w:t>Peak year</w:t>
            </w:r>
          </w:p>
        </w:tc>
      </w:tr>
      <w:tr w:rsidR="00B0356C" w14:paraId="7F92F997"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09A998A7" w14:textId="4F7C0B53" w:rsidR="00B0356C" w:rsidRDefault="00B0356C" w:rsidP="00281C40">
            <w:pPr>
              <w:ind w:firstLine="0"/>
              <w:jc w:val="center"/>
            </w:pPr>
            <w:r>
              <w:t>19</w:t>
            </w:r>
          </w:p>
        </w:tc>
        <w:tc>
          <w:tcPr>
            <w:tcW w:w="2041" w:type="dxa"/>
          </w:tcPr>
          <w:p w14:paraId="4A51E4E2" w14:textId="2B978420" w:rsidR="00B0356C"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2809</w:t>
            </w:r>
          </w:p>
        </w:tc>
        <w:tc>
          <w:tcPr>
            <w:tcW w:w="2041" w:type="dxa"/>
          </w:tcPr>
          <w:p w14:paraId="42C67E01" w14:textId="73F78746" w:rsidR="00B0356C"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1843, 4281</w:t>
            </w:r>
          </w:p>
        </w:tc>
        <w:tc>
          <w:tcPr>
            <w:tcW w:w="1593" w:type="dxa"/>
          </w:tcPr>
          <w:p w14:paraId="53DCC647" w14:textId="48C70766" w:rsidR="00B0356C" w:rsidRDefault="003B349D"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57AF6A6F" w14:textId="1D118A5C" w:rsidR="00B0356C" w:rsidRDefault="00CC63F1"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B0356C" w14:paraId="3E47146C"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3FBA58AC" w14:textId="5883EF22" w:rsidR="00B0356C" w:rsidRDefault="00B0356C" w:rsidP="00281C40">
            <w:pPr>
              <w:ind w:firstLine="0"/>
              <w:jc w:val="center"/>
            </w:pPr>
            <w:r>
              <w:t>20</w:t>
            </w:r>
          </w:p>
        </w:tc>
        <w:tc>
          <w:tcPr>
            <w:tcW w:w="2041" w:type="dxa"/>
          </w:tcPr>
          <w:p w14:paraId="6AE89DA4" w14:textId="5A29C5D6" w:rsidR="00B0356C"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3851</w:t>
            </w:r>
          </w:p>
        </w:tc>
        <w:tc>
          <w:tcPr>
            <w:tcW w:w="2041" w:type="dxa"/>
          </w:tcPr>
          <w:p w14:paraId="78F490A4" w14:textId="05918632" w:rsidR="00B0356C"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2527, 5869</w:t>
            </w:r>
          </w:p>
        </w:tc>
        <w:tc>
          <w:tcPr>
            <w:tcW w:w="1593" w:type="dxa"/>
          </w:tcPr>
          <w:p w14:paraId="595DCB5A" w14:textId="1673AF9F" w:rsidR="00B0356C" w:rsidRDefault="003B349D"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c>
          <w:tcPr>
            <w:tcW w:w="1586" w:type="dxa"/>
          </w:tcPr>
          <w:p w14:paraId="7E4F2B8F" w14:textId="44F5ACE9" w:rsidR="00B0356C" w:rsidRDefault="00CC63F1"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r>
      <w:tr w:rsidR="00B0356C" w14:paraId="03006495" w14:textId="77777777" w:rsidTr="0048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5" w:type="dxa"/>
          </w:tcPr>
          <w:p w14:paraId="0792D01D" w14:textId="51D10302" w:rsidR="00B0356C" w:rsidRDefault="00B0356C" w:rsidP="00281C40">
            <w:pPr>
              <w:ind w:firstLine="0"/>
              <w:jc w:val="center"/>
            </w:pPr>
            <w:r>
              <w:t>21</w:t>
            </w:r>
          </w:p>
        </w:tc>
        <w:tc>
          <w:tcPr>
            <w:tcW w:w="2041" w:type="dxa"/>
          </w:tcPr>
          <w:p w14:paraId="2646B018" w14:textId="22EDE1EC" w:rsidR="00B0356C" w:rsidRDefault="00DE3346" w:rsidP="00281C40">
            <w:pPr>
              <w:ind w:firstLine="0"/>
              <w:jc w:val="center"/>
              <w:cnfStyle w:val="000000100000" w:firstRow="0" w:lastRow="0" w:firstColumn="0" w:lastColumn="0" w:oddVBand="0" w:evenVBand="0" w:oddHBand="1" w:evenHBand="0" w:firstRowFirstColumn="0" w:firstRowLastColumn="0" w:lastRowFirstColumn="0" w:lastRowLastColumn="0"/>
            </w:pPr>
            <w:r>
              <w:t>5198</w:t>
            </w:r>
          </w:p>
        </w:tc>
        <w:tc>
          <w:tcPr>
            <w:tcW w:w="2041" w:type="dxa"/>
          </w:tcPr>
          <w:p w14:paraId="00DE4E1B" w14:textId="26E5AB3D" w:rsidR="00B0356C" w:rsidRDefault="001F7D47" w:rsidP="00281C40">
            <w:pPr>
              <w:ind w:firstLine="0"/>
              <w:jc w:val="center"/>
              <w:cnfStyle w:val="000000100000" w:firstRow="0" w:lastRow="0" w:firstColumn="0" w:lastColumn="0" w:oddVBand="0" w:evenVBand="0" w:oddHBand="1" w:evenHBand="0" w:firstRowFirstColumn="0" w:firstRowLastColumn="0" w:lastRowFirstColumn="0" w:lastRowLastColumn="0"/>
            </w:pPr>
            <w:r>
              <w:t>3411, 7922</w:t>
            </w:r>
          </w:p>
        </w:tc>
        <w:tc>
          <w:tcPr>
            <w:tcW w:w="1593" w:type="dxa"/>
          </w:tcPr>
          <w:p w14:paraId="6B671CED" w14:textId="6F2518E3" w:rsidR="00B0356C" w:rsidRDefault="003B349D"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c>
          <w:tcPr>
            <w:tcW w:w="1586" w:type="dxa"/>
          </w:tcPr>
          <w:p w14:paraId="6DCD9600" w14:textId="1FF7370B" w:rsidR="00B0356C" w:rsidRDefault="00CC63F1" w:rsidP="00281C40">
            <w:pPr>
              <w:ind w:firstLine="0"/>
              <w:jc w:val="center"/>
              <w:cnfStyle w:val="000000100000" w:firstRow="0" w:lastRow="0" w:firstColumn="0" w:lastColumn="0" w:oddVBand="0" w:evenVBand="0" w:oddHBand="1" w:evenHBand="0" w:firstRowFirstColumn="0" w:firstRowLastColumn="0" w:lastRowFirstColumn="0" w:lastRowLastColumn="0"/>
            </w:pPr>
            <w:r>
              <w:t>­</w:t>
            </w:r>
          </w:p>
        </w:tc>
      </w:tr>
      <w:tr w:rsidR="00B0356C" w14:paraId="36CA774D" w14:textId="77777777" w:rsidTr="00482191">
        <w:tc>
          <w:tcPr>
            <w:cnfStyle w:val="001000000000" w:firstRow="0" w:lastRow="0" w:firstColumn="1" w:lastColumn="0" w:oddVBand="0" w:evenVBand="0" w:oddHBand="0" w:evenHBand="0" w:firstRowFirstColumn="0" w:firstRowLastColumn="0" w:lastRowFirstColumn="0" w:lastRowLastColumn="0"/>
            <w:tcW w:w="2315" w:type="dxa"/>
          </w:tcPr>
          <w:p w14:paraId="2D9F57A8" w14:textId="2C52B02D" w:rsidR="00B0356C" w:rsidRDefault="00B0356C" w:rsidP="00281C40">
            <w:pPr>
              <w:ind w:firstLine="0"/>
              <w:jc w:val="center"/>
            </w:pPr>
            <w:r>
              <w:t>23</w:t>
            </w:r>
          </w:p>
        </w:tc>
        <w:tc>
          <w:tcPr>
            <w:tcW w:w="2041" w:type="dxa"/>
          </w:tcPr>
          <w:p w14:paraId="54F29668" w14:textId="50F6B6C9" w:rsidR="00B0356C" w:rsidRDefault="00DE3346" w:rsidP="00281C40">
            <w:pPr>
              <w:ind w:firstLine="0"/>
              <w:jc w:val="center"/>
              <w:cnfStyle w:val="000000000000" w:firstRow="0" w:lastRow="0" w:firstColumn="0" w:lastColumn="0" w:oddVBand="0" w:evenVBand="0" w:oddHBand="0" w:evenHBand="0" w:firstRowFirstColumn="0" w:firstRowLastColumn="0" w:lastRowFirstColumn="0" w:lastRowLastColumn="0"/>
            </w:pPr>
            <w:r>
              <w:t>9095</w:t>
            </w:r>
          </w:p>
        </w:tc>
        <w:tc>
          <w:tcPr>
            <w:tcW w:w="2041" w:type="dxa"/>
          </w:tcPr>
          <w:p w14:paraId="7980ED78" w14:textId="62161339" w:rsidR="00B0356C" w:rsidRDefault="001F7D47" w:rsidP="00281C40">
            <w:pPr>
              <w:ind w:firstLine="0"/>
              <w:jc w:val="center"/>
              <w:cnfStyle w:val="000000000000" w:firstRow="0" w:lastRow="0" w:firstColumn="0" w:lastColumn="0" w:oddVBand="0" w:evenVBand="0" w:oddHBand="0" w:evenHBand="0" w:firstRowFirstColumn="0" w:firstRowLastColumn="0" w:lastRowFirstColumn="0" w:lastRowLastColumn="0"/>
            </w:pPr>
            <w:r>
              <w:t>5968, 13861</w:t>
            </w:r>
          </w:p>
        </w:tc>
        <w:tc>
          <w:tcPr>
            <w:tcW w:w="1593" w:type="dxa"/>
          </w:tcPr>
          <w:p w14:paraId="6222FEB1" w14:textId="7D38AA28" w:rsidR="00B0356C" w:rsidRDefault="003B349D"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c>
          <w:tcPr>
            <w:tcW w:w="1586" w:type="dxa"/>
          </w:tcPr>
          <w:p w14:paraId="7391ADEE" w14:textId="6A077703" w:rsidR="00B0356C" w:rsidRDefault="00CC63F1" w:rsidP="00281C40">
            <w:pPr>
              <w:ind w:firstLine="0"/>
              <w:jc w:val="center"/>
              <w:cnfStyle w:val="000000000000" w:firstRow="0" w:lastRow="0" w:firstColumn="0" w:lastColumn="0" w:oddVBand="0" w:evenVBand="0" w:oddHBand="0" w:evenHBand="0" w:firstRowFirstColumn="0" w:firstRowLastColumn="0" w:lastRowFirstColumn="0" w:lastRowLastColumn="0"/>
            </w:pPr>
            <w:r>
              <w:t>­</w:t>
            </w:r>
          </w:p>
        </w:tc>
      </w:tr>
    </w:tbl>
    <w:p w14:paraId="7752E7DC" w14:textId="03B3E2F2" w:rsidR="00902494" w:rsidRDefault="00902494" w:rsidP="00281C40">
      <w:pPr>
        <w:jc w:val="center"/>
      </w:pPr>
    </w:p>
    <w:p w14:paraId="27160B9F" w14:textId="6704724C" w:rsidR="00F52DCE" w:rsidRDefault="00F52DCE" w:rsidP="00F52DCE">
      <w:pPr>
        <w:pStyle w:val="2"/>
      </w:pPr>
      <w:bookmarkStart w:id="72" w:name="_Toc75939834"/>
      <w:r>
        <w:t xml:space="preserve">2.7 </w:t>
      </w:r>
      <w:r w:rsidRPr="00F52DCE">
        <w:t>Model Output Intercomparison</w:t>
      </w:r>
      <w:bookmarkEnd w:id="72"/>
    </w:p>
    <w:p w14:paraId="30A1C113" w14:textId="037BFAAF" w:rsidR="004F5468" w:rsidRDefault="004F5468" w:rsidP="004F5468">
      <w:r w:rsidRPr="004F5468">
        <w:t xml:space="preserve">This section offers a model result intercomparison of our parsimonious approach with two predictive models by Norbek and Rubinstein </w:t>
      </w:r>
      <w:r w:rsidR="006B76C0">
        <w:fldChar w:fldCharType="begin"/>
      </w:r>
      <w:r w:rsidR="00137D55">
        <w:instrText xml:space="preserve"> ADDIN ZOTERO_ITEM CSL_CITATION {"citationID":"qr204rID","properties":{"formattedCitation":"(Norbeck &amp; Rubinstein, 2018)","plainCitation":"(Norbeck &amp; Rubinstein, 2018)","dontUpdate":true,"noteIndex":0},"citationItems":[{"id":239,"uris":["http://zotero.org/users/7782726/items/X28UQ6PY"],"uri":["http://zotero.org/users/7782726/items/X28UQ6PY"],"itemData":{"id":239,"type":"article-journal","container-title":"Geophysical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6B76C0">
        <w:fldChar w:fldCharType="separate"/>
      </w:r>
      <w:r w:rsidR="006B76C0" w:rsidRPr="006B76C0">
        <w:t>(2018)</w:t>
      </w:r>
      <w:r w:rsidR="006B76C0">
        <w:fldChar w:fldCharType="end"/>
      </w:r>
      <w:r w:rsidRPr="004F5468">
        <w:t xml:space="preserve"> and Langenbruch and Zoback </w:t>
      </w:r>
      <w:r w:rsidR="006A7CF7">
        <w:fldChar w:fldCharType="begin"/>
      </w:r>
      <w:r w:rsidR="00137D55">
        <w:instrText xml:space="preserve"> ADDIN ZOTERO_ITEM CSL_CITATION {"citationID":"M1eCKIAW","properties":{"formattedCitation":"(Langenbruch &amp; Zoback, 2016)","plainCitation":"(Langenbruch &amp; Zoback, 2016)","dontUpdate":true,"noteIndex":0},"citationItems":[{"id":240,"uris":["http://zotero.org/users/7782726/items/WHPZB4ER"],"uri":["http://zotero.org/users/7782726/items/WHPZB4ER"],"itemData":{"id":240,"type":"article-journal","container-title":"Science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6A7CF7">
        <w:fldChar w:fldCharType="separate"/>
      </w:r>
      <w:r w:rsidR="006A7CF7" w:rsidRPr="006A7CF7">
        <w:t>(2016)</w:t>
      </w:r>
      <w:r w:rsidR="006A7CF7">
        <w:fldChar w:fldCharType="end"/>
      </w:r>
      <w:r w:rsidRPr="004F5468">
        <w:t xml:space="preserve">. All models use monthly injection rates as predictand and time series- derived or geology-inferred parameters. For this intercomparison, we used the database published in Norbek and Rubinstein </w:t>
      </w:r>
      <w:r w:rsidR="003809E2">
        <w:fldChar w:fldCharType="begin"/>
      </w:r>
      <w:r w:rsidR="003809E2">
        <w:instrText xml:space="preserve"> ADDIN ZOTERO_ITEM CSL_CITATION {"citationID":"rDgbOFXA","properties":{"formattedCitation":"(Norbeck &amp; Rubinstein, 2018)","plainCitation":"(Norbeck &amp; Rubinstein, 2018)","noteIndex":0},"citationItems":[{"id":239,"uris":["http://zotero.org/users/7782726/items/X28UQ6PY"],"uri":["http://zotero.org/users/7782726/items/X28UQ6PY"],"itemData":{"id":239,"type":"article-journal","container-title":"Geophysical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3809E2">
        <w:fldChar w:fldCharType="separate"/>
      </w:r>
      <w:r w:rsidR="00137D55" w:rsidRPr="00137D55">
        <w:t>(Norbeck &amp; Rubinstein, 2018)</w:t>
      </w:r>
      <w:r w:rsidR="003809E2">
        <w:fldChar w:fldCharType="end"/>
      </w:r>
      <w:r w:rsidRPr="004F5468">
        <w:t xml:space="preserve"> on monthly injection rates, observed seismicity and  model outputs from the Hydromechanical </w:t>
      </w:r>
      <w:r w:rsidR="00773218">
        <w:fldChar w:fldCharType="begin"/>
      </w:r>
      <w:r w:rsidR="00773218">
        <w:instrText xml:space="preserve"> ADDIN ZOTERO_ITEM CSL_CITATION {"citationID":"cZGVq4NK","properties":{"formattedCitation":"(Norbeck &amp; Rubinstein, 2018)","plainCitation":"(Norbeck &amp; Rubinstein, 2018)","noteIndex":0},"citationItems":[{"id":239,"uris":["http://zotero.org/users/7782726/items/X28UQ6PY"],"uri":["http://zotero.org/users/7782726/items/X28UQ6PY"],"itemData":{"id":239,"type":"article-journal","container-title":"Geophysical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773218">
        <w:fldChar w:fldCharType="separate"/>
      </w:r>
      <w:r w:rsidR="00773218" w:rsidRPr="00773218">
        <w:t>(Norbeck &amp; Rubinstein, 2018)</w:t>
      </w:r>
      <w:r w:rsidR="00773218">
        <w:fldChar w:fldCharType="end"/>
      </w:r>
      <w:r w:rsidRPr="004F5468">
        <w:t xml:space="preserve"> and Seismogenic </w:t>
      </w:r>
      <w:r w:rsidR="00F80311">
        <w:fldChar w:fldCharType="begin"/>
      </w:r>
      <w:r w:rsidR="00F80311">
        <w:instrText xml:space="preserve"> ADDIN ZOTERO_ITEM CSL_CITATION {"citationID":"13JH2j4z","properties":{"formattedCitation":"(Langenbruch &amp; Zoback, 2016)","plainCitation":"(Langenbruch &amp; Zoback, 2016)","noteIndex":0},"citationItems":[{"id":240,"uris":["http://zotero.org/users/7782726/items/WHPZB4ER"],"uri":["http://zotero.org/users/7782726/items/WHPZB4ER"],"itemData":{"id":240,"type":"article-journal","container-title":"Science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F80311">
        <w:fldChar w:fldCharType="separate"/>
      </w:r>
      <w:r w:rsidR="00F80311" w:rsidRPr="00F80311">
        <w:t>(Langenbruch &amp; Zoback, 2016)</w:t>
      </w:r>
      <w:r w:rsidR="00F80311">
        <w:fldChar w:fldCharType="end"/>
      </w:r>
      <w:r w:rsidRPr="004F5468">
        <w:t xml:space="preserve"> models. Since Norbek and Rubinstein </w:t>
      </w:r>
      <w:r w:rsidR="00081C9F">
        <w:fldChar w:fldCharType="begin"/>
      </w:r>
      <w:r w:rsidR="00081C9F">
        <w:instrText xml:space="preserve"> ADDIN ZOTERO_ITEM CSL_CITATION {"citationID":"Qx1iYZLD","properties":{"formattedCitation":"(Norbeck &amp; Rubinstein, 2018)","plainCitation":"(Norbeck &amp; Rubinstein, 2018)","noteIndex":0},"citationItems":[{"id":239,"uris":["http://zotero.org/users/7782726/items/X28UQ6PY"],"uri":["http://zotero.org/users/7782726/items/X28UQ6PY"],"itemData":{"id":239,"type":"article-journal","container-title":"Geophysical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081C9F">
        <w:fldChar w:fldCharType="separate"/>
      </w:r>
      <w:r w:rsidR="00137D55" w:rsidRPr="00137D55">
        <w:t>(Norbeck &amp; Rubinstein, 2018)</w:t>
      </w:r>
      <w:r w:rsidR="00081C9F">
        <w:fldChar w:fldCharType="end"/>
      </w:r>
      <w:r w:rsidRPr="004F5468">
        <w:t xml:space="preserve"> used different magnitude of completeness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rsidRPr="004F5468">
        <w:t xml:space="preserve"> = 3.0) and removed any instances of foreshocks and aftershocks from the main events, the parsimonious model had to be re-calibrated. For an </w:t>
      </w:r>
      <m:oMath>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=3</m:t>
        </m:r>
      </m:oMath>
      <w:r w:rsidRPr="004F5468">
        <w:t xml:space="preserve"> and declustered database, Equation (</w:t>
      </w:r>
      <w:r w:rsidR="003633A0">
        <w:t>2.</w:t>
      </w:r>
      <w:r w:rsidRPr="004F5468">
        <w:t xml:space="preserve">4) represents the number of expected main shocks as a function of the antecedent 25 months of </w:t>
      </w:r>
      <w:r w:rsidR="00B45F1D" w:rsidRPr="004F5468">
        <w:t>wastewater</w:t>
      </w:r>
      <w:r w:rsidRPr="004F5468">
        <w:t xml:space="preserve"> injection (using Equation </w:t>
      </w:r>
      <w:r w:rsidR="003633A0">
        <w:t>2.</w:t>
      </w:r>
      <w:r w:rsidRPr="004F5468">
        <w:t>2). Similar to Equation (</w:t>
      </w:r>
      <w:r w:rsidR="003633A0">
        <w:t>2.</w:t>
      </w:r>
      <w:r w:rsidRPr="004F5468">
        <w:t>3), this model explains 75% of the seismic activity at a monthly time scale.</w:t>
      </w:r>
    </w:p>
    <w:p w14:paraId="0AA95469" w14:textId="501EEAAF" w:rsidR="0015485C" w:rsidRPr="00F94F37" w:rsidRDefault="00143C6C" w:rsidP="00F94F37">
      <w:pPr>
        <w:jc w:val="center"/>
      </w:pPr>
      <m:oMathPara>
        <m:oMathParaPr>
          <m:jc m:val="center"/>
        </m:oMathParaP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=7.9630×</m:t>
          </m:r>
          <m:sSup>
            <m:sSupPr>
              <m:ctrlPr>
                <w:rPr>
                  <w:rFonts w:ascii="Cambria Math" w:hAnsi="Cambria Math"/>
                  <w:i/>
                </w:rPr>
              </m:ctrlPr>
            </m:sSupPr>
            <m:e>
              <m:r>
                <w:rPr>
                  <w:rFonts w:ascii="Cambria Math" w:hAnsi="Cambria Math"/>
                </w:rPr>
                <m:t>10</m:t>
              </m:r>
            </m:e>
            <m:sup>
              <m:r>
                <w:rPr>
                  <w:rFonts w:ascii="Cambria Math" w:hAnsi="Cambria Math"/>
                </w:rPr>
                <m:t>-3</m:t>
              </m:r>
            </m:sup>
          </m:sSup>
          <m:sSup>
            <m:sSupPr>
              <m:ctrlPr>
                <w:rPr>
                  <w:rFonts w:ascii="Cambria Math" w:hAnsi="Cambria Math"/>
                  <w:i/>
                </w:rPr>
              </m:ctrlPr>
            </m:sSupPr>
            <m:e>
              <m:acc>
                <m:accPr>
                  <m:ctrlPr>
                    <w:rPr>
                      <w:rFonts w:ascii="Cambria Math" w:hAnsi="Cambria Math"/>
                      <w:i/>
                    </w:rPr>
                  </m:ctrlPr>
                </m:accPr>
                <m:e>
                  <m:r>
                    <w:rPr>
                      <w:rFonts w:ascii="Cambria Math" w:hAnsi="Cambria Math"/>
                    </w:rPr>
                    <m:t>IW</m:t>
                  </m:r>
                </m:e>
              </m:acc>
            </m:e>
            <m:sup>
              <m:r>
                <w:rPr>
                  <w:rFonts w:ascii="Cambria Math" w:hAnsi="Cambria Math"/>
                </w:rPr>
                <m:t>3.4556</m:t>
              </m:r>
            </m:sup>
          </m:sSup>
          <m:r>
            <w:rPr>
              <w:rFonts w:ascii="Cambria Math" w:hAnsi="Cambria Math"/>
            </w:rPr>
            <m:t xml:space="preserve">                                          (2.4)</m:t>
          </m:r>
        </m:oMath>
      </m:oMathPara>
    </w:p>
    <w:p w14:paraId="00169684" w14:textId="2626716A" w:rsidR="00F94F37" w:rsidRDefault="00336D63" w:rsidP="00F94F37">
      <w:r w:rsidRPr="00336D63">
        <w:t xml:space="preserve">Figure </w:t>
      </w:r>
      <w:r w:rsidR="003633A0">
        <w:t>2.</w:t>
      </w:r>
      <w:r w:rsidRPr="00336D63">
        <w:t xml:space="preserve">9 illustrates the results of such a model intercomparison </w:t>
      </w:r>
      <w:r w:rsidR="00B45F1D" w:rsidRPr="00336D63">
        <w:t>considering</w:t>
      </w:r>
      <w:r w:rsidRPr="00336D63">
        <w:t xml:space="preserve"> monthly injection rates between 2008 and 2018, including observed and predicted seismicity values from </w:t>
      </w:r>
      <w:r w:rsidRPr="00336D63">
        <w:lastRenderedPageBreak/>
        <w:t xml:space="preserve">the three models. As noted by Norbeck and Rubisntein </w:t>
      </w:r>
      <w:r>
        <w:fldChar w:fldCharType="begin"/>
      </w:r>
      <w:r>
        <w:instrText xml:space="preserve"> ADDIN ZOTERO_ITEM CSL_CITATION {"citationID":"o4SGkTcL","properties":{"formattedCitation":"(Norbeck &amp; Rubinstein, 2018)","plainCitation":"(Norbeck &amp; Rubinstein, 2018)","noteIndex":0},"citationItems":[{"id":239,"uris":["http://zotero.org/users/7782726/items/X28UQ6PY"],"uri":["http://zotero.org/users/7782726/items/X28UQ6PY"],"itemData":{"id":239,"type":"article-journal","container-title":"Geophysical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fldChar w:fldCharType="separate"/>
      </w:r>
      <w:r w:rsidR="00137D55" w:rsidRPr="00137D55">
        <w:t>(Norbeck &amp; Rubinstein, 2018)</w:t>
      </w:r>
      <w:r>
        <w:fldChar w:fldCharType="end"/>
      </w:r>
      <w:r w:rsidRPr="00336D63">
        <w:t xml:space="preserve"> although the hydromechanical model outputs seem to capture the general long-term trends, after year 2016</w:t>
      </w:r>
      <w:r w:rsidR="00B45F1D">
        <w:t>,</w:t>
      </w:r>
      <w:r w:rsidRPr="00336D63">
        <w:t xml:space="preserve"> the model overestimates seismic activity, showing some weakness in capturing sharp changes in water injection. The seismogenic model seems to capture such </w:t>
      </w:r>
      <w:r w:rsidR="00B45F1D" w:rsidRPr="00336D63">
        <w:t>short-term</w:t>
      </w:r>
      <w:r w:rsidRPr="00336D63">
        <w:t xml:space="preserve"> variability more thoroughly but tends to under-predict in times of low water injection. The parsimonious model proposed in this article seems to capture both low and high seismic activity but fails at capturing short</w:t>
      </w:r>
      <w:r w:rsidR="00B45F1D">
        <w:t>-</w:t>
      </w:r>
      <w:r w:rsidRPr="00336D63">
        <w:t>term sharp variability in a similar fashion to the hydromechanical model.</w:t>
      </w:r>
    </w:p>
    <w:p w14:paraId="387248B5" w14:textId="77777777" w:rsidR="0087113F" w:rsidRDefault="004B5F31" w:rsidP="00C66E47">
      <w:pPr>
        <w:keepNext/>
        <w:ind w:left="-432"/>
        <w:jc w:val="center"/>
        <w:rPr>
          <w:lang w:eastAsia="zh-CN"/>
        </w:rPr>
      </w:pPr>
      <w:r>
        <w:rPr>
          <w:noProof/>
        </w:rPr>
        <w:drawing>
          <wp:inline distT="0" distB="0" distL="0" distR="0" wp14:anchorId="110F47DC" wp14:editId="7BE3B7EF">
            <wp:extent cx="5943600" cy="3622675"/>
            <wp:effectExtent l="0" t="0" r="0" b="0"/>
            <wp:docPr id="9" name="图片 9"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pic:nvPicPr>
                  <pic:blipFill>
                    <a:blip r:embed="rId60">
                      <a:extLst>
                        <a:ext uri="{28A0092B-C50C-407E-A947-70E740481C1C}">
                          <a14:useLocalDpi xmlns:a14="http://schemas.microsoft.com/office/drawing/2010/main" val="0"/>
                        </a:ext>
                      </a:extLst>
                    </a:blip>
                    <a:stretch>
                      <a:fillRect/>
                    </a:stretch>
                  </pic:blipFill>
                  <pic:spPr>
                    <a:xfrm>
                      <a:off x="0" y="0"/>
                      <a:ext cx="5943600" cy="3622675"/>
                    </a:xfrm>
                    <a:prstGeom prst="rect">
                      <a:avLst/>
                    </a:prstGeom>
                  </pic:spPr>
                </pic:pic>
              </a:graphicData>
            </a:graphic>
          </wp:inline>
        </w:drawing>
      </w:r>
    </w:p>
    <w:p w14:paraId="5AE66239" w14:textId="204FB8A2" w:rsidR="004B5F31" w:rsidRPr="0087113F" w:rsidRDefault="0087113F" w:rsidP="0087113F">
      <w:pPr>
        <w:pStyle w:val="a3"/>
        <w:ind w:firstLine="0"/>
      </w:pPr>
      <w:bookmarkStart w:id="73" w:name="_Toc75360566"/>
      <w:bookmarkStart w:id="74" w:name="_Toc75361834"/>
      <w:bookmarkStart w:id="75" w:name="_Toc75361889"/>
      <w:r>
        <w:t xml:space="preserve">Figure </w:t>
      </w:r>
      <w:r w:rsidR="00FC4232">
        <w:t>2</w:t>
      </w:r>
      <w:r w:rsidR="00764D25">
        <w:t>.</w:t>
      </w:r>
      <w:r>
        <w:fldChar w:fldCharType="begin"/>
      </w:r>
      <w:r>
        <w:instrText>SEQ Figure \* ARABIC \s 1</w:instrText>
      </w:r>
      <w:r>
        <w:fldChar w:fldCharType="separate"/>
      </w:r>
      <w:r w:rsidR="00492676">
        <w:rPr>
          <w:noProof/>
        </w:rPr>
        <w:t>9</w:t>
      </w:r>
      <w:r>
        <w:fldChar w:fldCharType="end"/>
      </w:r>
      <w:bookmarkStart w:id="76" w:name="_Toc75015427"/>
      <w:r>
        <w:t xml:space="preserve">. </w:t>
      </w:r>
      <w:r w:rsidR="004B5F31" w:rsidRPr="004B5F31">
        <w:rPr>
          <w:b w:val="0"/>
          <w:bCs w:val="0"/>
        </w:rPr>
        <w:t xml:space="preserve">Model intercomparison experiment using the hydromechanical, seismogenic and parsimonious models for retrospective simulations of seismicity in Oklahoma between 2008 and 2018 in light of observed (declustered) seismic events and monthly </w:t>
      </w:r>
      <w:r w:rsidR="00B45F1D" w:rsidRPr="004B5F31">
        <w:rPr>
          <w:b w:val="0"/>
          <w:bCs w:val="0"/>
        </w:rPr>
        <w:t>wastewater</w:t>
      </w:r>
      <w:r w:rsidR="004B5F31" w:rsidRPr="004B5F31">
        <w:rPr>
          <w:b w:val="0"/>
          <w:bCs w:val="0"/>
        </w:rPr>
        <w:t xml:space="preserve"> injection rates.</w:t>
      </w:r>
      <w:bookmarkEnd w:id="73"/>
      <w:bookmarkEnd w:id="74"/>
      <w:bookmarkEnd w:id="75"/>
      <w:bookmarkEnd w:id="76"/>
    </w:p>
    <w:p w14:paraId="677DD87A" w14:textId="61E6BDE6" w:rsidR="00323C2F" w:rsidRDefault="00323C2F" w:rsidP="00323C2F"/>
    <w:p w14:paraId="6C100AE0" w14:textId="07093EC3" w:rsidR="00323C2F" w:rsidRDefault="001756E2" w:rsidP="001756E2">
      <w:pPr>
        <w:pStyle w:val="2"/>
      </w:pPr>
      <w:bookmarkStart w:id="77" w:name="_Toc75939835"/>
      <w:r>
        <w:lastRenderedPageBreak/>
        <w:t xml:space="preserve">2.8 </w:t>
      </w:r>
      <w:r w:rsidRPr="001756E2">
        <w:t>Discussion</w:t>
      </w:r>
      <w:bookmarkEnd w:id="77"/>
    </w:p>
    <w:p w14:paraId="08B976F7" w14:textId="5C712412" w:rsidR="001756E2" w:rsidRDefault="001756E2" w:rsidP="00185E04">
      <w:pPr>
        <w:pStyle w:val="3"/>
      </w:pPr>
      <w:bookmarkStart w:id="78" w:name="_Toc75939836"/>
      <w:r>
        <w:t xml:space="preserve">2.8.1 </w:t>
      </w:r>
      <w:r w:rsidRPr="001756E2">
        <w:t>Acknowledging Methological Limitations</w:t>
      </w:r>
      <w:bookmarkEnd w:id="78"/>
    </w:p>
    <w:p w14:paraId="1F969D84" w14:textId="40D96BCB" w:rsidR="001756E2" w:rsidRDefault="008F21B7" w:rsidP="001756E2">
      <w:r w:rsidRPr="008F21B7">
        <w:t xml:space="preserve">The results from this study need to be understood </w:t>
      </w:r>
      <w:r w:rsidR="00266AEA" w:rsidRPr="008F21B7">
        <w:t>considering</w:t>
      </w:r>
      <w:r w:rsidRPr="008F21B7">
        <w:t xml:space="preserve"> the data and methodology limitations of our analyses. First, results mainly focus on statistical spatiotemporal relationships between wastewater injection volumes and earthquakes number and magnitude. Second, since the magnitude unit conversion (e.g.,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Pr="008F21B7">
        <w:t xml:space="preserve"> to </w:t>
      </w:r>
      <m:oMath>
        <m:sSub>
          <m:sSubPr>
            <m:ctrlPr>
              <w:rPr>
                <w:rFonts w:ascii="Cambria Math" w:hAnsi="Cambria Math"/>
                <w:i/>
              </w:rPr>
            </m:ctrlPr>
          </m:sSubPr>
          <m:e>
            <m:r>
              <w:rPr>
                <w:rFonts w:ascii="Cambria Math" w:hAnsi="Cambria Math"/>
              </w:rPr>
              <m:t>M</m:t>
            </m:r>
          </m:e>
          <m:sub>
            <m:r>
              <w:rPr>
                <w:rFonts w:ascii="Cambria Math" w:hAnsi="Cambria Math"/>
              </w:rPr>
              <m:t>L</m:t>
            </m:r>
          </m:sub>
        </m:sSub>
      </m:oMath>
      <w:r w:rsidRPr="008F21B7">
        <w:t xml:space="preserve">) procedure introduces a maximum uncertainty of 19% (see Section </w:t>
      </w:r>
      <w:r w:rsidR="004140CB">
        <w:t>2.</w:t>
      </w:r>
      <w:r w:rsidRPr="008F21B7">
        <w:t xml:space="preserve">3.1 and Table </w:t>
      </w:r>
      <w:r w:rsidR="003633A0">
        <w:t>2.</w:t>
      </w:r>
      <w:r w:rsidRPr="008F21B7">
        <w:t>2) the location and size of the weighted mean centers and standard deviation ellipses will have a maximum inherited error of 9.5%. Third, the analyses did not consider other influences on earthquakes’ induction or generation mechanisms such as regional rock fracturing or geologic structures that propagate or moderate seismic waves. Moreover, due to the limit</w:t>
      </w:r>
      <w:r w:rsidR="00266AEA">
        <w:t>ed</w:t>
      </w:r>
      <w:r w:rsidRPr="008F21B7">
        <w:t xml:space="preserve"> number of years with data (2006–2017), we do not know how the panoramic would look like in the future in views of higher (or lower) levels of wastewater injection. Further we recommend caution when planning to use the statistical relationships found here for future years as the rock systems might not behave in a linear fashion since the increasing rock-fracturing processes might propagate across larger regions</w:t>
      </w:r>
      <w:r w:rsidR="00266AEA">
        <w:t>, thus</w:t>
      </w:r>
      <w:r w:rsidRPr="008F21B7">
        <w:t xml:space="preserve"> becoming a network of interconnected faulted systems that might translate </w:t>
      </w:r>
      <w:r w:rsidR="00266AEA">
        <w:t>to</w:t>
      </w:r>
      <w:r w:rsidRPr="008F21B7">
        <w:t xml:space="preserve"> widespread earthquakes swarms. Finally, the results achieved in this study</w:t>
      </w:r>
      <w:r w:rsidR="00266AEA">
        <w:t xml:space="preserve"> </w:t>
      </w:r>
      <w:r w:rsidRPr="008F21B7">
        <w:t>need to be further explored within different subregions to consider particular geological heterogeneities that could result in potentially different behaviors than the ones shown here.</w:t>
      </w:r>
    </w:p>
    <w:p w14:paraId="1AE96AD9" w14:textId="77777777" w:rsidR="00266AEA" w:rsidRDefault="00266AEA" w:rsidP="001756E2"/>
    <w:p w14:paraId="52455A77" w14:textId="021443CA" w:rsidR="000D4D51" w:rsidRDefault="000D4D51" w:rsidP="00185E04">
      <w:pPr>
        <w:pStyle w:val="3"/>
      </w:pPr>
      <w:bookmarkStart w:id="79" w:name="_Toc75939837"/>
      <w:r>
        <w:t xml:space="preserve">2.8.2 </w:t>
      </w:r>
      <w:r w:rsidRPr="000D4D51">
        <w:t>Contributions to State-of-the-Art</w:t>
      </w:r>
      <w:bookmarkEnd w:id="79"/>
    </w:p>
    <w:p w14:paraId="5E793D5A" w14:textId="69210C56" w:rsidR="000D4D51" w:rsidRDefault="006E0E2D" w:rsidP="000D4D51">
      <w:r w:rsidRPr="006E0E2D">
        <w:t xml:space="preserve">The conducted spatiotemporal analyses and proposed parsimonious model represent a novel contribution for prediction, model intercomparison and decision making. In terms of process </w:t>
      </w:r>
      <w:r w:rsidRPr="006E0E2D">
        <w:lastRenderedPageBreak/>
        <w:t xml:space="preserve">understanding, the results from this </w:t>
      </w:r>
      <w:r w:rsidR="00266AEA">
        <w:t xml:space="preserve">chapter </w:t>
      </w:r>
      <w:r w:rsidRPr="006E0E2D">
        <w:t xml:space="preserve">are clear to relate the geographic scope and lagged dependency between wastewater injection volumes and earthquake count. Second, if used as stated, they can help predict the number of earthquakes in a particular month in terms of the antecedent monthly injection volumes. What we can define as sustainable extraction limit (conditions pre year 2000) could be 5.6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6E0E2D">
        <w:t xml:space="preserve"> or any combination of values of IW during the antecedent 25 months that allow obtaining around 1.5 earthquakes per year with </w:t>
      </w:r>
      <m:oMath>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L</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M</m:t>
            </m:r>
          </m:e>
          <m:sub>
            <m:r>
              <w:rPr>
                <w:rFonts w:ascii="Cambria Math" w:hAnsi="Cambria Math"/>
                <w:lang w:eastAsia="zh-CN"/>
              </w:rPr>
              <m:t>C</m:t>
            </m:r>
          </m:sub>
        </m:sSub>
      </m:oMath>
      <w:r w:rsidRPr="006E0E2D">
        <w:t xml:space="preserve">. A similar number of </w:t>
      </w:r>
      <m:oMath>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6</m:t>
            </m:r>
          </m:sup>
        </m:sSup>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6E0E2D">
        <w:t xml:space="preserve"> was also found by Langenbruch and Zoback </w:t>
      </w:r>
      <w:r w:rsidR="007D70AB">
        <w:fldChar w:fldCharType="begin"/>
      </w:r>
      <w:r w:rsidR="007D70AB">
        <w:instrText xml:space="preserve"> ADDIN ZOTERO_ITEM CSL_CITATION {"citationID":"dshp2u2D","properties":{"formattedCitation":"(Langenbruch &amp; Zoback, 2016)","plainCitation":"(Langenbruch &amp; Zoback, 2016)","noteIndex":0},"citationItems":[{"id":240,"uris":["http://zotero.org/users/7782726/items/WHPZB4ER"],"uri":["http://zotero.org/users/7782726/items/WHPZB4ER"],"itemData":{"id":240,"type":"article-journal","container-title":"Science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7D70AB">
        <w:fldChar w:fldCharType="separate"/>
      </w:r>
      <w:r w:rsidR="00137D55" w:rsidRPr="00137D55">
        <w:t>(Langenbruch &amp; Zoback, 2016)</w:t>
      </w:r>
      <w:r w:rsidR="007D70AB">
        <w:fldChar w:fldCharType="end"/>
      </w:r>
      <w:r w:rsidRPr="006E0E2D">
        <w:t xml:space="preserve">. However, these authors propose a steady injection condition per month, but according to Equation (2) there could be other combinations of differential (seasonal) injection that could lead to the same result of minimum earthquakes. Third, possibly the best utility of the results of this </w:t>
      </w:r>
      <w:r w:rsidR="00266AEA">
        <w:t>chapter are their</w:t>
      </w:r>
      <w:r w:rsidRPr="006E0E2D">
        <w:t xml:space="preserve"> use as a tool for model intercomparison with current and future models. For example, Pollyea et al. </w:t>
      </w:r>
      <w:r w:rsidR="0017208A">
        <w:fldChar w:fldCharType="begin"/>
      </w:r>
      <w:r w:rsidR="0017208A">
        <w:instrText xml:space="preserve"> ADDIN ZOTERO_ITEM CSL_CITATION {"citationID":"lLvDvr6X","properties":{"formattedCitation":"(Pollyea et al., 2018)","plainCitation":"(Pollyea et al., 2018)","noteIndex":0},"citationItems":[{"id":242,"uris":["http://zotero.org/users/7782726/items/8T5PD4G5"],"uri":["http://zotero.org/users/7782726/items/8T5PD4G5"],"itemData":{"id":242,"type":"article-journal","container-title":"Geology","issue":"3","note":"ISBN: 0091-7613\npublisher: GeoScienceWorld","page":"215-218","title":"Geospatial analysis of Oklahoma (USA) earthquakes (2011–2016): quantifying the limits of regional-scale earthquake mitigation measures","volume":"46","author":[{"family":"Pollyea","given":"Ryan M."},{"family":"Mohammadi","given":"Neda"},{"family":"Taylor","given":"John E."},{"family":"Chapman","given":"Martin C."}],"issued":{"date-parts":[["2018"]]}}}],"schema":"https://github.com/citation-style-language/schema/raw/master/csl-citation.json"} </w:instrText>
      </w:r>
      <w:r w:rsidR="0017208A">
        <w:fldChar w:fldCharType="separate"/>
      </w:r>
      <w:r w:rsidR="00137D55" w:rsidRPr="00137D55">
        <w:t>(Pollyea et al., 2018)</w:t>
      </w:r>
      <w:r w:rsidR="0017208A">
        <w:fldChar w:fldCharType="end"/>
      </w:r>
      <w:r w:rsidRPr="006E0E2D">
        <w:t xml:space="preserve"> developed a geospatial analysis of the bivariate occurrence of earthquakes with the location of salt-water disposal wells. </w:t>
      </w:r>
      <w:r w:rsidR="00266AEA">
        <w:t>The results shown here are similar to Polly</w:t>
      </w:r>
      <w:r w:rsidRPr="006E0E2D">
        <w:t xml:space="preserve">ea et al. </w:t>
      </w:r>
      <w:r w:rsidR="002A2793">
        <w:fldChar w:fldCharType="begin"/>
      </w:r>
      <w:r w:rsidR="00137D55">
        <w:instrText xml:space="preserve"> ADDIN ZOTERO_ITEM CSL_CITATION {"citationID":"ilETqGgm","properties":{"formattedCitation":"(Pollyea et al., 2018)","plainCitation":"(Pollyea et al., 2018)","dontUpdate":true,"noteIndex":0},"citationItems":[{"id":242,"uris":["http://zotero.org/users/7782726/items/8T5PD4G5"],"uri":["http://zotero.org/users/7782726/items/8T5PD4G5"],"itemData":{"id":242,"type":"article-journal","container-title":"Geology","issue":"3","note":"ISBN: 0091-7613\npublisher: GeoScienceWorld","page":"215-218","title":"Geospatial analysis of Oklahoma (USA) earthquakes (2011–2016): quantifying the limits of regional-scale earthquake mitigation measures","volume":"46","author":[{"family":"Pollyea","given":"Ryan M."},{"family":"Mohammadi","given":"Neda"},{"family":"Taylor","given":"John E."},{"family":"Chapman","given":"Martin C."}],"issued":{"date-parts":[["2018"]]}}}],"schema":"https://github.com/citation-style-language/schema/raw/master/csl-citation.json"} </w:instrText>
      </w:r>
      <w:r w:rsidR="002A2793">
        <w:fldChar w:fldCharType="separate"/>
      </w:r>
      <w:r w:rsidR="002A2793" w:rsidRPr="002A2793">
        <w:t>(2018)</w:t>
      </w:r>
      <w:r w:rsidR="002A2793">
        <w:fldChar w:fldCharType="end"/>
      </w:r>
      <w:r w:rsidR="002A2793">
        <w:t xml:space="preserve"> </w:t>
      </w:r>
      <w:r w:rsidRPr="006E0E2D">
        <w:t xml:space="preserve">in that there is a general </w:t>
      </w:r>
      <w:r w:rsidR="00F91F35">
        <w:t xml:space="preserve">pattern </w:t>
      </w:r>
      <w:r w:rsidRPr="006E0E2D">
        <w:t xml:space="preserve">of north-west migration of both processes. However, </w:t>
      </w:r>
      <w:r w:rsidR="00D56602">
        <w:t xml:space="preserve">one </w:t>
      </w:r>
      <w:r w:rsidRPr="006E0E2D">
        <w:t xml:space="preserve">difference </w:t>
      </w:r>
      <w:r w:rsidR="00D56602">
        <w:t xml:space="preserve">between these studies is that </w:t>
      </w:r>
      <w:r w:rsidRPr="006E0E2D">
        <w:t xml:space="preserve">we obtained the two-axis variability ellipses and weighted the well and epicenter locations by magnitude and injection volumes, providing a more accurate description of their spatially correlated distribution. We also provide year by year direction of migration and distance patterns. Results from the model output intercomparison experiment show comparable capabilities of the Parsimonious </w:t>
      </w:r>
      <w:r w:rsidR="00D50E4D">
        <w:fldChar w:fldCharType="begin"/>
      </w:r>
      <w:r w:rsidR="00D50E4D">
        <w:instrText xml:space="preserve"> ADDIN ZOTERO_ITEM CSL_CITATION {"citationID":"NO0INzyJ","properties":{"formattedCitation":"(Hong et al., 2018)","plainCitation":"(Hong et al., 2018)","noteIndex":0},"citationItems":[{"id":246,"uris":["http://zotero.org/users/7782726/items/7LJE3IUB"],"uri":["http://zotero.org/users/7782726/items/7LJE3IUB"],"itemData":{"id":246,"type":"article-journal","abstract":"In this study we present a spatiotemporal analysis of the recent seismicity and industry-related wastewater injection activity in Oklahoma. A parsimonious predictive tool was developed to estimate the lagged effect of previous month&amp;rsquo;s injection volumes on subsequent regional seismic activity. Results support the hypothesis that the recent boom in unconventional oil and gas production and either the mitigation policies or the drop in oil prices (or both) are potentially responsible for the upsurge and reduction in the state&amp;rsquo;s seismic activity between 2006&amp;ndash;2015 and 2016&amp;ndash;2017, respectively. A cluster analysis reveals a synchronous migration pattern between earthquake occurrences and salt water injection with a predominant northwest direction during 2006 through 2017. A lagged cross-correlation analysis allows extracting a power law between expected number of quakes and weighted average monthly injection volumes with a coefficient of determination of R2 = 0.77. Such a relation could be used to establish &amp;ldquo;sustainable water injection limits&amp;rdquo; aiming to minimize seismicity to values comparable with several historically representative averages. Results from these analyses coincide on previously found sustainable limits of 5 to 6 million m3/month but expand to operations that could attain the same number through differential monthly planning. Findings could potentially be used for model intercomparison and regulation policies.","container-title":"Geosciences","DOI":"10.3390/geosciences8120436","issue":"12","language":"en","note":"number: 12\npublisher: Multidisciplinary Digital Publishing Institute","page":"436","source":"www.mdpi.com","title":"Spatiotemporal Assessment of Induced Seismicity in Oklahoma: Foreseeable Fewer Earthquakes for Sustainable Oil and Gas Extraction?","title-short":"Spatiotemporal Assessment of Induced Seismicity in Oklahoma","volume":"8","author":[{"family":"Hong","given":"Zhen"},{"family":"Moreno","given":"Hernan A."},{"family":"Hong","given":"Yang"}],"issued":{"date-parts":[["2018",12]]}}}],"schema":"https://github.com/citation-style-language/schema/raw/master/csl-citation.json"} </w:instrText>
      </w:r>
      <w:r w:rsidR="00D50E4D">
        <w:fldChar w:fldCharType="separate"/>
      </w:r>
      <w:r w:rsidR="00D50E4D" w:rsidRPr="00D50E4D">
        <w:t>(Hong et al., 2018)</w:t>
      </w:r>
      <w:r w:rsidR="00D50E4D">
        <w:fldChar w:fldCharType="end"/>
      </w:r>
      <w:r w:rsidRPr="006E0E2D">
        <w:t xml:space="preserve"> and Hydromechanical</w:t>
      </w:r>
      <w:r w:rsidR="006C09DB">
        <w:t xml:space="preserve"> </w:t>
      </w:r>
      <w:r w:rsidR="006C09DB">
        <w:fldChar w:fldCharType="begin"/>
      </w:r>
      <w:r w:rsidR="006C09DB">
        <w:instrText xml:space="preserve"> ADDIN ZOTERO_ITEM CSL_CITATION {"citationID":"cOr13zeC","properties":{"formattedCitation":"(Norbeck &amp; Rubinstein, 2018)","plainCitation":"(Norbeck &amp; Rubinstein, 2018)","noteIndex":0},"citationItems":[{"id":239,"uris":["http://zotero.org/users/7782726/items/X28UQ6PY"],"uri":["http://zotero.org/users/7782726/items/X28UQ6PY"],"itemData":{"id":239,"type":"article-journal","container-title":"Geophysical Research Letters","issue":"7","note":"ISBN: 0094-8276\npublisher: Wiley Online Library","page":"2963-2975","title":"Hydromechanical earthquake nucleation model forecasts onset, peak, and falling rates of induced seismicity in Oklahoma and Kansas","volume":"45","author":[{"family":"Norbeck","given":"J. H."},{"family":"Rubinstein","given":"Justin L."}],"issued":{"date-parts":[["2018"]]}}}],"schema":"https://github.com/citation-style-language/schema/raw/master/csl-citation.json"} </w:instrText>
      </w:r>
      <w:r w:rsidR="006C09DB">
        <w:fldChar w:fldCharType="separate"/>
      </w:r>
      <w:r w:rsidR="006C09DB" w:rsidRPr="006C09DB">
        <w:t>(Norbeck &amp; Rubinstein, 2018)</w:t>
      </w:r>
      <w:r w:rsidR="006C09DB">
        <w:fldChar w:fldCharType="end"/>
      </w:r>
      <w:r w:rsidRPr="006E0E2D">
        <w:t xml:space="preserve"> models in the long-term with the Parsimonious </w:t>
      </w:r>
      <w:r w:rsidR="00D56602">
        <w:t xml:space="preserve">model </w:t>
      </w:r>
      <w:r w:rsidRPr="006E0E2D">
        <w:t xml:space="preserve">representing better the recent decline in seismicity conditions. However, both these models seem to have a weak performance at detecting rapid changes better captured by the seismogenic model </w:t>
      </w:r>
      <w:r w:rsidR="0099027C">
        <w:fldChar w:fldCharType="begin"/>
      </w:r>
      <w:r w:rsidR="0099027C">
        <w:instrText xml:space="preserve"> ADDIN ZOTERO_ITEM CSL_CITATION {"citationID":"uD1oMwPf","properties":{"formattedCitation":"(Langenbruch &amp; Zoback, 2016)","plainCitation":"(Langenbruch &amp; Zoback, 2016)","noteIndex":0},"citationItems":[{"id":240,"uris":["http://zotero.org/users/7782726/items/WHPZB4ER"],"uri":["http://zotero.org/users/7782726/items/WHPZB4ER"],"itemData":{"id":240,"type":"article-journal","container-title":"Science advances","issue":"11","note":"ISBN: 2375-2548\npublisher: American Association for the Advancement of Science","page":"e1601542","title":"How will induced seismicity in Oklahoma respond to decreased saltwater injection rates?","volume":"2","author":[{"family":"Langenbruch","given":"Cornelius"},{"family":"Zoback","given":"Mark D."}],"issued":{"date-parts":[["2016"]]}}}],"schema":"https://github.com/citation-style-language/schema/raw/master/csl-citation.json"} </w:instrText>
      </w:r>
      <w:r w:rsidR="0099027C">
        <w:fldChar w:fldCharType="separate"/>
      </w:r>
      <w:r w:rsidR="0099027C" w:rsidRPr="0099027C">
        <w:t>(Langenbruch &amp; Zoback, 2016)</w:t>
      </w:r>
      <w:r w:rsidR="0099027C">
        <w:fldChar w:fldCharType="end"/>
      </w:r>
      <w:r w:rsidRPr="006E0E2D">
        <w:t>.</w:t>
      </w:r>
    </w:p>
    <w:p w14:paraId="070F6CB7" w14:textId="641A62C7" w:rsidR="000E3567" w:rsidRDefault="00786B0B" w:rsidP="00185E04">
      <w:pPr>
        <w:pStyle w:val="3"/>
      </w:pPr>
      <w:bookmarkStart w:id="80" w:name="_Toc75939838"/>
      <w:r>
        <w:lastRenderedPageBreak/>
        <w:t xml:space="preserve">2.8.3 </w:t>
      </w:r>
      <w:r w:rsidRPr="00786B0B">
        <w:t>Contributions to Sustainable Extraction and Decision Making: What are Sustainable Limits?</w:t>
      </w:r>
      <w:bookmarkEnd w:id="80"/>
    </w:p>
    <w:p w14:paraId="634C454E" w14:textId="1F1176B3" w:rsidR="00786B0B" w:rsidRDefault="000C6106" w:rsidP="00786B0B">
      <w:r w:rsidRPr="000C6106">
        <w:t xml:space="preserve">Due to the earthquake upsurge since 2009, the Oklahoma Corporation Commission adopted a “traffic light” system since 2013 in response to the concerns over underground fluid injection induced earthquakes. In a “traffic light” system, if no underground fluid injection induced earthquakes occur, operators could continue their injection activities at regulated rates under a green light condition. Once an earthquake occurs, operators are under yellow light condition. They should investigate the relationship between the earthquake and injection activities and reduce injection rates. If an earthquake event induced by underground injection occurs and the triggered seismicity cannot be stopped by reducing injection rates, operators are under </w:t>
      </w:r>
      <w:r w:rsidR="00783FC5">
        <w:t>a</w:t>
      </w:r>
      <w:r w:rsidRPr="000C6106">
        <w:t xml:space="preserve"> red light condition and should be prepared to terminate injection activities </w:t>
      </w:r>
      <w:r w:rsidR="006B0833">
        <w:fldChar w:fldCharType="begin"/>
      </w:r>
      <w:r w:rsidR="003B2F99">
        <w:instrText xml:space="preserve"> ADDIN ZOTERO_ITEM CSL_CITATION {"citationID":"Fs9XYAz0","properties":{"formattedCitation":"(Oklahoma Corporation Commission, 2015; Pollyea et al., 2018; Zoback, 2012)","plainCitation":"(Oklahoma Corporation Commission, 2015; Pollyea et al., 2018; Zoback, 2012)","noteIndex":0},"citationItems":[{"id":261,"uris":["http://zotero.org/users/7782726/items/HQLPGM68"],"uri":["http://zotero.org/users/7782726/items/HQLPGM68"],"itemData":{"id":261,"type":"article","title":"Media Advisory—Ongoing OCC Earthquake Response","URL":"http://www.occeweb.com/News/2015/03-25-15%20Media%20Advisory%20-%20TL%20and%20related%20documents.pdf","author":[{"family":"Oklahoma Corporation Commission","given":""}],"accessed":{"date-parts":[["2018",10,15]]},"issued":{"date-parts":[["2015"]]}}},{"id":242,"uris":["http://zotero.org/users/7782726/items/8T5PD4G5"],"uri":["http://zotero.org/users/7782726/items/8T5PD4G5"],"itemData":{"id":242,"type":"article-journal","container-title":"Geology","issue":"3","note":"ISBN: 0091-7613\npublisher: GeoScienceWorld","page":"215-218","title":"Geospatial analysis of Oklahoma (USA) earthquakes (2011–2016): quantifying the limits of regional-scale earthquake mitigation measures","volume":"46","author":[{"family":"Pollyea","given":"Ryan M."},{"family":"Mohammadi","given":"Neda"},{"family":"Taylor","given":"John E."},{"family":"Chapman","given":"Martin C."}],"issued":{"date-parts":[["2018"]]}}},{"id":260,"uris":["http://zotero.org/users/7782726/items/ABQFN278"],"uri":["http://zotero.org/users/7782726/items/ABQFN278"],"itemData":{"id":260,"type":"article-journal","container-title":"Earth","issue":"4","note":"ISBN: 1943-345X","page":"38","title":"Managing the seismic risk posed by wastewater disposal","volume":"57","author":[{"family":"Zoback","given":"Mark D."}],"issued":{"date-parts":[["2012"]]}}}],"schema":"https://github.com/citation-style-language/schema/raw/master/csl-citation.json"} </w:instrText>
      </w:r>
      <w:r w:rsidR="006B0833">
        <w:fldChar w:fldCharType="separate"/>
      </w:r>
      <w:r w:rsidR="003B2F99" w:rsidRPr="003B2F99">
        <w:t>(Oklahoma Corporation Commission, 2015; Pollyea et al., 2018; Zoback, 2012)</w:t>
      </w:r>
      <w:r w:rsidR="006B0833">
        <w:fldChar w:fldCharType="end"/>
      </w:r>
      <w:r w:rsidRPr="000C6106">
        <w:t xml:space="preserve">. The OCC yellow light permitting system requires operators to monitor for background seismicity and shut down wells to record bottom hole pressure every 60 days. The Oklahoma Corporation Commission has been evolving the “traffic light” system applications based on updated research results and new data </w:t>
      </w:r>
      <w:r w:rsidR="004C1FA8">
        <w:fldChar w:fldCharType="begin"/>
      </w:r>
      <w:r w:rsidR="004C1FA8">
        <w:instrText xml:space="preserve"> ADDIN ZOTERO_ITEM CSL_CITATION {"citationID":"U4xDwkLK","properties":{"formattedCitation":"(Oklahoma Corporation Commission, 2017)","plainCitation":"(Oklahoma Corporation Commission, 2017)","noteIndex":0},"citationItems":[{"id":234,"uris":["http://zotero.org/users/7782726/items/E4E93YTZ"],"uri":["http://zotero.org/users/7782726/items/E4E93YTZ"],"itemData":{"id":234,"type":"article","title":"Earthquake Response Summary","URL":"http://www.occeweb.com/News/2017/02-24-17EARTHQUAKE%20ACTION%20SUMMARY.pdf","author":[{"family":"Oklahoma Corporation Commission","given":""}],"accessed":{"date-parts":[["2018",10,15]]},"issued":{"date-parts":[["2017"]]}}}],"schema":"https://github.com/citation-style-language/schema/raw/master/csl-citation.json"} </w:instrText>
      </w:r>
      <w:r w:rsidR="004C1FA8">
        <w:fldChar w:fldCharType="separate"/>
      </w:r>
      <w:r w:rsidR="004C1FA8" w:rsidRPr="004C1FA8">
        <w:t>(Oklahoma Corporation Commission, 2017)</w:t>
      </w:r>
      <w:r w:rsidR="004C1FA8">
        <w:fldChar w:fldCharType="end"/>
      </w:r>
      <w:r w:rsidRPr="000C6106">
        <w:t xml:space="preserve">. The slight decrease in earthquake occurrence in 2016 and 2017 (Figure </w:t>
      </w:r>
      <w:r w:rsidR="004140CB">
        <w:t>2.</w:t>
      </w:r>
      <w:r w:rsidRPr="000C6106">
        <w:t xml:space="preserve">3) has been attributed to these mitigation efforts. However, as noted by Pollyea et al. </w:t>
      </w:r>
      <w:r w:rsidR="00CB3C62">
        <w:fldChar w:fldCharType="begin"/>
      </w:r>
      <w:r w:rsidR="00137D55">
        <w:instrText xml:space="preserve"> ADDIN ZOTERO_ITEM CSL_CITATION {"citationID":"5Rw8cASU","properties":{"formattedCitation":"(Pollyea et al., 2018)","plainCitation":"(Pollyea et al., 2018)","dontUpdate":true,"noteIndex":0},"citationItems":[{"id":242,"uris":["http://zotero.org/users/7782726/items/8T5PD4G5"],"uri":["http://zotero.org/users/7782726/items/8T5PD4G5"],"itemData":{"id":242,"type":"article-journal","container-title":"Geology","issue":"3","note":"ISBN: 0091-7613\npublisher: GeoScienceWorld","page":"215-218","title":"Geospatial analysis of Oklahoma (USA) earthquakes (2011–2016): quantifying the limits of regional-scale earthquake mitigation measures","volume":"46","author":[{"family":"Pollyea","given":"Ryan M."},{"family":"Mohammadi","given":"Neda"},{"family":"Taylor","given":"John E."},{"family":"Chapman","given":"Martin C."}],"issued":{"date-parts":[["2018"]]}}}],"schema":"https://github.com/citation-style-language/schema/raw/master/csl-citation.json"} </w:instrText>
      </w:r>
      <w:r w:rsidR="00CB3C62">
        <w:fldChar w:fldCharType="separate"/>
      </w:r>
      <w:r w:rsidR="00CB3C62" w:rsidRPr="00CB3C62">
        <w:t>(2018)</w:t>
      </w:r>
      <w:r w:rsidR="00CB3C62">
        <w:fldChar w:fldCharType="end"/>
      </w:r>
      <w:r w:rsidR="00783FC5">
        <w:t>,</w:t>
      </w:r>
      <w:r w:rsidRPr="000C6106">
        <w:t xml:space="preserve"> these decreases could have also been the result of the dramatic drop in oil prices. The results presented in this manuscript could be used as a cause-effect method whose results could be used to potentially improve the current “traffic light” policy, </w:t>
      </w:r>
      <w:r w:rsidR="00783FC5">
        <w:t xml:space="preserve">and to </w:t>
      </w:r>
      <w:r w:rsidRPr="000C6106">
        <w:t xml:space="preserve">inform legislators and decision makers by providing sustainable limits for oil and gas extraction in order to minimize the expected number and magnitude of subsequent quakes, thus avoiding future human and property losses. The availability of more information for upcoming years will serve to provide robustness, not only to </w:t>
      </w:r>
      <w:r w:rsidRPr="000C6106">
        <w:lastRenderedPageBreak/>
        <w:t>this, but to other current methods with the main purpose to raise conscience of the potential of human-induced seismic activity and balance out gains for economy, environment and society.</w:t>
      </w:r>
    </w:p>
    <w:p w14:paraId="524BC83D" w14:textId="77777777" w:rsidR="00783FC5" w:rsidRDefault="00783FC5" w:rsidP="00786B0B"/>
    <w:p w14:paraId="3D41498C" w14:textId="270ADB2C" w:rsidR="00041B92" w:rsidRDefault="00D63699" w:rsidP="00D63699">
      <w:pPr>
        <w:pStyle w:val="2"/>
      </w:pPr>
      <w:bookmarkStart w:id="81" w:name="_Toc75939839"/>
      <w:r>
        <w:t xml:space="preserve">2.9 </w:t>
      </w:r>
      <w:r w:rsidRPr="00D63699">
        <w:t>Conclusions</w:t>
      </w:r>
      <w:bookmarkEnd w:id="81"/>
    </w:p>
    <w:p w14:paraId="6686DC42" w14:textId="1C46CAEA" w:rsidR="00D63699" w:rsidRDefault="00943A75" w:rsidP="00D63699">
      <w:r w:rsidRPr="00943A75">
        <w:t>This study has gathered comprehensive datasets of oil and gas industry-related wastewater injection volumes and earthquake number with associated event magnitudes from 2006 to 2017 over Oklahoma. Data were analyzed to remove those seismic events below the threshold of magnitude completeness. First, we explore</w:t>
      </w:r>
      <w:r w:rsidR="00783FC5">
        <w:t>d</w:t>
      </w:r>
      <w:r w:rsidRPr="00943A75">
        <w:t xml:space="preserve"> the spatiotemporal variability of both processes and conclude </w:t>
      </w:r>
      <w:r w:rsidR="00783FC5">
        <w:t xml:space="preserve">that </w:t>
      </w:r>
      <w:r w:rsidRPr="00943A75">
        <w:t xml:space="preserve">a high correspondence between the two supports the hypothesis that </w:t>
      </w:r>
      <w:r w:rsidR="00783FC5">
        <w:t xml:space="preserve">the </w:t>
      </w:r>
      <w:r w:rsidRPr="00943A75">
        <w:t xml:space="preserve">boom in oil and gas production through unconventional methods with wastewater injection was potentially responsible for the upsurge in the state’s seismic activity during 2006 through 2015. Also, a reduction in the number of earthquakes per year in years 2016 and 2017, reflect either the mitigation policies dictated by OCC or the drop in oil and gas prices, or both. Second, a cluster analysis reveals a correlated migration pattern between earthquake occurrences and </w:t>
      </w:r>
      <w:r w:rsidR="00783FC5" w:rsidRPr="00943A75">
        <w:t>saltwater</w:t>
      </w:r>
      <w:r w:rsidRPr="00943A75">
        <w:t xml:space="preserve"> injection activity. Following the migration of the weighted wastewater injection ellipses, weighed epicenters show a predominant northwest direction pattern during the 2007–2017 period. Third, a lagged cross-correlation analysis shows that the number of induced earthquakes in a subsequent month is strongly associated with the previous 25-month cumulative wastewater injection volume and a power law can be fitted between number of quakes and weighted average monthly injection volumes as predictive tool with a coefficient of determination of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=0.77</m:t>
        </m:r>
      </m:oMath>
      <w:r w:rsidRPr="00943A75">
        <w:t xml:space="preserve">. Using such a relation, several sustainable extraction limits are explored and compared with historic means. Results from these analyses expand on previously sustainable limits of 5 to 6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943A75">
        <w:t xml:space="preserve"> to potential combinations that could </w:t>
      </w:r>
      <w:r w:rsidR="004108E1">
        <w:t xml:space="preserve">result in </w:t>
      </w:r>
      <w:r w:rsidRPr="00943A75">
        <w:t xml:space="preserve">the same number </w:t>
      </w:r>
      <w:r w:rsidR="004108E1">
        <w:t xml:space="preserve">of earthquakes </w:t>
      </w:r>
      <w:r w:rsidRPr="00943A75">
        <w:t xml:space="preserve">within the 25 previous months. </w:t>
      </w:r>
      <w:r w:rsidRPr="00943A75">
        <w:lastRenderedPageBreak/>
        <w:t>A model intercomparison of our parsimonious model, a hydromechanical model, and a seismogenic model reveals a satisfactory performance of the proposed approach and similitude to the hydromechanical model outputs. Nonetheless</w:t>
      </w:r>
      <w:r w:rsidR="004108E1">
        <w:t>,</w:t>
      </w:r>
      <w:r w:rsidRPr="00943A75">
        <w:t xml:space="preserve"> sharp changes in seismicity could only be more appropriately represented by the seismogenic model. The approach proposed in this </w:t>
      </w:r>
      <w:r w:rsidR="004108E1">
        <w:t>chapter</w:t>
      </w:r>
      <w:r w:rsidRPr="00943A75">
        <w:t xml:space="preserve"> could potentially be regionalized according to the geology of each zone and results could potentially be used as a tool for further model intercomparison experiments and decision making on spatially varied permission distribution and regional industry development to minimize negative consequences of induced earthquakes.</w:t>
      </w:r>
    </w:p>
    <w:p w14:paraId="6C995881" w14:textId="77777777" w:rsidR="004108E1" w:rsidRDefault="004108E1" w:rsidP="00D63699"/>
    <w:p w14:paraId="72E5D351" w14:textId="51E53D54" w:rsidR="00E646D6" w:rsidRDefault="00E70076" w:rsidP="00E70076">
      <w:pPr>
        <w:pStyle w:val="2"/>
      </w:pPr>
      <w:bookmarkStart w:id="82" w:name="_Toc75939840"/>
      <w:r>
        <w:t>Reference</w:t>
      </w:r>
      <w:r w:rsidR="004108E1">
        <w:t>s</w:t>
      </w:r>
      <w:bookmarkEnd w:id="82"/>
    </w:p>
    <w:p w14:paraId="448514D8" w14:textId="77777777" w:rsidR="00F81116" w:rsidRPr="00974F53" w:rsidRDefault="00F81116" w:rsidP="00F81116">
      <w:pPr>
        <w:pStyle w:val="aff"/>
      </w:pPr>
      <w:bookmarkStart w:id="83" w:name="_Hlk75358479"/>
      <w:r w:rsidRPr="00974F53">
        <w:t xml:space="preserve">Brumbaugh, D. S. (1989). A comparison of duration magnitude to local magnitude for seismic events recorded in northern Arizona. </w:t>
      </w:r>
      <w:r w:rsidRPr="00974F53">
        <w:rPr>
          <w:i/>
          <w:iCs/>
        </w:rPr>
        <w:t>Journal of the Arizona-Nevada Academy of Science</w:t>
      </w:r>
      <w:r w:rsidRPr="00974F53">
        <w:t>, 29–31.</w:t>
      </w:r>
    </w:p>
    <w:p w14:paraId="407D70B2" w14:textId="77777777" w:rsidR="00F81116" w:rsidRPr="00974F53" w:rsidRDefault="00F81116" w:rsidP="00F81116">
      <w:pPr>
        <w:pStyle w:val="aff"/>
      </w:pPr>
      <w:r w:rsidRPr="00974F53">
        <w:t xml:space="preserve">Burt, J. E., Barber, G. M., &amp; Rigby, D. L. (2009). </w:t>
      </w:r>
      <w:r w:rsidRPr="00974F53">
        <w:rPr>
          <w:i/>
          <w:iCs/>
        </w:rPr>
        <w:t>Elementary statistics for geographers</w:t>
      </w:r>
      <w:r w:rsidRPr="00974F53">
        <w:t>. Guilford Press.</w:t>
      </w:r>
    </w:p>
    <w:p w14:paraId="2759286B" w14:textId="77777777" w:rsidR="00F81116" w:rsidRPr="00974F53" w:rsidRDefault="00F81116" w:rsidP="00F81116">
      <w:pPr>
        <w:pStyle w:val="aff"/>
      </w:pPr>
      <w:r w:rsidRPr="00974F53">
        <w:t xml:space="preserve">Council, N. R. (2013). </w:t>
      </w:r>
      <w:r w:rsidRPr="00974F53">
        <w:rPr>
          <w:i/>
          <w:iCs/>
        </w:rPr>
        <w:t>Induced seismicity potential in energy technologies</w:t>
      </w:r>
      <w:r w:rsidRPr="00974F53">
        <w:t>. National Academies Press.</w:t>
      </w:r>
    </w:p>
    <w:p w14:paraId="22705CDA" w14:textId="77777777" w:rsidR="00F81116" w:rsidRPr="00974F53" w:rsidRDefault="00F81116" w:rsidP="00F81116">
      <w:pPr>
        <w:pStyle w:val="aff"/>
      </w:pPr>
      <w:r w:rsidRPr="00974F53">
        <w:t xml:space="preserve">Crain, K., Chang, J. C., &amp; Walter, J. I. (2017). Geophysical anomalies of Osage County and its relationship to Oklahoma seismicity. </w:t>
      </w:r>
      <w:r w:rsidRPr="00974F53">
        <w:rPr>
          <w:i/>
          <w:iCs/>
        </w:rPr>
        <w:t>AGU Fall Meeting Abstracts</w:t>
      </w:r>
      <w:r w:rsidRPr="00974F53">
        <w:t xml:space="preserve">, </w:t>
      </w:r>
      <w:r w:rsidRPr="00974F53">
        <w:rPr>
          <w:i/>
          <w:iCs/>
        </w:rPr>
        <w:t>2017</w:t>
      </w:r>
      <w:r w:rsidRPr="00974F53">
        <w:t>, S23C-0816.</w:t>
      </w:r>
    </w:p>
    <w:p w14:paraId="4BA6D1B7" w14:textId="77777777" w:rsidR="00F81116" w:rsidRPr="00974F53" w:rsidRDefault="00F81116" w:rsidP="00F81116">
      <w:pPr>
        <w:pStyle w:val="aff"/>
      </w:pPr>
      <w:r w:rsidRPr="00974F53">
        <w:t xml:space="preserve">Ellsworth, W. L. (2013). Injection-induced earthquakes. </w:t>
      </w:r>
      <w:r w:rsidRPr="00974F53">
        <w:rPr>
          <w:i/>
          <w:iCs/>
        </w:rPr>
        <w:t>Science</w:t>
      </w:r>
      <w:r w:rsidRPr="00974F53">
        <w:t xml:space="preserve">, </w:t>
      </w:r>
      <w:r w:rsidRPr="00974F53">
        <w:rPr>
          <w:i/>
          <w:iCs/>
        </w:rPr>
        <w:t>341</w:t>
      </w:r>
      <w:r w:rsidRPr="00974F53">
        <w:t>(6142).</w:t>
      </w:r>
    </w:p>
    <w:p w14:paraId="59C82E00" w14:textId="77777777" w:rsidR="00F81116" w:rsidRPr="00974F53" w:rsidRDefault="00F81116" w:rsidP="00F81116">
      <w:pPr>
        <w:pStyle w:val="aff"/>
      </w:pPr>
      <w:r w:rsidRPr="00974F53">
        <w:t xml:space="preserve">Gutenberg, B., &amp; Richter, C. F. (1944). Frequency of earthquakes in California. </w:t>
      </w:r>
      <w:r w:rsidRPr="00974F53">
        <w:rPr>
          <w:i/>
          <w:iCs/>
        </w:rPr>
        <w:t>Bulletin of the Seismological Society of America</w:t>
      </w:r>
      <w:r w:rsidRPr="00974F53">
        <w:t xml:space="preserve">, </w:t>
      </w:r>
      <w:r w:rsidRPr="00974F53">
        <w:rPr>
          <w:i/>
          <w:iCs/>
        </w:rPr>
        <w:t>34</w:t>
      </w:r>
      <w:r w:rsidRPr="00974F53">
        <w:t>(4), 185–188.</w:t>
      </w:r>
    </w:p>
    <w:p w14:paraId="6F998BA4" w14:textId="77777777" w:rsidR="00F81116" w:rsidRPr="00974F53" w:rsidRDefault="00F81116" w:rsidP="00F81116">
      <w:pPr>
        <w:pStyle w:val="aff"/>
      </w:pPr>
      <w:r w:rsidRPr="00974F53">
        <w:lastRenderedPageBreak/>
        <w:t xml:space="preserve">Habermann, R. E. (1991). Seismicity rate variations and systematic changes in magnitudes in teleseismic catalogs. </w:t>
      </w:r>
      <w:r w:rsidRPr="00974F53">
        <w:rPr>
          <w:i/>
          <w:iCs/>
        </w:rPr>
        <w:t>Tectonophysics</w:t>
      </w:r>
      <w:r w:rsidRPr="00974F53">
        <w:t xml:space="preserve">, </w:t>
      </w:r>
      <w:r w:rsidRPr="00974F53">
        <w:rPr>
          <w:i/>
          <w:iCs/>
        </w:rPr>
        <w:t>193</w:t>
      </w:r>
      <w:r w:rsidRPr="00974F53">
        <w:t>(4), 277–289.</w:t>
      </w:r>
    </w:p>
    <w:p w14:paraId="708F0404" w14:textId="77777777" w:rsidR="00F81116" w:rsidRPr="00974F53" w:rsidRDefault="00F81116" w:rsidP="00F81116">
      <w:pPr>
        <w:pStyle w:val="aff"/>
      </w:pPr>
      <w:r w:rsidRPr="00974F53">
        <w:t xml:space="preserve">Hincks, T., Aspinall, W., Cooke, R., &amp; Gernon, T. (2018). Oklahoma’s induced seismicity strongly linked to wastewater injection depth. </w:t>
      </w:r>
      <w:r w:rsidRPr="00974F53">
        <w:rPr>
          <w:i/>
          <w:iCs/>
        </w:rPr>
        <w:t>Science</w:t>
      </w:r>
      <w:r w:rsidRPr="00974F53">
        <w:t xml:space="preserve">, </w:t>
      </w:r>
      <w:r w:rsidRPr="00974F53">
        <w:rPr>
          <w:i/>
          <w:iCs/>
        </w:rPr>
        <w:t>359</w:t>
      </w:r>
      <w:r w:rsidRPr="00974F53">
        <w:t>(6381), 1251–1255.</w:t>
      </w:r>
    </w:p>
    <w:p w14:paraId="399A0DF5" w14:textId="77777777" w:rsidR="00F81116" w:rsidRPr="00974F53" w:rsidRDefault="00F81116" w:rsidP="00F81116">
      <w:pPr>
        <w:pStyle w:val="aff"/>
      </w:pPr>
      <w:r w:rsidRPr="00974F53">
        <w:t xml:space="preserve">Holland, A. A. (2013). Earthquakes triggered by hydraulic fracturing in south‐central Oklahoma. </w:t>
      </w:r>
      <w:r w:rsidRPr="00974F53">
        <w:rPr>
          <w:i/>
          <w:iCs/>
        </w:rPr>
        <w:t>Bulletin of the Seismological Society of America</w:t>
      </w:r>
      <w:r w:rsidRPr="00974F53">
        <w:t xml:space="preserve">, </w:t>
      </w:r>
      <w:r w:rsidRPr="00974F53">
        <w:rPr>
          <w:i/>
          <w:iCs/>
        </w:rPr>
        <w:t>103</w:t>
      </w:r>
      <w:r w:rsidRPr="00974F53">
        <w:t>(3), 1784–1792.</w:t>
      </w:r>
    </w:p>
    <w:p w14:paraId="66163742" w14:textId="77777777" w:rsidR="00F81116" w:rsidRPr="00974F53" w:rsidRDefault="00F81116" w:rsidP="00F81116">
      <w:pPr>
        <w:pStyle w:val="aff"/>
      </w:pPr>
      <w:r w:rsidRPr="00974F53">
        <w:t xml:space="preserve">Horton, S. (2012). Disposal of hydrofracking waste fluid by injection into subsurface aquifers triggers earthquake swarm in central Arkansas with potential for damaging earthquake. </w:t>
      </w:r>
      <w:r w:rsidRPr="00974F53">
        <w:rPr>
          <w:i/>
          <w:iCs/>
        </w:rPr>
        <w:t>Seismological Research Letters</w:t>
      </w:r>
      <w:r w:rsidRPr="00974F53">
        <w:t xml:space="preserve">, </w:t>
      </w:r>
      <w:r w:rsidRPr="00974F53">
        <w:rPr>
          <w:i/>
          <w:iCs/>
        </w:rPr>
        <w:t>83</w:t>
      </w:r>
      <w:r w:rsidRPr="00974F53">
        <w:t>(2), 250–260.</w:t>
      </w:r>
    </w:p>
    <w:p w14:paraId="7D52D536" w14:textId="77777777" w:rsidR="00F81116" w:rsidRPr="00974F53" w:rsidRDefault="00F81116" w:rsidP="00F81116">
      <w:pPr>
        <w:pStyle w:val="aff"/>
      </w:pPr>
      <w:r w:rsidRPr="00974F53">
        <w:t xml:space="preserve">Hough, S. E., &amp; Page, M. (2015). A century of induced earthquakes in Oklahoma? </w:t>
      </w:r>
      <w:r w:rsidRPr="00974F53">
        <w:rPr>
          <w:i/>
          <w:iCs/>
        </w:rPr>
        <w:t>Bulletin of the Seismological Society of America</w:t>
      </w:r>
      <w:r w:rsidRPr="00974F53">
        <w:t xml:space="preserve">, </w:t>
      </w:r>
      <w:r w:rsidRPr="00974F53">
        <w:rPr>
          <w:i/>
          <w:iCs/>
        </w:rPr>
        <w:t>105</w:t>
      </w:r>
      <w:r w:rsidRPr="00974F53">
        <w:t>(6), 2863–2870.</w:t>
      </w:r>
    </w:p>
    <w:p w14:paraId="6DCA6A95" w14:textId="77777777" w:rsidR="00F81116" w:rsidRPr="00974F53" w:rsidRDefault="00F81116" w:rsidP="00F81116">
      <w:pPr>
        <w:pStyle w:val="aff"/>
      </w:pPr>
      <w:r w:rsidRPr="00974F53">
        <w:t xml:space="preserve">Keranen, K. M., Savage, H. M., Abers, G. A., &amp; Cochran, E. S. (2013). Potentially induced earthquakes in Oklahoma, USA: Links between wastewater injection and the 2011 Mw 5.7 earthquake sequence. </w:t>
      </w:r>
      <w:r w:rsidRPr="00974F53">
        <w:rPr>
          <w:i/>
          <w:iCs/>
        </w:rPr>
        <w:t>Geology</w:t>
      </w:r>
      <w:r w:rsidRPr="00974F53">
        <w:t xml:space="preserve">, </w:t>
      </w:r>
      <w:r w:rsidRPr="00974F53">
        <w:rPr>
          <w:i/>
          <w:iCs/>
        </w:rPr>
        <w:t>41</w:t>
      </w:r>
      <w:r w:rsidRPr="00974F53">
        <w:t>(6), 699–702.</w:t>
      </w:r>
    </w:p>
    <w:p w14:paraId="0967BA9D" w14:textId="77777777" w:rsidR="00F81116" w:rsidRPr="00974F53" w:rsidRDefault="00F81116" w:rsidP="00F81116">
      <w:pPr>
        <w:pStyle w:val="aff"/>
      </w:pPr>
      <w:r w:rsidRPr="00974F53">
        <w:t xml:space="preserve">Keranen, K. M., Weingarten, M., Abers, G. A., Bekins, B. A., &amp; Ge, S. (2014). Sharp increase in central Oklahoma seismicity since 2008 induced by massive wastewater injection. </w:t>
      </w:r>
      <w:r w:rsidRPr="00974F53">
        <w:rPr>
          <w:i/>
          <w:iCs/>
        </w:rPr>
        <w:t>Science</w:t>
      </w:r>
      <w:r w:rsidRPr="00974F53">
        <w:t xml:space="preserve">, </w:t>
      </w:r>
      <w:r w:rsidRPr="00974F53">
        <w:rPr>
          <w:i/>
          <w:iCs/>
        </w:rPr>
        <w:t>345</w:t>
      </w:r>
      <w:r w:rsidRPr="00974F53">
        <w:t>(6195), 448–451.</w:t>
      </w:r>
    </w:p>
    <w:p w14:paraId="6B6EBC79" w14:textId="77777777" w:rsidR="00F81116" w:rsidRPr="00974F53" w:rsidRDefault="00F81116" w:rsidP="00F81116">
      <w:pPr>
        <w:pStyle w:val="aff"/>
      </w:pPr>
      <w:r w:rsidRPr="00974F53">
        <w:t xml:space="preserve">Kim, W.-Y. (2013). Induced seismicity associated with fluid injection into a deep well in Youngstown, Ohio. </w:t>
      </w:r>
      <w:r w:rsidRPr="00974F53">
        <w:rPr>
          <w:i/>
          <w:iCs/>
        </w:rPr>
        <w:t>Journal of Geophysical Research: Solid Earth</w:t>
      </w:r>
      <w:r w:rsidRPr="00974F53">
        <w:t xml:space="preserve">, </w:t>
      </w:r>
      <w:r w:rsidRPr="00974F53">
        <w:rPr>
          <w:i/>
          <w:iCs/>
        </w:rPr>
        <w:t>118</w:t>
      </w:r>
      <w:r w:rsidRPr="00974F53">
        <w:t>(7), 3506–3518.</w:t>
      </w:r>
    </w:p>
    <w:p w14:paraId="12416AF1" w14:textId="77777777" w:rsidR="00F81116" w:rsidRPr="00974F53" w:rsidRDefault="00F81116" w:rsidP="00F81116">
      <w:pPr>
        <w:pStyle w:val="aff"/>
      </w:pPr>
      <w:r w:rsidRPr="00974F53">
        <w:t xml:space="preserve">Langenbruch, C., Weingarten, M., &amp; Zoback, M. D. (2018). Physics-based forecasting of man-made earthquake hazards in Oklahoma and Kansas. </w:t>
      </w:r>
      <w:r w:rsidRPr="00974F53">
        <w:rPr>
          <w:i/>
          <w:iCs/>
        </w:rPr>
        <w:t>Nature Communications</w:t>
      </w:r>
      <w:r w:rsidRPr="00974F53">
        <w:t xml:space="preserve">, </w:t>
      </w:r>
      <w:r w:rsidRPr="00974F53">
        <w:rPr>
          <w:i/>
          <w:iCs/>
        </w:rPr>
        <w:t>9</w:t>
      </w:r>
      <w:r w:rsidRPr="00974F53">
        <w:t>(1), 1–10.</w:t>
      </w:r>
    </w:p>
    <w:p w14:paraId="72B05220" w14:textId="77777777" w:rsidR="00F81116" w:rsidRPr="00974F53" w:rsidRDefault="00F81116" w:rsidP="00F81116">
      <w:pPr>
        <w:pStyle w:val="aff"/>
      </w:pPr>
      <w:r w:rsidRPr="00974F53">
        <w:t xml:space="preserve">Langenbruch, C., &amp; Zoback, M. D. (2016). How will induced seismicity in Oklahoma respond to decreased saltwater injection rates? </w:t>
      </w:r>
      <w:r w:rsidRPr="00974F53">
        <w:rPr>
          <w:i/>
          <w:iCs/>
        </w:rPr>
        <w:t>Science Advances</w:t>
      </w:r>
      <w:r w:rsidRPr="00974F53">
        <w:t xml:space="preserve">, </w:t>
      </w:r>
      <w:r w:rsidRPr="00974F53">
        <w:rPr>
          <w:i/>
          <w:iCs/>
        </w:rPr>
        <w:t>2</w:t>
      </w:r>
      <w:r w:rsidRPr="00974F53">
        <w:t>(11), e1601542.</w:t>
      </w:r>
    </w:p>
    <w:p w14:paraId="714B86C4" w14:textId="77777777" w:rsidR="00F81116" w:rsidRPr="00974F53" w:rsidRDefault="00F81116" w:rsidP="00F81116">
      <w:pPr>
        <w:pStyle w:val="aff"/>
      </w:pPr>
      <w:r w:rsidRPr="00974F53">
        <w:lastRenderedPageBreak/>
        <w:t xml:space="preserve">Llenos, A. L., &amp; Michael, A. J. (2013). Modeling earthquake rate changes in Oklahoma and Arkansas: Possible signatures of induced seismicity. </w:t>
      </w:r>
      <w:r w:rsidRPr="00974F53">
        <w:rPr>
          <w:i/>
          <w:iCs/>
        </w:rPr>
        <w:t>Bulletin of the Seismological Society of America</w:t>
      </w:r>
      <w:r w:rsidRPr="00974F53">
        <w:t xml:space="preserve">, </w:t>
      </w:r>
      <w:r w:rsidRPr="00974F53">
        <w:rPr>
          <w:i/>
          <w:iCs/>
        </w:rPr>
        <w:t>103</w:t>
      </w:r>
      <w:r w:rsidRPr="00974F53">
        <w:t>(5), 2850–2861.</w:t>
      </w:r>
    </w:p>
    <w:p w14:paraId="797DF1D4" w14:textId="77777777" w:rsidR="00F81116" w:rsidRPr="00974F53" w:rsidRDefault="00F81116" w:rsidP="00F81116">
      <w:pPr>
        <w:pStyle w:val="aff"/>
      </w:pPr>
      <w:r w:rsidRPr="00974F53">
        <w:t xml:space="preserve">Murray, K. E., &amp; Holland, A. A. (2014). </w:t>
      </w:r>
      <w:r w:rsidRPr="00974F53">
        <w:rPr>
          <w:i/>
          <w:iCs/>
        </w:rPr>
        <w:t>Inventory of class II underground injection control volumes in the midcontinent</w:t>
      </w:r>
      <w:r w:rsidRPr="00974F53">
        <w:t>.</w:t>
      </w:r>
    </w:p>
    <w:p w14:paraId="6FB3501E" w14:textId="77777777" w:rsidR="00F81116" w:rsidRPr="00974F53" w:rsidRDefault="00F81116" w:rsidP="00F81116">
      <w:pPr>
        <w:pStyle w:val="aff"/>
      </w:pPr>
      <w:r w:rsidRPr="00974F53">
        <w:t xml:space="preserve">Norbeck, J. H., &amp; Rubinstein, J. L. (2018). Hydromechanical earthquake nucleation model forecasts onset, peak, and falling rates of induced seismicity in Oklahoma and Kansas. </w:t>
      </w:r>
      <w:r w:rsidRPr="00974F53">
        <w:rPr>
          <w:i/>
          <w:iCs/>
        </w:rPr>
        <w:t>Geophysical Research Letters</w:t>
      </w:r>
      <w:r w:rsidRPr="00974F53">
        <w:t xml:space="preserve">, </w:t>
      </w:r>
      <w:r w:rsidRPr="00974F53">
        <w:rPr>
          <w:i/>
          <w:iCs/>
        </w:rPr>
        <w:t>45</w:t>
      </w:r>
      <w:r w:rsidRPr="00974F53">
        <w:t>(7), 2963–2975.</w:t>
      </w:r>
    </w:p>
    <w:p w14:paraId="4D1583B6" w14:textId="77777777" w:rsidR="00F81116" w:rsidRPr="00974F53" w:rsidRDefault="00F81116" w:rsidP="00F81116">
      <w:pPr>
        <w:pStyle w:val="aff"/>
      </w:pPr>
      <w:r w:rsidRPr="00974F53">
        <w:t xml:space="preserve">Oklahoma Corporation Commission. (2015). </w:t>
      </w:r>
      <w:r w:rsidRPr="00974F53">
        <w:rPr>
          <w:i/>
          <w:iCs/>
        </w:rPr>
        <w:t>Media Advisory—Ongoing OCC Earthquake Response</w:t>
      </w:r>
      <w:r w:rsidRPr="00974F53">
        <w:t>. http://www.occeweb.com/News/2015/03-25-15%20Media%20Advisory%20-%20TL%20and%20related%20documents.pdf</w:t>
      </w:r>
    </w:p>
    <w:p w14:paraId="4D6ABDD9" w14:textId="77777777" w:rsidR="00F81116" w:rsidRPr="00974F53" w:rsidRDefault="00F81116" w:rsidP="00F81116">
      <w:pPr>
        <w:pStyle w:val="aff"/>
      </w:pPr>
      <w:r w:rsidRPr="00974F53">
        <w:t xml:space="preserve">Oklahoma Corporation Commission. (2017). </w:t>
      </w:r>
      <w:r w:rsidRPr="00974F53">
        <w:rPr>
          <w:i/>
          <w:iCs/>
        </w:rPr>
        <w:t>Earthquake Response Summary</w:t>
      </w:r>
      <w:r w:rsidRPr="00974F53">
        <w:t>. http://www.occeweb.com/News/2017/02-24-17EARTHQUAKE%20ACTION%20SUMMARY.pdf</w:t>
      </w:r>
    </w:p>
    <w:p w14:paraId="13021AC8" w14:textId="77777777" w:rsidR="00F81116" w:rsidRPr="00974F53" w:rsidRDefault="00F81116" w:rsidP="00F81116">
      <w:pPr>
        <w:pStyle w:val="aff"/>
      </w:pPr>
      <w:r w:rsidRPr="00974F53">
        <w:t xml:space="preserve">Oklahoma Corporation Commission. (2018). </w:t>
      </w:r>
      <w:r w:rsidRPr="00974F53">
        <w:rPr>
          <w:i/>
          <w:iCs/>
        </w:rPr>
        <w:t>Oil and Gas Data Files</w:t>
      </w:r>
      <w:r w:rsidRPr="00974F53">
        <w:t>. http://www.occeweb.com/OG/ogdatafiles2.htm</w:t>
      </w:r>
    </w:p>
    <w:p w14:paraId="52CA222D" w14:textId="77777777" w:rsidR="00F81116" w:rsidRPr="00974F53" w:rsidRDefault="00F81116" w:rsidP="00F81116">
      <w:pPr>
        <w:pStyle w:val="aff"/>
      </w:pPr>
      <w:r w:rsidRPr="00974F53">
        <w:t xml:space="preserve">Oklahoma Geological Survey. (2018). </w:t>
      </w:r>
      <w:r w:rsidRPr="00974F53">
        <w:rPr>
          <w:i/>
          <w:iCs/>
        </w:rPr>
        <w:t>Earthquake Catalogs</w:t>
      </w:r>
      <w:r w:rsidRPr="00974F53">
        <w:t>. https://www.ou.edu/content/ogs/research/earthquakes/catalogs.html</w:t>
      </w:r>
    </w:p>
    <w:p w14:paraId="2F8E090B" w14:textId="77777777" w:rsidR="00F81116" w:rsidRPr="00974F53" w:rsidRDefault="00F81116" w:rsidP="00F81116">
      <w:pPr>
        <w:pStyle w:val="aff"/>
      </w:pPr>
      <w:r w:rsidRPr="00974F53">
        <w:t xml:space="preserve">Pollyea, R. M., Mohammadi, N., Taylor, J. E., &amp; Chapman, M. C. (2018). Geospatial analysis of Oklahoma (USA) earthquakes (2011–2016): Quantifying the limits of regional-scale earthquake mitigation measures. </w:t>
      </w:r>
      <w:r w:rsidRPr="00974F53">
        <w:rPr>
          <w:i/>
          <w:iCs/>
        </w:rPr>
        <w:t>Geology</w:t>
      </w:r>
      <w:r w:rsidRPr="00974F53">
        <w:t xml:space="preserve">, </w:t>
      </w:r>
      <w:r w:rsidRPr="00974F53">
        <w:rPr>
          <w:i/>
          <w:iCs/>
        </w:rPr>
        <w:t>46</w:t>
      </w:r>
      <w:r w:rsidRPr="00974F53">
        <w:t>(3), 215–218.</w:t>
      </w:r>
    </w:p>
    <w:p w14:paraId="76FDA5A9" w14:textId="77777777" w:rsidR="00F81116" w:rsidRPr="00974F53" w:rsidRDefault="00F81116" w:rsidP="00F81116">
      <w:pPr>
        <w:pStyle w:val="aff"/>
      </w:pPr>
      <w:r w:rsidRPr="00974F53">
        <w:t xml:space="preserve">Shah, A. K., &amp; Keller, G. R. (2017). Geologic influence on induced seismicity: Constraints from potential field data in Oklahoma. </w:t>
      </w:r>
      <w:r w:rsidRPr="00974F53">
        <w:rPr>
          <w:i/>
          <w:iCs/>
        </w:rPr>
        <w:t>Geophysical Research Letters</w:t>
      </w:r>
      <w:r w:rsidRPr="00974F53">
        <w:t xml:space="preserve">, </w:t>
      </w:r>
      <w:r w:rsidRPr="00974F53">
        <w:rPr>
          <w:i/>
          <w:iCs/>
        </w:rPr>
        <w:t>44</w:t>
      </w:r>
      <w:r w:rsidRPr="00974F53">
        <w:t>(1), 152–161.</w:t>
      </w:r>
    </w:p>
    <w:p w14:paraId="7BC94D36" w14:textId="77777777" w:rsidR="00F81116" w:rsidRPr="00974F53" w:rsidRDefault="00F81116" w:rsidP="00F81116">
      <w:pPr>
        <w:pStyle w:val="aff"/>
      </w:pPr>
      <w:r w:rsidRPr="00974F53">
        <w:lastRenderedPageBreak/>
        <w:t xml:space="preserve">Van der Elst, N. J., Savage, H. M., Keranen, K. M., &amp; Abers, G. A. (2013). Enhanced remote earthquake triggering at fluid-injection sites in the midwestern United States. </w:t>
      </w:r>
      <w:r w:rsidRPr="00974F53">
        <w:rPr>
          <w:i/>
          <w:iCs/>
        </w:rPr>
        <w:t>Science</w:t>
      </w:r>
      <w:r w:rsidRPr="00974F53">
        <w:t xml:space="preserve">, </w:t>
      </w:r>
      <w:r w:rsidRPr="00974F53">
        <w:rPr>
          <w:i/>
          <w:iCs/>
        </w:rPr>
        <w:t>341</w:t>
      </w:r>
      <w:r w:rsidRPr="00974F53">
        <w:t>(6142), 164–167.</w:t>
      </w:r>
    </w:p>
    <w:p w14:paraId="74A40487" w14:textId="77777777" w:rsidR="00F81116" w:rsidRPr="00974F53" w:rsidRDefault="00F81116" w:rsidP="00F81116">
      <w:pPr>
        <w:pStyle w:val="aff"/>
      </w:pPr>
      <w:r w:rsidRPr="00974F53">
        <w:t xml:space="preserve">Walsh, F. R., &amp; Zoback, M. D. (2015). Oklahoma’s recent earthquakes and saltwater disposal. </w:t>
      </w:r>
      <w:r w:rsidRPr="00974F53">
        <w:rPr>
          <w:i/>
          <w:iCs/>
        </w:rPr>
        <w:t>Science Advances</w:t>
      </w:r>
      <w:r w:rsidRPr="00974F53">
        <w:t xml:space="preserve">, </w:t>
      </w:r>
      <w:r w:rsidRPr="00974F53">
        <w:rPr>
          <w:i/>
          <w:iCs/>
        </w:rPr>
        <w:t>1</w:t>
      </w:r>
      <w:r w:rsidRPr="00974F53">
        <w:t>(5), e1500195.</w:t>
      </w:r>
    </w:p>
    <w:p w14:paraId="534EAF3F" w14:textId="77777777" w:rsidR="00F81116" w:rsidRPr="00974F53" w:rsidRDefault="00F81116" w:rsidP="00F81116">
      <w:pPr>
        <w:pStyle w:val="aff"/>
      </w:pPr>
      <w:r w:rsidRPr="00974F53">
        <w:t xml:space="preserve">Weingarten, M., Ge, S., Godt, J. W., Bekins, B. A., &amp; Rubinstein, J. L. (2015). High-rate injection is associated with the increase in US mid-continent seismicity. </w:t>
      </w:r>
      <w:r w:rsidRPr="00974F53">
        <w:rPr>
          <w:i/>
          <w:iCs/>
        </w:rPr>
        <w:t>Science</w:t>
      </w:r>
      <w:r w:rsidRPr="00974F53">
        <w:t xml:space="preserve">, </w:t>
      </w:r>
      <w:r w:rsidRPr="00974F53">
        <w:rPr>
          <w:i/>
          <w:iCs/>
        </w:rPr>
        <w:t>348</w:t>
      </w:r>
      <w:r w:rsidRPr="00974F53">
        <w:t>(6241), 1336–1340.</w:t>
      </w:r>
    </w:p>
    <w:p w14:paraId="0CA5D5A3" w14:textId="77777777" w:rsidR="00F81116" w:rsidRPr="00974F53" w:rsidRDefault="00F81116" w:rsidP="00F81116">
      <w:pPr>
        <w:pStyle w:val="aff"/>
      </w:pPr>
      <w:r w:rsidRPr="00974F53">
        <w:t xml:space="preserve">Wiemer, S., &amp; Wyss, M. (2000). Minimum magnitude of completeness in earthquake catalogs: Examples from Alaska, the western United States, and Japan. </w:t>
      </w:r>
      <w:r w:rsidRPr="00974F53">
        <w:rPr>
          <w:i/>
          <w:iCs/>
        </w:rPr>
        <w:t>Bulletin of the Seismological Society of America</w:t>
      </w:r>
      <w:r w:rsidRPr="00974F53">
        <w:t xml:space="preserve">, </w:t>
      </w:r>
      <w:r w:rsidRPr="00974F53">
        <w:rPr>
          <w:i/>
          <w:iCs/>
        </w:rPr>
        <w:t>90</w:t>
      </w:r>
      <w:r w:rsidRPr="00974F53">
        <w:t>(4), 859–869.</w:t>
      </w:r>
    </w:p>
    <w:p w14:paraId="51018835" w14:textId="77777777" w:rsidR="00F81116" w:rsidRPr="00974F53" w:rsidRDefault="00F81116" w:rsidP="00F81116">
      <w:pPr>
        <w:pStyle w:val="aff"/>
      </w:pPr>
      <w:r w:rsidRPr="00974F53">
        <w:t xml:space="preserve">Woessner, J., &amp; Wiemer, S. (2005). Assessing the quality of earthquake catalogues: Estimating the magnitude of completeness and its uncertainty. </w:t>
      </w:r>
      <w:r w:rsidRPr="00974F53">
        <w:rPr>
          <w:i/>
          <w:iCs/>
        </w:rPr>
        <w:t>Bulletin of the Seismological Society of America</w:t>
      </w:r>
      <w:r w:rsidRPr="00974F53">
        <w:t xml:space="preserve">, </w:t>
      </w:r>
      <w:r w:rsidRPr="00974F53">
        <w:rPr>
          <w:i/>
          <w:iCs/>
        </w:rPr>
        <w:t>95</w:t>
      </w:r>
      <w:r w:rsidRPr="00974F53">
        <w:t>(2), 684–698.</w:t>
      </w:r>
    </w:p>
    <w:p w14:paraId="42D349B9" w14:textId="77777777" w:rsidR="00F81116" w:rsidRPr="00974F53" w:rsidRDefault="00F81116" w:rsidP="00F81116">
      <w:pPr>
        <w:pStyle w:val="aff"/>
      </w:pPr>
      <w:r w:rsidRPr="00974F53">
        <w:t xml:space="preserve">Zoback, M. D. (2012). Managing the seismic risk posed by wastewater disposal. </w:t>
      </w:r>
      <w:r w:rsidRPr="00974F53">
        <w:rPr>
          <w:i/>
          <w:iCs/>
        </w:rPr>
        <w:t>Earth</w:t>
      </w:r>
      <w:r w:rsidRPr="00974F53">
        <w:t xml:space="preserve">, </w:t>
      </w:r>
      <w:r w:rsidRPr="00974F53">
        <w:rPr>
          <w:i/>
          <w:iCs/>
        </w:rPr>
        <w:t>57</w:t>
      </w:r>
      <w:r w:rsidRPr="00974F53">
        <w:t>(4), 38.</w:t>
      </w:r>
    </w:p>
    <w:bookmarkEnd w:id="83"/>
    <w:p w14:paraId="57701C82" w14:textId="0BC93A13" w:rsidR="00E70076" w:rsidRPr="00E70076" w:rsidRDefault="00E70076" w:rsidP="00E70076"/>
    <w:p w14:paraId="754B2879" w14:textId="5F5C9780" w:rsidR="0041229A" w:rsidRDefault="0041229A" w:rsidP="0041229A">
      <w:pPr>
        <w:ind w:firstLine="0"/>
      </w:pPr>
    </w:p>
    <w:p w14:paraId="5A4630AA" w14:textId="5D74F065" w:rsidR="00F01F6D" w:rsidRDefault="00F01F6D" w:rsidP="00306A8A">
      <w:pPr>
        <w:ind w:firstLine="0"/>
      </w:pPr>
    </w:p>
    <w:p w14:paraId="6A3738D1" w14:textId="3506BB83" w:rsidR="001C459D" w:rsidRDefault="001C459D" w:rsidP="00306A8A">
      <w:pPr>
        <w:ind w:firstLine="0"/>
      </w:pPr>
    </w:p>
    <w:p w14:paraId="5E545A3E" w14:textId="393F93F4" w:rsidR="001C459D" w:rsidRDefault="001C459D" w:rsidP="00306A8A">
      <w:pPr>
        <w:ind w:firstLine="0"/>
      </w:pPr>
    </w:p>
    <w:p w14:paraId="571BBCCC" w14:textId="237AF30B" w:rsidR="001C459D" w:rsidRDefault="001C459D" w:rsidP="00306A8A">
      <w:pPr>
        <w:ind w:firstLine="0"/>
      </w:pPr>
    </w:p>
    <w:p w14:paraId="3ECA9F46" w14:textId="1876E2CC" w:rsidR="001C459D" w:rsidRDefault="001C459D" w:rsidP="00306A8A">
      <w:pPr>
        <w:ind w:firstLine="0"/>
      </w:pPr>
    </w:p>
    <w:p w14:paraId="7ABDD7A5" w14:textId="77777777" w:rsidR="001C459D" w:rsidRPr="00F01F6D" w:rsidRDefault="001C459D" w:rsidP="00306A8A">
      <w:pPr>
        <w:ind w:firstLine="0"/>
      </w:pPr>
    </w:p>
    <w:p w14:paraId="2412E4E6" w14:textId="0C0E8612" w:rsidR="005E347A" w:rsidRPr="0055220C" w:rsidRDefault="001C459D" w:rsidP="000104A8">
      <w:pPr>
        <w:pStyle w:val="1"/>
      </w:pPr>
      <w:bookmarkStart w:id="84" w:name="_Toc75939841"/>
      <w:r>
        <w:lastRenderedPageBreak/>
        <w:t xml:space="preserve">Chapter 3 </w:t>
      </w:r>
      <w:r w:rsidR="0084593B" w:rsidRPr="0055220C">
        <w:t xml:space="preserve">Cross-evaluation of </w:t>
      </w:r>
      <w:r w:rsidR="007844BA">
        <w:t>G</w:t>
      </w:r>
      <w:r w:rsidR="0084593B" w:rsidRPr="0055220C">
        <w:t xml:space="preserve">round-based, </w:t>
      </w:r>
      <w:r w:rsidR="007844BA">
        <w:t>S</w:t>
      </w:r>
      <w:r w:rsidR="0084593B" w:rsidRPr="0055220C">
        <w:t xml:space="preserve">atellite and </w:t>
      </w:r>
      <w:r w:rsidR="007844BA">
        <w:t>L</w:t>
      </w:r>
      <w:r w:rsidR="0084593B" w:rsidRPr="0055220C">
        <w:t xml:space="preserve">and </w:t>
      </w:r>
      <w:r w:rsidR="00D84CF2">
        <w:t>S</w:t>
      </w:r>
      <w:r w:rsidR="0084593B" w:rsidRPr="0055220C">
        <w:t xml:space="preserve">urface </w:t>
      </w:r>
      <w:r w:rsidR="00D84CF2">
        <w:t>M</w:t>
      </w:r>
      <w:r w:rsidR="0084593B" w:rsidRPr="0055220C">
        <w:t xml:space="preserve">odel </w:t>
      </w:r>
      <w:r w:rsidR="00D84CF2">
        <w:t>S</w:t>
      </w:r>
      <w:r w:rsidR="0084593B" w:rsidRPr="0055220C">
        <w:t xml:space="preserve">oil </w:t>
      </w:r>
      <w:r w:rsidR="00D84CF2">
        <w:t>M</w:t>
      </w:r>
      <w:r w:rsidR="0084593B" w:rsidRPr="0055220C">
        <w:t xml:space="preserve">oisture </w:t>
      </w:r>
      <w:r w:rsidR="00D84CF2">
        <w:t>P</w:t>
      </w:r>
      <w:r w:rsidR="0084593B" w:rsidRPr="0055220C">
        <w:t xml:space="preserve">roducts </w:t>
      </w:r>
      <w:r w:rsidR="00B12118">
        <w:t>t</w:t>
      </w:r>
      <w:r w:rsidR="0084593B" w:rsidRPr="0055220C">
        <w:t xml:space="preserve">hrough the Triple Collocation </w:t>
      </w:r>
      <w:r w:rsidR="000D4B61">
        <w:t>M</w:t>
      </w:r>
      <w:r w:rsidR="0084593B" w:rsidRPr="0055220C">
        <w:t xml:space="preserve">ethod </w:t>
      </w:r>
      <w:r w:rsidR="00AC620A">
        <w:t>a</w:t>
      </w:r>
      <w:r w:rsidR="0084593B" w:rsidRPr="0055220C">
        <w:t>cross Oklahoma</w:t>
      </w:r>
      <w:bookmarkEnd w:id="84"/>
    </w:p>
    <w:p w14:paraId="369BD930" w14:textId="1427093B" w:rsidR="006D2931" w:rsidRDefault="00053129" w:rsidP="00053129">
      <w:pPr>
        <w:pStyle w:val="2"/>
      </w:pPr>
      <w:bookmarkStart w:id="85" w:name="_Toc75939842"/>
      <w:r>
        <w:t>Abstract</w:t>
      </w:r>
      <w:bookmarkEnd w:id="85"/>
    </w:p>
    <w:p w14:paraId="3899CF89" w14:textId="024C9910" w:rsidR="00053129" w:rsidRDefault="00053129" w:rsidP="006D2931">
      <w:r w:rsidRPr="00053129">
        <w:t xml:space="preserve">Improvements in the field of soil moisture observations and modeling play a vital role in drought, water resources, flooding, and landslide management and predictability. Up to date soil moisture estimates can be obtained through three primary approaches: (1) in situ measurements, (2) remote sensing observations and (3) Land Surface Models (LSM). Each source of soil moisture data has its strengths and weaknesses. </w:t>
      </w:r>
      <w:r w:rsidR="5E4FB5CC">
        <w:t>However, all three main soil moisture measurements are subject to representativeness inadequacies over various land cover types and correct interpretation and application of their products requires an in-depth understanding of their accuracy.</w:t>
      </w:r>
      <w:r w:rsidRPr="00053129">
        <w:t xml:space="preserve"> In this </w:t>
      </w:r>
      <w:r w:rsidR="00E60552">
        <w:t>chapter</w:t>
      </w:r>
      <w:r w:rsidRPr="00053129">
        <w:t xml:space="preserve">, we apply Triple Collocation (TC) analysis to three independent soil moisture products in order to characterize their uncertainty structures. Oklahoma is an ideal domain to test the hypotheses of this work </w:t>
      </w:r>
      <w:r w:rsidR="00E60552">
        <w:t>due to t</w:t>
      </w:r>
      <w:r w:rsidRPr="00053129">
        <w:t xml:space="preserve">he presence of marked west to east gradients in climate, vegetation, and soils. The comparison and evaluation are conducted with daily data from 01 April 2015 to 01 July 2019 over seven land cover types. The three soil moisture products evaluated include: microwave remotely sensed Soil Moisture Active Passive (SMAP) L3_SM_P_E (9 km, daily) measurements, physically based land surface modeling soil moisture estimates NLDAS_NOAH0125_H (1/8°, hourly; Noah), and the </w:t>
      </w:r>
      <w:r w:rsidR="00E60552" w:rsidRPr="00053129">
        <w:t>in-situ</w:t>
      </w:r>
      <w:r w:rsidRPr="00053129">
        <w:t xml:space="preserve"> soil moisture network of the Oklahoma Mesonet (point, 30 minutes). Results indicate that in general, Mesonet is the most reliable point product, reflecting the main spatiotemporal characteristics of soil moisture, while SMAP has the lowest accuracy. The spatio-temporally integrated mean square errors (RMSE), with respect to the unknown true soil moisture, of Mesonet, Noah, and SMAP are 0.054, 0.026, </w:t>
      </w:r>
      <w:r w:rsidR="00E60552">
        <w:lastRenderedPageBreak/>
        <w:t xml:space="preserve">and </w:t>
      </w:r>
      <w:r w:rsidRPr="00053129">
        <w:t xml:space="preserve">0.107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sSup>
              <m:sSupPr>
                <m:ctrlPr>
                  <w:rPr>
                    <w:rFonts w:ascii="Cambria Math" w:hAnsi="Cambria Math"/>
                    <w:i/>
                  </w:rPr>
                </m:ctrlPr>
              </m:sSupPr>
              <m:e>
                <m:r>
                  <w:rPr>
                    <w:rFonts w:ascii="Cambria Math" w:hAnsi="Cambria Math"/>
                  </w:rPr>
                  <m:t>m</m:t>
                </m:r>
              </m:e>
              <m:sup>
                <m:r>
                  <w:rPr>
                    <w:rFonts w:ascii="Cambria Math" w:hAnsi="Cambria Math"/>
                  </w:rPr>
                  <m:t>3</m:t>
                </m:r>
              </m:sup>
            </m:sSup>
          </m:den>
        </m:f>
      </m:oMath>
      <w:r w:rsidRPr="00053129">
        <w:t xml:space="preserve">, respectively, while the overall Pearson correlation coefficients (CC) are 0.805, 0.747, </w:t>
      </w:r>
      <w:r w:rsidR="00E60552">
        <w:t xml:space="preserve">and </w:t>
      </w:r>
      <w:r w:rsidRPr="00053129">
        <w:t>0.314.  Mesonet has the best performance in shrub/scrub, herbaceuous, hay/pasture</w:t>
      </w:r>
      <w:r w:rsidR="00E60552">
        <w:t>,</w:t>
      </w:r>
      <w:r w:rsidRPr="00053129">
        <w:t xml:space="preserve"> and cultivated crops with an average correlation coefficient of 0.785. Noah achieves the best performance in evergreen, mixed and deciduous forest, with an average correlation coefficient of 0.74. SMAP has the lowest correlation coefficient values on all seven land cover types, with an average CC of 0.29. The study concludes that the TCA method provides not only a new perspective for comparatively assessing multi-source soil moisture products but also a basis for objective data merging to capitalize on the strengths of multi-sensor multiplatform soil moisture products.</w:t>
      </w:r>
    </w:p>
    <w:p w14:paraId="08E7FBB6" w14:textId="77777777" w:rsidR="00E60552" w:rsidRDefault="00E60552" w:rsidP="006D2931"/>
    <w:p w14:paraId="1F21577C" w14:textId="6D284B5D" w:rsidR="00C83DD8" w:rsidRDefault="00C83DD8" w:rsidP="00C83DD8">
      <w:pPr>
        <w:pStyle w:val="2"/>
      </w:pPr>
      <w:bookmarkStart w:id="86" w:name="_Toc75939843"/>
      <w:r>
        <w:t>3.1 Introduction</w:t>
      </w:r>
      <w:bookmarkEnd w:id="86"/>
    </w:p>
    <w:p w14:paraId="4A152C6B" w14:textId="4B89F4BD" w:rsidR="000973B9" w:rsidRDefault="000973B9" w:rsidP="000973B9">
      <w:bookmarkStart w:id="87" w:name="_Hlk75359337"/>
      <w:r>
        <w:t xml:space="preserve">Soil moisture (SM) refers to the water held in the space between soil particles and is often quantified as soil water content, the ratio of water to soil in volume or weight. This variable plays a fundamental role in controlling the water, energy and biogeochemical cycles and is a fundamental factor in sustaining and ending droughts </w:t>
      </w:r>
      <w:r w:rsidR="00F32FF7">
        <w:fldChar w:fldCharType="begin"/>
      </w:r>
      <w:r w:rsidR="00E82A68">
        <w:instrText xml:space="preserve"> ADDIN ZOTERO_ITEM CSL_CITATION {"citationID":"wkTA37hw","properties":{"formattedCitation":"(Seneviratne et al., 2010)","plainCitation":"(Seneviratne et al., 2010)","noteIndex":0},"citationItems":[{"id":103,"uris":["http://zotero.org/users/7782726/items/XJ25NP9P"],"uri":["http://zotero.org/users/7782726/items/XJ25NP9P"],"itemData":{"id":103,"type":"article-journal","abstract":"Soil moisture is a key variable of the climate system. It constrains plant transpiration and photosynthesis in several regions of the world, with consequent impacts on the water, energy and biogeochemical cycles. Moreover it is a storage component for precipitation and radiation anomalies, inducing persistence in the climate system. Finally, it is involved in a number of feedbacks at the local, regional and global scales, and plays a major role in climate-change projections. In this review, we provide a synthesis of past research on the role of soil moisture for the climate system, based both on modelling and observational studies. We focus on soil moisture–temperature and soil moisture–precipitation feedbacks, and their possible modifications with climate change. We also highlight further impacts of soil moisture on climate, and the state of research regarding the validation of the relevant processes. There are promises for major advances in this research field in coming years thanks to the development of new validation datasets and multi-model initiatives. However, the availability of ground observations continues to be critical in limiting progress and should therefore strongly be fostered at the international level. Exchanges across disciplines will also be essential for bridging current knowledge gaps in this field. This is of key importance given the manifold impacts of soil moisture on climate, and their relevance for climate-change projections. A better understanding and quantification of the relevant processes would significantly help to reduce uncertainties in future-climate scenarios, in particular with regard to changes in climate variability and extreme events, as well as ecosystem and agricultural impacts.","container-title":"Earth-Science Reviews","DOI":"10.1016/j.earscirev.2010.02.004","ISSN":"0012-8252","issue":"3","journalAbbreviation":"Earth-Science Reviews","language":"en","page":"125-161","source":"ScienceDirect","title":"Investigating soil moisture–climate interactions in a changing climate: A review","title-short":"Investigating soil moisture–climate interactions in a changing climate","volume":"99","author":[{"family":"Seneviratne","given":"Sonia I."},{"family":"Corti","given":"Thierry"},{"family":"Davin","given":"Edouard L."},{"family":"Hirschi","given":"Martin"},{"family":"Jaeger","given":"Eric B."},{"family":"Lehner","given":"Irene"},{"family":"Orlowsky","given":"Boris"},{"family":"Teuling","given":"Adriaan J."}],"issued":{"date-parts":[["2010",5,1]]}}}],"schema":"https://github.com/citation-style-language/schema/raw/master/csl-citation.json"} </w:instrText>
      </w:r>
      <w:r w:rsidR="00F32FF7">
        <w:fldChar w:fldCharType="separate"/>
      </w:r>
      <w:r w:rsidR="00F32FF7" w:rsidRPr="00F32FF7">
        <w:t>(Seneviratne et al., 2010)</w:t>
      </w:r>
      <w:r w:rsidR="00F32FF7">
        <w:fldChar w:fldCharType="end"/>
      </w:r>
      <w:r>
        <w:t xml:space="preserve"> but also for triggering or enhancing floods and mass movements. While soil moisture only accounts for a very small amount (approximately 0.05%) of the total quantity of water within the global hydrological cycle, it plays a critical role in the climate system and the hydrological cycle </w:t>
      </w:r>
      <w:r w:rsidR="00406BD4">
        <w:fldChar w:fldCharType="begin"/>
      </w:r>
      <w:r w:rsidR="00E82A68">
        <w:instrText xml:space="preserve"> ADDIN ZOTERO_ITEM CSL_CITATION {"citationID":"UqP9DCNM","properties":{"formattedCitation":"(Dingman, 2015; Seneviratne et al., 2010)","plainCitation":"(Dingman, 2015; Seneviratne et al., 2010)","noteIndex":0},"citationItems":[{"id":105,"uris":["http://zotero.org/users/7782726/items/4TS8A6DL"],"uri":["http://zotero.org/users/7782726/items/4TS8A6DL"],"itemData":{"id":105,"type":"book","abstract":"For twenty years, Lawrence  Dingman’s well-written, comprehensive Physical Hydrology has set  standards for balancing theoretical depth and breadth of applications.  Rich in substance and written to meet the needs of future researchers  and experts in the field, Dingman treats hydrology as a distinct  geoscience that is continually expanding to deal with large-scale  changes in land use and climate. The third edition provides a solid  conceptual basis of the subject and introduces the quantitative  relations involved in answering scientific and management questions  about water resources. The text is organized around three principal  themes: the basic concepts underlying the science of hydrology; the  exchange of water and energy between the atmosphere and the earth’s  surface; and the land phase of the hydrologic cycle. Dingman supplies  the basic physical principles necessary for developing a sound,  instructive sense of the way in which water moves on and through the  land; in addition, he describes the assumptions behind each analytical  approach and identifies the limitations of each.","ISBN":"978-1-4786-2807-1","language":"en","note":"Google-Books-ID: rUUaBgAAQBAJ","number-of-pages":"657","publisher":"Waveland Press","source":"Google Books","title":"Physical Hydrology: Third Edition","title-short":"Physical Hydrology","author":[{"family":"Dingman","given":"S. Lawrence"}],"issued":{"date-parts":[["2015",1,9]]}}},{"id":103,"uris":["http://zotero.org/users/7782726/items/XJ25NP9P"],"uri":["http://zotero.org/users/7782726/items/XJ25NP9P"],"itemData":{"id":103,"type":"article-journal","abstract":"Soil moisture is a key variable of the climate system. It constrains plant transpiration and photosynthesis in several regions of the world, with consequent impacts on the water, energy and biogeochemical cycles. Moreover it is a storage component for precipitation and radiation anomalies, inducing persistence in the climate system. Finally, it is involved in a number of feedbacks at the local, regional and global scales, and plays a major role in climate-change projections. In this review, we provide a synthesis of past research on the role of soil moisture for the climate system, based both on modelling and observational studies. We focus on soil moisture–temperature and soil moisture–precipitation feedbacks, and their possible modifications with climate change. We also highlight further impacts of soil moisture on climate, and the state of research regarding the validation of the relevant processes. There are promises for major advances in this research field in coming years thanks to the development of new validation datasets and multi-model initiatives. However, the availability of ground observations continues to be critical in limiting progress and should therefore strongly be fostered at the international level. Exchanges across disciplines will also be essential for bridging current knowledge gaps in this field. This is of key importance given the manifold impacts of soil moisture on climate, and their relevance for climate-change projections. A better understanding and quantification of the relevant processes would significantly help to reduce uncertainties in future-climate scenarios, in particular with regard to changes in climate variability and extreme events, as well as ecosystem and agricultural impacts.","container-title":"Earth-Science Reviews","DOI":"10.1016/j.earscirev.2010.02.004","ISSN":"0012-8252","issue":"3","journalAbbreviation":"Earth-Science Reviews","language":"en","page":"125-161","source":"ScienceDirect","title":"Investigating soil moisture–climate interactions in a changing climate: A review","title-short":"Investigating soil moisture–climate interactions in a changing climate","volume":"99","author":[{"family":"Seneviratne","given":"Sonia I."},{"family":"Corti","given":"Thierry"},{"family":"Davin","given":"Edouard L."},{"family":"Hirschi","given":"Martin"},{"family":"Jaeger","given":"Eric B."},{"family":"Lehner","given":"Irene"},{"family":"Orlowsky","given":"Boris"},{"family":"Teuling","given":"Adriaan J."}],"issued":{"date-parts":[["2010",5,1]]}}}],"schema":"https://github.com/citation-style-language/schema/raw/master/csl-citation.json"} </w:instrText>
      </w:r>
      <w:r w:rsidR="00406BD4">
        <w:fldChar w:fldCharType="separate"/>
      </w:r>
      <w:r w:rsidR="00406BD4" w:rsidRPr="00406BD4">
        <w:t>(Dingman, 2015; Seneviratne et al., 2010)</w:t>
      </w:r>
      <w:r w:rsidR="00406BD4">
        <w:fldChar w:fldCharType="end"/>
      </w:r>
      <w:r>
        <w:t xml:space="preserve">. At the field scale, accurate measurement of soil moisture could benefit precision agriculture, especially precise irrigation and fertilization </w:t>
      </w:r>
      <w:r w:rsidR="00AF793D">
        <w:fldChar w:fldCharType="begin"/>
      </w:r>
      <w:r w:rsidR="00E82A68">
        <w:instrText xml:space="preserve"> ADDIN ZOTERO_ITEM CSL_CITATION {"citationID":"y549fcXg","properties":{"formattedCitation":"(Mohd Kassim et al., 2014; Woodley, 2017)","plainCitation":"(Mohd Kassim et al., 2014; Woodley, 2017)","noteIndex":0},"citationItems":[{"id":109,"uris":["http://zotero.org/users/7782726/items/RV35UH3B"],"uri":["http://zotero.org/users/7782726/items/RV35UH3B"],"itemData":{"id":109,"type":"paper-conference","abstract":"The Wireless Sensors Network (WSN) is nowadays widely used to build decision support systems to overcome many problems in the real-world. One of the most interesting fields having an increasing need of decision support systems is precision agriculture (PA). This paper presents WSN as the best way to solve the agricultural problems related to farming resources optimization, decision making support, and land monitoring. This approach provides real-time information about the lands and crops that will help farmers make right decisions. Using the basic principles of Internet and WSN technology, precision agriculture systems based on the internet of things (IOT) technology is explained in detail especially on the hardware architecture, network architecture and software process control of the precision irrigation system. The software monitors data from the sensors in a feedback loop which activates the control devices based on threshold value. Implementation of WSN in PA will optimize the usage of water fertilizer and also maximized the yield of the crops.","container-title":"2014 International Conference on Computer, Information and Telecommunication Systems (CITS)","DOI":"10.1109/CITS.2014.6878963","event":"2014 International Conference on Computer, Information and Telecommunication Systems (CITS)","page":"1-5","source":"IEEE Xplore","title":"Wireless Sensor Network in precision agriculture application","author":[{"family":"Mohd Kassim","given":"Mohamed Rawidean"},{"family":"Mat","given":"Ibrahim"},{"family":"Harun","given":"Ahmad Nizar"}],"issued":{"date-parts":[["2014",7]]}}},{"id":178,"uris":["http://zotero.org/users/7782726/items/X5NBLZKK"],"uri":["http://zotero.org/users/7782726/items/X5NBLZKK"],"itemData":{"id":178,"type":"thesis","title":"Investigating the upscaling of in situ soil moisture measurements for satellite validation","author":[{"family":"Woodley","given":"William"}],"issued":{"date-parts":[["2017"]]}}}],"schema":"https://github.com/citation-style-language/schema/raw/master/csl-citation.json"} </w:instrText>
      </w:r>
      <w:r w:rsidR="00AF793D">
        <w:fldChar w:fldCharType="separate"/>
      </w:r>
      <w:r w:rsidR="00AF793D" w:rsidRPr="00AF793D">
        <w:t>(Mohd Kassim et al., 2014; Woodley, 2017)</w:t>
      </w:r>
      <w:r w:rsidR="00AF793D">
        <w:fldChar w:fldCharType="end"/>
      </w:r>
      <w:r>
        <w:t xml:space="preserve">. At larger spatial scales, accurate soil moisture measurements could enhance capabilities in runoff and flood forecasting </w:t>
      </w:r>
      <w:r w:rsidR="00A26B41">
        <w:fldChar w:fldCharType="begin"/>
      </w:r>
      <w:r w:rsidR="00E82A68">
        <w:instrText xml:space="preserve"> ADDIN ZOTERO_ITEM CSL_CITATION {"citationID":"tY60brVC","properties":{"formattedCitation":"(Brocca et al., 2010; Crow et al., 2005)","plainCitation":"(Brocca et al., 2010; Crow et al., 2005)","noteIndex":0},"citationItems":[{"id":116,"uris":["http://zotero.org/users/7782726/items/NKP22TVE"],"uri":["http://zotero.org/users/7782726/items/NKP22TVE"],"itemData":{"id":116,"type":"article-journal","abstract":"&lt;p&gt;&lt;strong class=\"journal-contentHeaderColor\"&gt;Abstract.&lt;/strong&gt; The role and the importance of soil moisture for meteorological, agricultural and hydrological applications is widely known. Remote sensing offers the unique capability to monitor soil moisture over large areas (catchment scale) with, nowadays, a temporal resolution suitable for hydrological purposes. However, the accuracy of the remotely sensed soil moisture estimates has to be carefully checked. The validation of these estimates with in-situ measurements is not straightforward due the well-known problems related to the spatial mismatch and the measurement accuracy. The analysis of the effects deriving from assimilating remotely sensed soil moisture data into hydrological or meteorological models could represent a more valuable method to test their reliability. In particular, the assimilation of satellite-derived soil moisture estimates into rainfall-runoff models at different scales and over different regions represents an important scientific and operational issue. &lt;br&gt;&lt;br&gt; In this study, the soil wetness index (SWI) product derived from the Advanced SCATterometer (ASCAT) sensor onboard of the Metop satellite was tested. The SWI was firstly compared with the soil moisture temporal pattern derived from a continuous rainfall-runoff model (MISDc) to assess its relationship with modeled data. Then, by using a simple data assimilation technique, the linearly rescaled SWI that matches the range of variability of modelled data (denoted as SWI*) was assimilated into MISDc and the model performance on flood estimation was analyzed. Moreover, three synthetic experiments considering errors on rainfall, model parameters and initial soil wetness conditions were carried out. These experiments allowed to further investigate the SWI potential when uncertain conditions take place. The most significant flood events, which occurred in the period 2000–2009 on five subcatchments of the Upper Tiber River in central Italy, ranging in extension between 100 and 650 km&lt;sup&gt;2&lt;/sup&gt;, were used as case studies. Results reveal that the SWI derived from the ASCAT sensor can be conveniently adopted to improve runoff prediction in the study area, mainly if the initial soil wetness conditions are unknown.&lt;/p&gt;","container-title":"Hydrology and Earth System Sciences","DOI":"10.5194/hess-14-1881-2010","ISSN":"1027-5606","issue":"10","language":"English","note":"publisher: Copernicus GmbH","page":"1881-1893","source":"hess.copernicus.org","title":"Improving runoff prediction through the assimilation of the ASCAT soil moisture product","volume":"14","author":[{"family":"Brocca","given":"L."},{"family":"Melone","given":"F."},{"family":"Moramarco","given":"T."},{"family":"Wagner","given":"W."},{"family":"Naeimi","given":"V."},{"family":"Bartalis","given":"Z."},{"family":"Hasenauer","given":"S."}],"issued":{"date-parts":[["2010",10,12]]}}},{"id":113,"uris":["http://zotero.org/users/7782726/items/VSSHG3P5"],"uri":["http://zotero.org/users/7782726/items/VSSHG3P5"],"itemData":{"id":113,"type":"article-journal","abstract":"Using existing data sets of spaceborne soil moisture retrievals, streamflow and precipitation for 26 basins in the United States Southern Great Plains, a 5-year analysis is performed to quantify the value of soil moisture retrievals derived from the Tropical Rainfall Measuring Mission (TRMM) Microwave Imager (TMI) X-band (10.7 GHz) radiometer for forecasting storm event-scale runoff ratios. The predictive ability of spaceborne soil moisture retrievals is objectively compared to that obtainable using only available rainfall observations and the antecedent precipitation index (API). The assimilation of spaceborne observations into an API soil moisture proxy is demonstrated to add skill to the forecasting of land surface response to precipitation.","container-title":"Geophysical Research Letters","DOI":"https://doi.org/10.1029/2005GL023543","ISSN":"1944-8007","issue":"18","language":"en","note":"_eprint: https://agupubs.onlinelibrary.wiley.com/doi/pdf/10.1029/2005GL023543","source":"Wiley Online Library","title":"The added value of spaceborne passive microwave soil moisture retrievals for forecasting rainfall-runoff partitioning","URL":"https://agupubs.onlinelibrary.wiley.com/doi/abs/10.1029/2005GL023543","volume":"32","author":[{"family":"Crow","given":"W. T."},{"family":"Bindlish","given":"R."},{"family":"Jackson","given":"T. J."}],"accessed":{"date-parts":[["2021",5,27]]},"issued":{"date-parts":[["2005"]]}}}],"schema":"https://github.com/citation-style-language/schema/raw/master/csl-citation.json"} </w:instrText>
      </w:r>
      <w:r w:rsidR="00A26B41">
        <w:fldChar w:fldCharType="separate"/>
      </w:r>
      <w:r w:rsidR="00A26B41" w:rsidRPr="00A26B41">
        <w:t>(Brocca et al., 2010; Crow et al., 2005)</w:t>
      </w:r>
      <w:r w:rsidR="00A26B41">
        <w:fldChar w:fldCharType="end"/>
      </w:r>
      <w:r>
        <w:t xml:space="preserve">, drought monitoring and prediction </w:t>
      </w:r>
      <w:r w:rsidR="00AE6782">
        <w:fldChar w:fldCharType="begin"/>
      </w:r>
      <w:r w:rsidR="0075552F">
        <w:instrText xml:space="preserve"> ADDIN ZOTERO_ITEM CSL_CITATION {"citationID":"CSTe6idB","properties":{"formattedCitation":"(Gu et al., 2008; X. Zhang, Tang, et al., 2017)","plainCitation":"(Gu et al., 2008; X. Zhang, Tang, et al., 2017)","dontUpdate":true,"noteIndex":0},"citationItems":[{"id":119,"uris":["http://zotero.org/users/7782726/items/SNBSU3Y9"],"uri":["http://zotero.org/users/7782726/items/SNBSU3Y9"],"itemData":{"id":119,"type":"article-journal","abstract":"The evaluation of the relationship between satellite-derived vegetation indices (normalized difference vegetation index and normalized difference water index) and soil moisture improves our understanding of how these indices respond to soil moisture fluctuations. Soil moisture deficits are ultimately tied to drought stress on plants. The diverse terrain and climate of Oklahoma, the extensive soil moisture network of the Oklahoma Mesonet, and satellite-derived indices from the Moderate Resolution Imaging Spectroradiometer (MODIS) provided an opportunity to study correlations between soil moisture and vegetation indices over the 2002–2006 growing seasons. Results showed that the correlation between both indices and the fractional water index (FWI) was highly dependent on land cover heterogeneity and soil type. Sites surrounded by relatively homogeneous vegetation cover with silt loam soils had the highest correlation between the FWI and both vegetation-related indices (r</w:instrText>
      </w:r>
      <w:r w:rsidR="0075552F">
        <w:rPr>
          <w:rFonts w:ascii="Cambria Math" w:hAnsi="Cambria Math" w:cs="Cambria Math"/>
        </w:rPr>
        <w:instrText>∼</w:instrText>
      </w:r>
      <w:r w:rsidR="0075552F">
        <w:instrText>0.73), while sites with heterogeneous vegetation cover and loam soils had the lowest correlation (r</w:instrText>
      </w:r>
      <w:r w:rsidR="0075552F">
        <w:rPr>
          <w:rFonts w:ascii="Cambria Math" w:hAnsi="Cambria Math" w:cs="Cambria Math"/>
        </w:rPr>
        <w:instrText>∼</w:instrText>
      </w:r>
      <w:r w:rsidR="0075552F">
        <w:instrText xml:space="preserve">0.22).","container-title":"Geophysical Research Letters","DOI":"https://doi.org/10.1029/2008GL035772","ISSN":"1944-8007","issue":"22","language":"en","note":"_eprint: https://agupubs.onlinelibrary.wiley.com/doi/pdf/10.1029/2008GL035772","source":"Wiley Online Library","title":"Evaluation of MODIS NDVI and NDWI for vegetation drought monitoring using Oklahoma Mesonet soil moisture data","URL":"https://agupubs.onlinelibrary.wiley.com/doi/abs/10.1029/2008GL035772","volume":"35","author":[{"family":"Gu","given":"Yingxin"},{"family":"Hunt","given":"Eric"},{"family":"Wardlow","given":"Brian"},{"family":"Basara","given":"Jeffrey B."},{"family":"Brown","given":"Jesslyn F."},{"family":"Verdin","given":"James P."}],"accessed":{"date-parts":[["2021",5,27]]},"issued":{"date-parts":[["2008"]]}}},{"id":122,"uris":["http://zotero.org/users/7782726/items/MQIFFYDZ"],"uri":["http://zotero.org/users/7782726/items/MQIFFYDZ"],"itemData":{"id":122,"type":"article-journal","abstract":"&lt;section class=\"abstract\"&gt;&lt;h2 class=\"abstractTitle text-title my-1\" id=\"d149947833e83\"&gt;Abstract&lt;/h2&gt;&lt;p&gt;In this paper, an experimental soil moisture drought monitoring and seasonal forecasting framework based on the Variable Infiltration Capacity model (VIC) over southwestern China (SW) is presented. Satellite precipitation data are used to force VIC for a near-real-time estimate of land surface hydrologic conditions. Initialized with satellite-aided monitoring (MONIT), the climate model (CFSv2)-based forecast (MONIT+CFSv2) and ensemble streamflow prediction (ESP)-based forecast (MONIT+ESP) are both performed. One dry season drought and one wet season drought are employed to test the ability of this framework in terms of real-time tracking and predicting the evolution of soil moisture (SM) drought, respectively. The results show that the skillful CFSv2 climate forecasts (CFs) are only found at the first month. The satellite-aided monitoring is able to provide a reasonable estimate of forecast initial conditions (ICs) in real-time mode. In the presented cases, MONIT+CFSv2 forecast exhibits comparable performance against the observation-based estimates for the first month, whereas the predictive skill largely drops beyond 1 month. Compared to MONIT+ESP, MONIT+CFSv2 ensembles give more skillful SM drought forecast during the dry season, as indicated by a smaller ensemble range, while the added value of MONIT+CFSv2 is marginal during the wet season. A quantitative attribution analysis of SM forecast uncertainty demonstrates that SM forecast skill is mostly controlled by ICs at the first month and that uncertainties in CFs have the largest contribution to SM forecast errors at longer lead times. This study highlights a value of this framework in generating near-real-time ICs and providing a reliable SM drought prediction with 1 month ahead, which may greatly benefit drought diagnosis, assessment, and early warning.&lt;/p&gt;&lt;/section&gt;","container-title":"Journal of Hydrometeorology","DOI":"10.1175/JHM-D-16-0045.1","ISSN":"1525-7541, 1525-755X","issue":"1","language":"EN","note":"publisher: American Meteorological Society\nsection: Journal of Hydrometeorology","page":"5-23","source":"journals.ametsoc.org","title":"Soil Moisture Drought Monitoring and Forecasting Using Satellite and Climate Model Data over Southwestern China","volume":"18","author":[{"family":"Zhang","given":"Xuejun"},{"family":"Tang","given":"Qiuhong"},{"family":"Liu","given":"Xingcai"},{"family":"Leng","given":"Guoyong"},{"family":"Li","given":"Zhe"}],"issued":{"date-parts":[["2017",1,1]]}}}],"schema":"https://github.com/citation-style-language/schema/raw/master/csl-citation.json"} </w:instrText>
      </w:r>
      <w:r w:rsidR="00AE6782">
        <w:fldChar w:fldCharType="separate"/>
      </w:r>
      <w:r w:rsidR="002945DD" w:rsidRPr="002945DD">
        <w:t>(Gu et al., 2008; Zhang, et al., 2017)</w:t>
      </w:r>
      <w:r w:rsidR="00AE6782">
        <w:fldChar w:fldCharType="end"/>
      </w:r>
      <w:r>
        <w:t xml:space="preserve">, numerical weather prediction </w:t>
      </w:r>
      <w:r w:rsidR="00D25005">
        <w:lastRenderedPageBreak/>
        <w:fldChar w:fldCharType="begin"/>
      </w:r>
      <w:r w:rsidR="00E82A68">
        <w:instrText xml:space="preserve"> ADDIN ZOTERO_ITEM CSL_CITATION {"citationID":"TFcRr7zo","properties":{"formattedCitation":"(Capecchi &amp; Brocca, 2014; Scipal et al., 2008)","plainCitation":"(Capecchi &amp; Brocca, 2014; Scipal et al., 2008)","noteIndex":0},"citationItems":[{"id":129,"uris":["http://zotero.org/users/7782726/items/ZFH9ZXK6"],"uri":["http://zotero.org/users/7782726/items/ZFH9ZXK6"],"itemData":{"id":129,"type":"article-journal","abstract":"Recently several studies discussed the potential and operational use of satellite soil moisture measurements in new land surface analysis feeding global Numerical Weather Prediction (NWP) models. This work seeks to establish whether a limited-area NWP model might beneﬁt from the assimilation of remotely sensed soil moisture data. The question is important because it is well known that even small errors in the initial conditions could amplify in the future states and lead to erroneous predictions. On the other hand, remotely sensed soil moisture observations are attractive because they offer a synoptic point of view and their reliability with respect to in-situ measurements is demonstrated.","container-title":"Meteorologische Zeitschrift","DOI":"10.1127/0941-2948/2014/0585","ISSN":"0941-2948","issue":"2","journalAbbreviation":"metz","language":"en","page":"105-121","source":"DOI.org (Crossref)","title":"A simple assimilation method to ingest satellite soil moisture into a limited-area NWP model","volume":"23","author":[{"family":"Capecchi","given":"Valerio"},{"family":"Brocca","given":"Luca"}],"issued":{"date-parts":[["2014",9,1]]}}},{"id":125,"uris":["http://zotero.org/users/7782726/items/B8PZIS4H"],"uri":["http://zotero.org/users/7782726/items/B8PZIS4H"],"itemData":{"id":125,"type":"article-journal","abstract":"In the last few years, research made significant progress towards operational soil moisture remote sensing which lead to the availability of several global data sets. For an optimal use of these data, an accurate estimation of the error structure is an important condition. To solve for the validation problem we introduce the triple collocation error estimation technique. The triple collocation technique is a powerful tool to estimate the root mean square error while simultaneously solving for systematic differences in the climatologies of a set of three independent data sources. We evaluate the method by applying it to a passive microwave (TRMM radiometer) derived, an active microwave (ERS-2 scatterometer) derived and a modeled (ERA-Interim reanalysis) soil moisture data sets. The results suggest that the method provides realistic error estimates.","container-title":"Geophysical Research Letters","DOI":"https://doi.org/10.1029/2008GL035599","ISSN":"1944-8007","issue":"24","language":"en","note":"_eprint: https://agupubs.onlinelibrary.wiley.com/doi/pdf/10.1029/2008GL035599","source":"Wiley Online Library","title":"A possible solution for the problem of estimating the error structure of global soil moisture data sets","URL":"https://agupubs.onlinelibrary.wiley.com/doi/abs/10.1029/2008GL035599","volume":"35","author":[{"family":"Scipal","given":"K."},{"family":"Holmes","given":"T."},{"family":"Jeu","given":"R.","dropping-particle":"de"},{"family":"Naeimi","given":"V."},{"family":"Wagner","given":"W."}],"accessed":{"date-parts":[["2021",5,27]]},"issued":{"date-parts":[["2008"]]}}}],"schema":"https://github.com/citation-style-language/schema/raw/master/csl-citation.json"} </w:instrText>
      </w:r>
      <w:r w:rsidR="00D25005">
        <w:fldChar w:fldCharType="separate"/>
      </w:r>
      <w:r w:rsidR="00D25005" w:rsidRPr="00D25005">
        <w:t>(Capecchi &amp; Brocca, 2014; Scipal et al., 2008)</w:t>
      </w:r>
      <w:r w:rsidR="00D25005">
        <w:fldChar w:fldCharType="end"/>
      </w:r>
      <w:r>
        <w:t xml:space="preserve">, rainfall estimation </w:t>
      </w:r>
      <w:r w:rsidR="00FF425C">
        <w:fldChar w:fldCharType="begin"/>
      </w:r>
      <w:r w:rsidR="00E82A68">
        <w:instrText xml:space="preserve"> ADDIN ZOTERO_ITEM CSL_CITATION {"citationID":"15tm9gKE","properties":{"formattedCitation":"(Brocca et al., 2012; Crow et al., 2011)","plainCitation":"(Brocca et al., 2012; Crow et al., 2011)","noteIndex":0},"citationItems":[{"id":136,"uris":["http://zotero.org/users/7782726/items/WEUJ22JY"],"uri":["http://zotero.org/users/7782726/items/WEUJ22JY"],"itemData":{"id":136,"type":"article-journal","abstract":"Predicting the spatial and temporal occurrence of rainfall triggered landslides represents an important scientific and operational issue due to the high threat that they pose to human life and property. This study investigates the relationship between rainfall, soil moisture conditions and landslide movement by using recorded movements of a rock slope located in central Italy, the Torgiovannetto landslide. This landslide is a very large rock slide, threatening county and state roads. Data acquired by a network of extensometers and a meteorological station clearly indicate that the movements of the unstable wedge, first detected in 2003, are still proceeding and the alternate phases of quiescence and reactivation are associated with rainfall patterns. By using a multiple linear regression approach, the opening of the tension cracks (as recorded by the extensometers) as a function of rainfall and soil moisture conditions prior the occurrence of rainfall, are predicted for the period 2007–2009. Specifically, soil moisture indicators are obtained through the Soil Water Index, SWI, a product derived by the Advanced SCATterometer (ASCAT) on board the MetOp (Meteorological Operational) satellite and by an Antecedent Precipitation Index, API. Results indicate that the regression performance (in terms of correlation coefficient, r) significantly enhances if an indicator of the soil moisture conditions is included. Specifically, r is equal to 0.40 when only rainfall is used as a predictor variable and increases to r = 0.68 and r = 0.85 if the API and the SWI are used respectively. Therefore, the coarse spatial resolution (25 km) of satellite data notwithstanding, the ASCAT SWI is found to be very useful for the prediction of landslide movements on a local scale. These findings, although valid for a specific area, present new opportunities for the effective use of satellite-derived soil moisture estimates to improve landslide forecasting.","container-title":"Remote Sensing","DOI":"10.3390/rs4051232","issue":"5","language":"en","note":"number: 5\npublisher: Molecular Diversity Preservation International","page":"1232-1244","source":"www.mdpi.com","title":"Improving Landslide Forecasting Using ASCAT-Derived Soil Moisture Data: A Case Study of the Torgiovannetto Landslide in Central Italy","title-short":"Improving Landslide Forecasting Using ASCAT-Derived Soil Moisture Data","volume":"4","author":[{"family":"Brocca","given":"Luca"},{"family":"Ponziani","given":"Francesco"},{"family":"Moramarco","given":"Tommaso"},{"family":"Melone","given":"Florisa"},{"family":"Berni","given":"Nicola"},{"family":"Wagner","given":"Wolfgang"}],"issued":{"date-parts":[["2012",5]]}}},{"id":133,"uris":["http://zotero.org/users/7782726/items/NZKPKP6F"],"uri":["http://zotero.org/users/7782726/items/NZKPKP6F"],"itemData":{"id":133,"type":"article-journal","abstract":"Recently, Crow et al. (2009) developed an algorithm for enhancing satellite-based land rainfall products via the assimilation of remotely sensed surface soil moisture retrievals into a water balance model. As a follow-up, this paper describes the benefits of modifying their approach to incorporate more complex data assimilation and land surface modeling methodologies. Specific modifications improving rainfall estimates are assembled into the Soil Moisture Analysis Rainfall Tool (SMART), and the resulting algorithm is applied outside the contiguous United States for the first time, with an emphasis on West African sites instrumented as part of the African Monsoon Multidisciplinary Analysis experiment. Results demonstrate that the SMART algorithm is superior to the Crow et al. baseline approach and is capable of broadly improving coarse-scale rainfall accumulations measurements with low risk of degradation. Comparisons with existing multisensor, satellite-based precipitation data products suggest that the introduction of soil moisture information from the Advanced Microwave Scanning Radiometer via SMART provides as much coarse-scale (3 day, 1°) rainfall accumulation information as thermal infrared satellite observations and more information than monthly rain gauge observations in poorly instrumented regions.","container-title":"Water Resources Research","DOI":"https://doi.org/10.1029/2011WR010576","ISSN":"1944-7973","issue":"8","language":"en","note":"_eprint: https://agupubs.onlinelibrary.wiley.com/doi/pdf/10.1029/2011WR010576","source":"Wiley Online Library","title":"Correcting rainfall using satellite-based surface soil moisture retrievals: The Soil Moisture Analysis Rainfall Tool (SMART)","title-short":"Correcting rainfall using satellite-based surface soil moisture retrievals","URL":"https://agupubs.onlinelibrary.wiley.com/doi/abs/10.1029/2011WR010576","volume":"47","author":[{"family":"Crow","given":"W. T."},{"family":"Berg","given":"M. J.","dropping-particle":"van den"},{"family":"Huffman","given":"G. J."},{"family":"Pellarin","given":"T."}],"accessed":{"date-parts":[["2021",5,27]]},"issued":{"date-parts":[["2011"]]}}}],"schema":"https://github.com/citation-style-language/schema/raw/master/csl-citation.json"} </w:instrText>
      </w:r>
      <w:r w:rsidR="00FF425C">
        <w:fldChar w:fldCharType="separate"/>
      </w:r>
      <w:r w:rsidR="00FF425C" w:rsidRPr="00FF425C">
        <w:t>(Brocca et al., 2012; Crow et al., 2011)</w:t>
      </w:r>
      <w:r w:rsidR="00FF425C">
        <w:fldChar w:fldCharType="end"/>
      </w:r>
      <w:r>
        <w:t xml:space="preserve"> and landslide prediction </w:t>
      </w:r>
      <w:r w:rsidR="009F0765">
        <w:fldChar w:fldCharType="begin"/>
      </w:r>
      <w:r w:rsidR="00E82A68">
        <w:instrText xml:space="preserve"> ADDIN ZOTERO_ITEM CSL_CITATION {"citationID":"rIZafwP8","properties":{"formattedCitation":"(Crow et al., 2012; Ray et al., 2010)","plainCitation":"(Crow et al., 2012; Ray et al., 2010)","noteIndex":0},"citationItems":[{"id":56,"uris":["http://zotero.org/users/7782726/items/IRNEVBSW"],"uri":["http://zotero.org/users/7782726/items/IRNEVBSW"],"itemData":{"id":56,"type":"article-journal","abstract":"The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P."}],"accessed":{"date-parts":[["2021",5,25]]},"issued":{"date-parts":[["2012"]]}}},{"id":139,"uris":["http://zotero.org/users/7782726/items/JZTVTKGP"],"uri":["http://zotero.org/users/7782726/items/JZTVTKGP"],"itemData":{"id":139,"type":"article-journal","abstract":"As soil moisture increases, slope stability decreases. Remotely sensed soil moisture data can provide routine updates of slope conditions necessary for landslide predictions. For regional scale landslide investigations, only remote-sensing methods have the spatial and temporal resolution required to map hazard increases. Here, a dynamic physically-based slope stability model that requires soil moisture is applied using remote-sensing products from multiple Earth observing platforms. The resulting landslide susceptibility maps using the advanced microwave scanning radiometer (AMSR-E) surface soil moisture are compared to those created using variable infiltration capacity (VIC-3L) modeled soil moisture at Cleveland Corral landslide area in California, US. Despite snow cover influences on AMSR-E surface soil moisture estimates, a good relationship between the downscaled AMSR-E's surface soil moisture and the VIC-3L modeled soil moisture is evident. The AMSR-E soil moisture mean (0.17cm3/cm3) and standard deviation (0.02cm3/cm3) are very close to the mean (0.21cm3/cm3) and standard deviation (0.09cm3/cm3) estimated by VIC-3L model. Qualitative results show that the location and extent of landslide prone regions are quite similar. Under the maximum saturation scenario, 0.42% and 0.49% of the study area were highly susceptible using AMSR-E and VIC-3L model soil moisture, respectively.","container-title":"Remote Sensing of Environment","DOI":"10.1016/j.rse.2010.05.033","ISSN":"0034-4257","issue":"11","journalAbbreviation":"Remote Sensing of Environment","language":"en","page":"2624-2636","source":"ScienceDirect","title":"Landslide susceptibility mapping using downscaled AMSR-E soil moisture: A case study from Cleveland Corral, California, US","title-short":"Landslide susceptibility mapping using downscaled AMSR-E soil moisture","volume":"114","author":[{"family":"Ray","given":"Ram L."},{"family":"Jacobs","given":"Jennifer M."},{"family":"Cosh","given":"Michael H."}],"issued":{"date-parts":[["2010",11,15]]}}}],"schema":"https://github.com/citation-style-language/schema/raw/master/csl-citation.json"} </w:instrText>
      </w:r>
      <w:r w:rsidR="009F0765">
        <w:fldChar w:fldCharType="separate"/>
      </w:r>
      <w:r w:rsidR="009F0765" w:rsidRPr="009F0765">
        <w:t>(Crow et al., 2012; Ray et al., 2010)</w:t>
      </w:r>
      <w:r w:rsidR="009F0765">
        <w:fldChar w:fldCharType="end"/>
      </w:r>
      <w:r>
        <w:t>.</w:t>
      </w:r>
    </w:p>
    <w:p w14:paraId="5CAFD069" w14:textId="4275B052" w:rsidR="000973B9" w:rsidRDefault="000973B9" w:rsidP="00347854">
      <w:r>
        <w:t xml:space="preserve">Currently, soil moisture estimates can be obtained through three primary approaches: (1) in situ measurements, (2) remote sensing observations, and (3) Land Surface Models (LSM). In-situ soil moisture monitoring networks are particularly important for validating and calibrating remote sensing and land surface model-based soil moisture retrievals </w:t>
      </w:r>
      <w:r w:rsidR="005507AF">
        <w:fldChar w:fldCharType="begin"/>
      </w:r>
      <w:r w:rsidR="00E82A68">
        <w:instrText xml:space="preserve"> ADDIN ZOTERO_ITEM CSL_CITATION {"citationID":"Eyqy8sel","properties":{"formattedCitation":"(Crow et al., 2012)","plainCitation":"(Crow et al., 2012)","noteIndex":0},"citationItems":[{"id":56,"uris":["http://zotero.org/users/7782726/items/IRNEVBSW"],"uri":["http://zotero.org/users/7782726/items/IRNEVBSW"],"itemData":{"id":56,"type":"article-journal","abstract":"The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P."}],"accessed":{"date-parts":[["2021",5,25]]},"issued":{"date-parts":[["2012"]]}}}],"schema":"https://github.com/citation-style-language/schema/raw/master/csl-citation.json"} </w:instrText>
      </w:r>
      <w:r w:rsidR="005507AF">
        <w:fldChar w:fldCharType="separate"/>
      </w:r>
      <w:r w:rsidR="005507AF" w:rsidRPr="005507AF">
        <w:t>(Crow et al., 2012)</w:t>
      </w:r>
      <w:r w:rsidR="005507AF">
        <w:fldChar w:fldCharType="end"/>
      </w:r>
      <w:r>
        <w:t xml:space="preserve">. </w:t>
      </w:r>
      <w:r w:rsidR="00C100C0">
        <w:t>For example,</w:t>
      </w:r>
      <w:r w:rsidR="001866BD">
        <w:t xml:space="preserve"> s</w:t>
      </w:r>
      <w:r w:rsidR="001866BD" w:rsidRPr="001866BD">
        <w:t xml:space="preserve">oil moisture data from the Oklahoma Mesonet are widely used </w:t>
      </w:r>
      <w:r w:rsidR="00204DF2">
        <w:t>in land surface model validation</w:t>
      </w:r>
      <w:r w:rsidR="002F1DF0">
        <w:t xml:space="preserve"> </w:t>
      </w:r>
      <w:r w:rsidR="002F1DF0">
        <w:fldChar w:fldCharType="begin"/>
      </w:r>
      <w:r w:rsidR="002F1DF0">
        <w:instrText xml:space="preserve"> ADDIN ZOTERO_ITEM CSL_CITATION {"citationID":"DcUVEPc2","properties":{"formattedCitation":"(Xia et al., 2012, 2014; Xu et al., 2021)","plainCitation":"(Xia et al., 2012, 2014; Xu et al., 2021)","noteIndex":0},"citationItems":[{"id":163,"uris":["http://zotero.org/users/7782726/items/AX28JFDM"],"uri":["http://zotero.org/users/7782726/items/AX28JFDM"],"itemData":{"id":163,"type":"article-journal","container-title":"Journal of Geophysical Research: Atmospheres","issue":"D3","note":"ISBN: 0148-0227\npublisher</w:instrText>
      </w:r>
      <w:r w:rsidR="002F1DF0">
        <w:rPr>
          <w:rFonts w:hint="eastAsia"/>
        </w:rPr>
        <w:instrText>: Wiley Online Library","title":"Continental</w:instrText>
      </w:r>
      <w:r w:rsidR="002F1DF0">
        <w:rPr>
          <w:rFonts w:hint="eastAsia"/>
        </w:rPr>
        <w:instrText>‐</w:instrText>
      </w:r>
      <w:r w:rsidR="002F1DF0">
        <w:rPr>
          <w:rFonts w:hint="eastAsia"/>
        </w:rPr>
        <w:instrText>scale water and energy flux analysis and validation for the North American Land Data Assimilation System project phase 2 (NLDAS</w:instrText>
      </w:r>
      <w:r w:rsidR="002F1DF0">
        <w:rPr>
          <w:rFonts w:hint="eastAsia"/>
        </w:rPr>
        <w:instrText>‐</w:instrText>
      </w:r>
      <w:r w:rsidR="002F1DF0">
        <w:rPr>
          <w:rFonts w:hint="eastAsia"/>
        </w:rPr>
        <w:instrText>2): 1. Intercomparison and application of model products","volume":"117","author":</w:instrText>
      </w:r>
      <w:r w:rsidR="002F1DF0">
        <w:instrText xml:space="preserve">[{"family":"Xia","given":"Youlong"},{"family":"Mitchell","given":"Kenneth"},{"family":"Ek","given":"Michael"},{"family":"Sheffield","given":"Justin"},{"family":"Cosgrove","given":"Brian"},{"family":"Wood","given":"Eric"},{"family":"Luo","given":"Lifeng"},{"family":"Alonge","given":"Charles"},{"family":"Wei","given":"Helin"},{"family":"Meng","given":"Jesse"}],"issued":{"date-parts":[["2012"]]}}},{"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F."}],"issued":{"date-parts":[["2014",5,6]]}}},{"id":160,"uris":["http://zotero.org/users/7782726/items/6P9U8FU8"],"uri":["http://zotero.org/users/7782726/items/6P9U8FU8"],"itemData":{"id":160,"type":"article-journal","container-title":"Remote Sensing of Environment","note":"ISBN: 0034-4257\npublisher: Elsevier","page":"112248","title":"In-situ and triple-collocation based evaluations of eight global root zone soil moisture products","volume":"254","author":[{"family":"Xu","given":"Lei"},{"family":"Chen","given":"Nengcheng"},{"family":"Zhang","given":"Xiang"},{"family":"Moradkhani","given":"Hamid"},{"family":"Zhang","given":"Chong"},{"family":"Hu","given":"Chuli"}],"issued":{"date-parts":[["2021"]]}}}],"schema":"https://github.com/citation-style-language/schema/raw/master/csl-citation.json"} </w:instrText>
      </w:r>
      <w:r w:rsidR="002F1DF0">
        <w:fldChar w:fldCharType="separate"/>
      </w:r>
      <w:r w:rsidR="002F1DF0" w:rsidRPr="002F1DF0">
        <w:t>(Xia et al., 2012, 2014; Xu et al., 2021)</w:t>
      </w:r>
      <w:r w:rsidR="002F1DF0">
        <w:fldChar w:fldCharType="end"/>
      </w:r>
      <w:r w:rsidR="002F1DF0">
        <w:t>,</w:t>
      </w:r>
      <w:r w:rsidR="00204DF2">
        <w:t xml:space="preserve"> </w:t>
      </w:r>
      <w:r w:rsidR="004D4A1B" w:rsidRPr="004D4A1B">
        <w:t>and soil</w:t>
      </w:r>
      <w:r w:rsidR="00386A16">
        <w:t xml:space="preserve"> </w:t>
      </w:r>
      <w:r w:rsidR="004D4A1B" w:rsidRPr="004D4A1B">
        <w:t xml:space="preserve">moisture remote sensing validation </w:t>
      </w:r>
      <w:r w:rsidR="00BB2C3E">
        <w:fldChar w:fldCharType="begin"/>
      </w:r>
      <w:r w:rsidR="00BB2C3E">
        <w:instrText xml:space="preserve"> ADDIN ZOTERO_ITEM CSL_CITATION {"citationID":"pRML5gBZ","properties":{"formattedCitation":"(Crow et al., 2012)","plainCitation":"(Crow et al., 2012)","noteIndex":0},"citationItems":[{"id":56,"uris":["http://zotero.org/users/7782726/items/IRNEVBSW"],"uri":["http://zotero.org/users/7782726/items/IRNEVBSW"],"itemData":{"id":56,"type":"article-journal","abstract":"The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P."}],"accessed":{"date-parts":[["2021",5,25]]},"issued":{"date-parts":[["2012"]]}}}],"schema":"https://github.com/citation-style-language/schema/raw/master/csl-citation.json"} </w:instrText>
      </w:r>
      <w:r w:rsidR="00BB2C3E">
        <w:fldChar w:fldCharType="separate"/>
      </w:r>
      <w:r w:rsidR="00BB2C3E" w:rsidRPr="00BB2C3E">
        <w:t>(Crow et al., 2012)</w:t>
      </w:r>
      <w:r w:rsidR="00BB2C3E">
        <w:fldChar w:fldCharType="end"/>
      </w:r>
      <w:r w:rsidR="00513A33">
        <w:t>.</w:t>
      </w:r>
      <w:r w:rsidR="00937325" w:rsidRPr="00937325">
        <w:t xml:space="preserve"> </w:t>
      </w:r>
      <w:r w:rsidR="00B041BC">
        <w:t xml:space="preserve">Land surface models such as the Global Land Data Assimilation System (GLDAS) </w:t>
      </w:r>
      <w:r w:rsidR="00B041BC">
        <w:fldChar w:fldCharType="begin"/>
      </w:r>
      <w:r w:rsidR="00B041BC">
        <w:instrText xml:space="preserve"> ADDIN ZOTERO_ITEM CSL_CITATION {"citationID":"6TCWEOLR","properties":{"formattedCitation":"(Rodell et al., 2004)","plainCitation":"(Rodell et al., 2004)","noteIndex":0},"citationItems":[{"id":141,"uris":["http://zotero.org/users/7782726/items/KFPTRE8G"],"uri":["http://zotero.org/users/7782726/items/KFPTRE8G"],"itemData":{"id":141,"type":"article-journal","abstract":"&lt;section class=\"abstract\"&gt;&lt;p&gt;A Global Land Data Assimilation System (GLDAS) has been developed. Its purpose is to ingest satellite- and ground-based observational data products, using advanced land surface modeling and data assimilation techniques, in order to generate optimal fields of land surface states and fluxes. GLDAS is unique in that it is an uncoupled land surface modeling system that drives multiple models, integrates a huge quantity of observation-based data, runs globally at high resolution (0.25°), and produces results in near–real time (typically within 48 h of the present). GLDAS is also a test bed for innovative modeling and assimilation capabilities. A vegetation-based “tiling” approach is used to simulate subgrid-scale variability, with a 1-km global vegetation dataset as its basis. Soil and elevation parameters are based on high-resolution global datasets. Observation-based precipitation and downward radiation and output fields from the best available global coupled atmospheric data assimilation systems are employed as forcing data. The high-quality, global land surface fields provided by GLDAS will be used to initialize weather and climate prediction models and will promote various hydrometeorological studies and applications. The ongoing GLDAS archive (started in 2001) of modeled and observed, global, surface meteorological data, parameter maps, and output is publicly available.&lt;/p&gt;&lt;/section&gt;","container-title":"Bulletin of the American Meteorological Society","DOI":"10.1175/BAMS-85-3-381","ISSN":"0003-0007, 1520-0477","issue":"3","language":"en","note":"publisher: American Meteorological Society\nsection: Bulletin of the American Meteorological Society","page":"381-394","source":"journals.ametsoc.org","title":"The Global Land Data Assimilation System","volume":"85","author":[{"family":"Rodell","given":"M."},{"family":"Houser","given":"P. R."},{"family":"Jambor","given":"U."},{"family":"Gottschalck","given":"J."},{"family":"Mitchell","given":"K."},{"family":"Meng","given":"C.-J."},{"family":"Arsenault","given":"K."},{"family":"Cosgrove","given":"B."},{"family":"Radakovich","given":"J."},{"family":"Bosilovich","given":"M."},{"family":"Entin","given":"J. K."},{"family":"Walker","given":"J. P."},{"family":"Lohmann","given":"D."},{"family":"Toll","given":"D."}],"issued":{"date-parts":[["2004",3,1]]}}}],"schema":"https://github.com/citation-style-language/schema/raw/master/csl-citation.json"} </w:instrText>
      </w:r>
      <w:r w:rsidR="00B041BC">
        <w:fldChar w:fldCharType="separate"/>
      </w:r>
      <w:r w:rsidR="00B041BC" w:rsidRPr="008C0805">
        <w:t>(Rodell et al., 2004)</w:t>
      </w:r>
      <w:r w:rsidR="00B041BC">
        <w:fldChar w:fldCharType="end"/>
      </w:r>
      <w:r w:rsidR="00B041BC">
        <w:t xml:space="preserve"> and North American Land Data Assimilation System (NLDAS) </w:t>
      </w:r>
      <w:r w:rsidR="00B041BC">
        <w:fldChar w:fldCharType="begin"/>
      </w:r>
      <w:r w:rsidR="00B041BC">
        <w:instrText xml:space="preserve"> ADDIN ZOTERO_ITEM CSL_CITATION {"citationID":"oorh9yMx","properties":{"formattedCitation":"(Mitchell et al., 2004)","plainCitation":"(Mitchell et al., 2004)","noteIndex":0},"citationItems":[{"id":144,"uris":["http://zotero.org/users/7782726/items/TUX2JZMZ"],"uri":["http://zotero.org/users/7782726/items/TUX2JZMZ"],"itemData":{"id":144,"type":"article-journal","abstract":"Results are presented from the multi-institution partnership to develop a real-time and retrospective North American Land Data Assimilation System (NLDAS). NLDAS consists of (1) four land models executing in parallel in uncoupled mode, (2) common hourly surface forcing, and (3) common streamflow routing: all using a 1/8° grid over the continental United States. The initiative is largely sponsored by the Global Energy and Water Cycle Experiment (GEWEX) Continental-Scale International Project (GCIP). As the overview for nine NLDAS papers, this paper describes and evaluates the 3-year NLDAS execution of 1 October 1996 to 30 September 1999, a period rich in observations for validation. The validation emphasizes (1) the land states, fluxes, and input forcing of four land models, (2) the application of new GCIP-sponsored products, and (3) a multiscale approach. The validation includes (1) mesoscale observing networks of land surface forcing, fluxes, and states, (2) regional snowpack measurements, (3) daily streamflow measurements, and (4) satellite-based retrievals of snow cover, land surface skin temperature (LST), and surface insolation. The results show substantial intermodel differences in surface evaporation and runoff (especially over nonsparse vegetation), soil moisture storage, snowpack, and LST. Owing to surprisingly large intermodel differences in aerodynamic conductance, intermodel differences in midday summer LST were unlike those expected from the intermodel differences in Bowen ratio. Last, anticipating future assimilation of LST, an NLDAS effort unique to this overview paper assesses geostationary-satellite-derived LST, determines the latter to be of good quality, and applies the latter to validate modeled LST.","container-title":"Journal of Geophysical Research: Atmospheres","DOI":"https://doi.org/10.1029/2003JD003823","ISSN":"2156-2202","issue":"D7","language":"en","note":"_eprint: https://agupubs.onlinelibrary.wiley.com/doi/pdf/10.1029/2003JD003823","source":"Wiley Online Library","title":"The multi-institution North American Land Data Assimilation System (NLDAS): Utilizing multiple GCIP products and partners in a continental distributed hydrological modeling system","title-short":"The multi-institution North American Land Data Assimilation System (NLDAS)","URL":"https://agupubs.onlinelibrary.wiley.com/doi/abs/10.1029/2003JD003823","volume":"109","author":[{"family":"Mitchell","given":"Kenneth E."},{"family":"Lohmann","given":"Dag"},{"family":"Houser","given":"Paul R."},{"family":"Wood","given":"Eric F."},{"family":"Schaake","given":"John C."},{"family":"Robock","given":"Alan"},{"family":"Cosgrove","given":"Brian A."},{"family":"Sheffield","given":"Justin"},{"family":"Duan","given":"Qingyun"},{"family":"Luo","given":"Lifeng"},{"family":"Higgins","given":"R. Wayne"},{"family":"Pinker","given":"Rachel T."},{"family":"Tarpley","given":"J. Dan"},{"family":"Lettenmaier","given":"Dennis P."},{"family":"Marshall","given":"Curtis H."},{"family":"Entin","given":"Jared K."},{"family":"Pan","given":"Ming"},{"family":"Shi","given":"Wei"},{"family":"Koren","given":"Victor"},{"family":"Meng","given":"Jesse"},{"family":"Ramsay","given":"Bruce H."},{"family":"Bailey","given":"Andrew A."}],"accessed":{"date-parts":[["2021",5,27]]},"issued":{"date-parts":[["2004"]]}}}],"schema":"https://github.com/citation-style-language/schema/raw/master/csl-citation.json"} </w:instrText>
      </w:r>
      <w:r w:rsidR="00B041BC">
        <w:fldChar w:fldCharType="separate"/>
      </w:r>
      <w:r w:rsidR="00B041BC" w:rsidRPr="008C0805">
        <w:t>(Mitchell et al., 2004)</w:t>
      </w:r>
      <w:r w:rsidR="00B041BC">
        <w:fldChar w:fldCharType="end"/>
      </w:r>
      <w:r w:rsidR="00B041BC">
        <w:t xml:space="preserve"> can provide soil moisture estimates at various depths with high spatio-temporal resolution. </w:t>
      </w:r>
      <w:r w:rsidR="00DF7BE7">
        <w:fldChar w:fldCharType="begin"/>
      </w:r>
      <w:r w:rsidR="00DF7BE7">
        <w:instrText xml:space="preserve"> ADDIN ZOTERO_ITEM CSL_CITATION {"citationID":"Dm1SAocD","properties":{"formattedCitation":"(Xia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00DF7BE7">
        <w:fldChar w:fldCharType="separate"/>
      </w:r>
      <w:r w:rsidR="00DF7BE7" w:rsidRPr="00DF7BE7">
        <w:t xml:space="preserve">Xia et al., </w:t>
      </w:r>
      <w:r w:rsidR="00DF7BE7">
        <w:t>(</w:t>
      </w:r>
      <w:r w:rsidR="00DF7BE7" w:rsidRPr="00DF7BE7">
        <w:t>2014)</w:t>
      </w:r>
      <w:r w:rsidR="00DF7BE7">
        <w:fldChar w:fldCharType="end"/>
      </w:r>
      <w:r w:rsidR="009A7FEA" w:rsidRPr="009A7FEA">
        <w:t xml:space="preserve"> </w:t>
      </w:r>
      <w:r w:rsidR="00F12553">
        <w:t xml:space="preserve">assessed daily and monthly simulation skills of four NLDAS-2 land surface models and </w:t>
      </w:r>
      <w:r w:rsidR="009A7FEA" w:rsidRPr="009A7FEA">
        <w:t xml:space="preserve">utilized 6-years (1 January 1997–31 December 2002) of daily soil moisture observed from 72 sites over the Oklahoma Mesonet network to assess daily and monthly simulation skill and </w:t>
      </w:r>
      <w:r w:rsidR="00F12553">
        <w:t>found that</w:t>
      </w:r>
      <w:r w:rsidR="00F12553" w:rsidRPr="00F12553">
        <w:t xml:space="preserve"> all models are able to capture wet and dry events and show high skill</w:t>
      </w:r>
      <w:r w:rsidR="009A7FEA" w:rsidRPr="009A7FEA">
        <w:t>.</w:t>
      </w:r>
      <w:r w:rsidR="00F12553">
        <w:t xml:space="preserve"> </w:t>
      </w:r>
      <w:r w:rsidR="00A9340C">
        <w:t xml:space="preserve">Finally, remote sensing soil moisture products from various sensors (e.g., microwave, optical and thermal sensors) provide global-scale soil moisture measurements but with limited spatial and temporal resolutions </w:t>
      </w:r>
      <w:r w:rsidR="00A9340C">
        <w:fldChar w:fldCharType="begin"/>
      </w:r>
      <w:r w:rsidR="00A9340C">
        <w:instrText xml:space="preserve"> ADDIN ZOTERO_ITEM CSL_CITATION {"citationID":"5uZoX1bX","properties":{"formattedCitation":"(Brocca et al., 2017)","plainCitation":"(Brocca et al., 2017)","noteIndex":0},"citationItems":[{"id":147,"uris":["http://zotero.org/users/7782726/items/WSSSIQXW"],"uri":["http://zotero.org/users/7782726/items/WSSSIQXW"],"itemData":{"id":147,"type":"article-journal","abstract":"Remote sensing of soil moisture has reached a level of good maturity and accuracy for which the retrieved products are ready to use in real-world applications. Due to the importance of soil moisture in the partitioning of the water and energy fluxes between the land surface and the atmosphere, a wide range of applications can benefit from the availability of satellite soil moisture products. Specifically, the Advanced SCATterometer (ASCAT) on board the series of Meteorological Operational (Metop) satellites is providing a near real time (and long-term, 9+ years starting from January 2007) soil moisture product, with a nearly daily (sub-daily after the launch of Metop-B) revisit time and a spatial sampling of 12.5 and 25 km. This study first performs a review of the climatic, meteorological, and hydrological studies that use satellite soil moisture products for a better understanding of the water and energy cycle. Specifically, applications that consider satellite soil moisture product for improving their predictions are analyzed and discussed. Moreover, four real examples are shown in which ASCAT soil moisture observations have been successfully applied toward: 1) numerical weather prediction, 2) rainfall estimation, 3) flood forecasting, and 4) drought monitoring and prediction. Finally, the strengths and limitations of ASCAT soil moisture products and the way forward for fully exploiting these data in real-world applications are discussed.","container-title":"IEEE Journal of Selected Topics in Applied Earth Observations and Remote Sensing","DOI":"10.1109/JSTARS.2017.2651140","ISSN":"2151-1535","issue":"5","note":"event: IEEE Journal of Selected Topics in Applied Earth Observations and Remote Sensing","page":"2285-2306","source":"IEEE Xplore","title":"A Review of the Applications of ASCAT Soil Moisture Products","volume":"10","author":[{"family":"Brocca","given":"Luca"},{"family":"Crow","given":"Wade T."},{"family":"Ciabatta","given":"Luca"},{"family":"Massari","given":"Christian"},{"family":"Rosnay","given":"Patricia","non-dropping-particle":"de"},{"family":"Enenkel","given":"Markus"},{"family":"Hahn","given":"Sebastian"},{"family":"Amarnath","given":"Giriraj"},{"family":"Camici","given":"Stefania"},{"family":"Tarpanelli","given":"Angelica"},{"family":"Wagner","given":"Wolfgang"}],"issued":{"date-parts":[["2017",5]]}}}],"schema":"https://github.com/citation-style-language/schema/raw/master/csl-citation.json"} </w:instrText>
      </w:r>
      <w:r w:rsidR="00A9340C">
        <w:fldChar w:fldCharType="separate"/>
      </w:r>
      <w:r w:rsidR="00A9340C" w:rsidRPr="00FF41D0">
        <w:t>(Brocca et al., 2017)</w:t>
      </w:r>
      <w:r w:rsidR="00A9340C">
        <w:fldChar w:fldCharType="end"/>
      </w:r>
      <w:r w:rsidR="00A9340C">
        <w:t xml:space="preserve">. </w:t>
      </w:r>
      <w:r w:rsidR="00C076D2">
        <w:t xml:space="preserve">For example, </w:t>
      </w:r>
      <w:r w:rsidR="00C076D2" w:rsidRPr="00C076D2">
        <w:t>The SMAP Level-3 products provides a daily composite of global soil moisture retrieved by both the Soil Moisture Active Passive radar and radiometer</w:t>
      </w:r>
      <w:r w:rsidR="004B198B">
        <w:t xml:space="preserve"> at 9 km spatial resolution</w:t>
      </w:r>
      <w:r w:rsidR="00AF082A">
        <w:fldChar w:fldCharType="begin"/>
      </w:r>
      <w:r w:rsidR="00AF082A">
        <w:instrText xml:space="preserve"> ADDIN ZOTERO_ITEM CSL_CITATION {"citationID":"mLhwga1E","properties":{"formattedCitation":"(ONeill et al., 2019)","plainCitation":"(ONeill et al., 2019)","noteIndex":0},"citationItems":[{"id":162,"uris":["http://zotero.org/users/7782726/items/VGFDAUDZ"],"uri":["http://zotero.org/users/7782726/items/VGFDAUDZ"],"itemData":{"id":162,"type":"article","note":"type: dataset\nDOI: 10.5067/T90W6VRLCBHI","publisher":"NASA National Snow and Ice Data Center DAAC","source":"DOI.org (Datacite)","title":"SMAP Enhanced L3 Radiometer Global Daily 9 km EASE-Grid Soil Moisture, Version 3","URL":"https://nsidc.org/data/SPL3SMP_E/versions/3","author":[{"family":"ONeill","given":"Peggy E."},{"family":"Chan","given":"Steven"},{"family":"Njoku","given":"Eni G."},{"family":"Jackson","given":"Tom"},{"family":"Bindlish","given":"Rajat"}],"accessed":{"date-parts":[["2020",2,20]]},"issued":{"date-parts":[["2019"]]}}}],"schema":"https://github.com/citation-style-language/schema/raw/master/csl-citation.json"} </w:instrText>
      </w:r>
      <w:r w:rsidR="00AF082A">
        <w:fldChar w:fldCharType="separate"/>
      </w:r>
      <w:r w:rsidR="00AF082A" w:rsidRPr="00AF082A">
        <w:t>(ONeill et al., 2019)</w:t>
      </w:r>
      <w:r w:rsidR="00AF082A">
        <w:fldChar w:fldCharType="end"/>
      </w:r>
      <w:r w:rsidR="00C076D2" w:rsidRPr="00C076D2">
        <w:t>.</w:t>
      </w:r>
    </w:p>
    <w:bookmarkEnd w:id="87"/>
    <w:p w14:paraId="73513625" w14:textId="58CAA1AA" w:rsidR="000973B9" w:rsidRDefault="002E2004" w:rsidP="000973B9">
      <w:r>
        <w:t>However</w:t>
      </w:r>
      <w:r w:rsidR="007F0076">
        <w:t>,</w:t>
      </w:r>
      <w:r>
        <w:t xml:space="preserve"> d</w:t>
      </w:r>
      <w:r w:rsidR="000973B9">
        <w:t xml:space="preserve">ue to the characteristics of three main sources of soil moisture measurement (in situ, land surface model, and satellite), their data quality or representativeness of their values might vary over different land cover types. For example, the Oklahoma Mesonet site standards minimize </w:t>
      </w:r>
      <w:r w:rsidR="000973B9">
        <w:lastRenderedPageBreak/>
        <w:t xml:space="preserve">the influence of urban landscapes, irrigation, forest, bare soil, fast growing vegetation, and large bodies of water </w:t>
      </w:r>
      <w:r w:rsidR="001C2455">
        <w:fldChar w:fldCharType="begin"/>
      </w:r>
      <w:r w:rsidR="001C2455">
        <w:instrText xml:space="preserve"> ADDIN ZOTERO_ITEM CSL_CITATION {"citationID":"pfJ39qWm","properties":{"formattedCitation":"(McPherson et al., 2007)","plainCitation":"(McPherson et al., 2007)","noteIndex":0},"citationItems":[{"id":20,"uris":["http://zotero.org/users/7782726/items/24NAA64A"],"uri":["http://zotero.org/users/7782726/items/24NAA64A"],"itemData":{"id":20,"type":"article-journal","abstract":"&lt;section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rsidR="001C2455">
        <w:fldChar w:fldCharType="separate"/>
      </w:r>
      <w:r w:rsidR="001C2455" w:rsidRPr="001C2455">
        <w:t>(McPherson et al., 2007)</w:t>
      </w:r>
      <w:r w:rsidR="001C2455">
        <w:fldChar w:fldCharType="end"/>
      </w:r>
      <w:r w:rsidR="000973B9">
        <w:t xml:space="preserve">. It is suggested that vegetation at the site should be uniform and low growing such as short grasses </w:t>
      </w:r>
      <w:r w:rsidR="001C2455">
        <w:fldChar w:fldCharType="begin"/>
      </w:r>
      <w:r w:rsidR="001C2455">
        <w:instrText xml:space="preserve"> ADDIN ZOTERO_ITEM CSL_CITATION {"citationID":"LPej2DgK","properties":{"formattedCitation":"(Brock et al., 1995)","plainCitation":"(Brock et al., 1995)","noteIndex":0},"citationItems":[{"id":17,"uris":["http://zotero.org/users/7782726/items/42KGE6UN"],"uri":["http://zotero.org/users/7782726/items/42KGE6UN"],"itemData":{"id":17,"type":"article-journal","abstract":"&lt;section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D."}],"issued":{"date-parts":[["1995",2,1]]}}}],"schema":"https://github.com/citation-style-language/schema/raw/master/csl-citation.json"} </w:instrText>
      </w:r>
      <w:r w:rsidR="001C2455">
        <w:fldChar w:fldCharType="separate"/>
      </w:r>
      <w:r w:rsidR="001C2455" w:rsidRPr="001C2455">
        <w:t>(Brock et al., 1995)</w:t>
      </w:r>
      <w:r w:rsidR="001C2455">
        <w:fldChar w:fldCharType="end"/>
      </w:r>
      <w:r w:rsidR="000973B9">
        <w:t xml:space="preserve">. Therefore, soil moisture measurements at the Oklahoma Mesonet sites may not well represent SM variations over bare soil, crops, forest, and other fast growing vegetations. The vegetation classification of NLDAS land surface models was derived from the global, 1-km, AVHRR-based, 13-class vegetation database of UMD (Noah; </w:t>
      </w:r>
      <w:r w:rsidR="003A1996">
        <w:fldChar w:fldCharType="begin"/>
      </w:r>
      <w:r w:rsidR="003A1996">
        <w:instrText xml:space="preserve"> ADDIN ZOTERO_ITEM CSL_CITATION {"citationID":"wmXahOO4","properties":{"formattedCitation":"(Hansen et al., 2000)","plainCitation":"(Hansen et al., 2000)","noteIndex":0},"citationItems":[{"id":29,"uris":["http://zotero.org/users/7782726/items/I6EPQ59B"],"uri":["http://zotero.org/users/7782726/items/I6EPQ59B"],"itemData":{"id":29,"type":"article-journal","abstract":"This paper on reports the production of a 1 km spatial resolution land cover classification using data for 1992-1993 from the Advanced Very High Resolution Radiometer (AVHRR). This map will be included as an at-launch product of the Moderate Resolution Imaging Spectroradiometer (MODIS) to serve as an input for several algorithms requiring knowledge of land cover type. The methodology was derived from a similar effort to create a product at 8 km spatial resolution, where high resolution data sets were interpreted in order to derive a coarse-resolution training data set. A set of 37 294 x 1 km pixels was used within a hierarchical tree structure to classify the AVHRR data into 12 classes. The approach taken involved a hierarchy of pair-wise class trees where a logic based on vegetation form was applied until all classes were depicted. Multitemporal AVHRR metrics were used to predict class memberships. Minimum annual red reflectance, peak annual Normalized Difference Vegetation Index (NDVI), and minimum channel three brightness temperature were among the most used metrics. Depictions of forests and woodlands, and areas of mechanized agriculture are in general agreement with other sources of information, while classes such as low biomass agriculture and high-latitude broadleaf forest are not. Comparisons of the final product with regional digital land cover maps derived from high-resolution remotely sensed data reveal general agreement, except for apparently poor depictions of temperate pastures within areas of agriculture. Distinguishing between forest and non-forest was achieved with agreements ranging from 81 to 92% for these regional subsets. The agreements for all classes varied from an average of 65% when viewing all pixels to an average of 82% when viewing only those 1 km pixels consisting of greater than 90% one class within the high-resolution data sets.","container-title":"International Journal of Remote Sensing","DOI":"10.1080/014311600210209","ISSN":"0143-1161","issue":"6-7","note":"publisher: Taylor &amp; Francis\n_eprint: https://doi.org/10.1080/014311600210209","page":"1331-1364","source":"Taylor and Francis+NEJM","title":"Global land cover classification at 1 km spatial resolution using a classification tree approach","volume":"21","author":[{"family":"Hansen","given":"M. C."},{"family":"Defries","given":"R. S."},{"family":"Townshend","given":"J. R. G."},{"family":"Sohlberg","given":"R."}],"issued":{"date-parts":[["2000",1,1]]}}}],"schema":"https://github.com/citation-style-language/schema/raw/master/csl-citation.json"} </w:instrText>
      </w:r>
      <w:r w:rsidR="003A1996">
        <w:fldChar w:fldCharType="separate"/>
      </w:r>
      <w:r w:rsidR="003A1996" w:rsidRPr="003A1996">
        <w:t>(Hansen et al., 2000)</w:t>
      </w:r>
      <w:r w:rsidR="003A1996">
        <w:fldChar w:fldCharType="end"/>
      </w:r>
      <w:r w:rsidR="000973B9">
        <w:t xml:space="preserve">). For each 1/8° grid cell, Noah uses the most predominant vegetation class </w:t>
      </w:r>
      <w:r w:rsidR="003A1996">
        <w:fldChar w:fldCharType="begin"/>
      </w:r>
      <w:r w:rsidR="003A1996">
        <w:instrText xml:space="preserve"> ADDIN ZOTERO_ITEM CSL_CITATION {"citationID":"uK7JBCXA","properties":{"formattedCitation":"(Mitchell et al., 2004)","plainCitation":"(Mitchell et al., 2004)","noteIndex":0},"citationItems":[{"id":144,"uris":["http://zotero.org/users/7782726/items/TUX2JZMZ"],"uri":["http://zotero.org/users/7782726/items/TUX2JZMZ"],"itemData":{"id":144,"type":"article-journal","abstract":"Results are presented from the multi-institution partnership to develop a real-time and retrospective North American Land Data Assimilation System (NLDAS). NLDAS consists of (1) four land models executing in parallel in uncoupled mode, (2) common hourly surface forcing, and (3) common streamflow routing: all using a 1/8° grid over the continental United States. The initiative is largely sponsored by the Global Energy and Water Cycle Experiment (GEWEX) Continental-Scale International Project (GCIP). As the overview for nine NLDAS papers, this paper describes and evaluates the 3-year NLDAS execution of 1 October 1996 to 30 September 1999, a period rich in observations for validation. The validation emphasizes (1) the land states, fluxes, and input forcing of four land models, (2) the application of new GCIP-sponsored products, and (3) a multiscale approach. The validation includes (1) mesoscale observing networks of land surface forcing, fluxes, and states, (2) regional snowpack measurements, (3) daily streamflow measurements, and (4) satellite-based retrievals of snow cover, land surface skin temperature (LST), and surface insolation. The results show substantial intermodel differences in surface evaporation and runoff (especially over nonsparse vegetation), soil moisture storage, snowpack, and LST. Owing to surprisingly large intermodel differences in aerodynamic conductance, intermodel differences in midday summer LST were unlike those expected from the intermodel differences in Bowen ratio. Last, anticipating future assimilation of LST, an NLDAS effort unique to this overview paper assesses geostationary-satellite-derived LST, determines the latter to be of good quality, and applies the latter to validate modeled LST.","container-title":"Journal of Geophysical Research: Atmospheres","DOI":"https://doi.org/10.1029/2003JD003823","ISSN":"2156-2202","issue":"D7","language":"en","note":"_eprint: https://agupubs.onlinelibrary.wiley.com/doi/pdf/10.1029/2003JD003823","source":"Wiley Online Library","title":"The multi-institution North American Land Data Assimilation System (NLDAS): Utilizing multiple GCIP products and partners in a continental distributed hydrological modeling system","title-short":"The multi-institution North American Land Data Assimilation System (NLDAS)","URL":"https://agupubs.onlinelibrary.wiley.com/doi/abs/10.1029/2003JD003823","volume":"109","author":[{"family":"Mitchell","given":"Kenneth E."},{"family":"Lohmann","given":"Dag"},{"family":"Houser","given":"Paul R."},{"family":"Wood","given":"Eric F."},{"family":"Schaake","given":"John C."},{"family":"Robock","given":"Alan"},{"family":"Cosgrove","given":"Brian A."},{"family":"Sheffield","given":"Justin"},{"family":"Duan","given":"Qingyun"},{"family":"Luo","given":"Lifeng"},{"family":"Higgins","given":"R. Wayne"},{"family":"Pinker","given":"Rachel T."},{"family":"Tarpley","given":"J. Dan"},{"family":"Lettenmaier","given":"Dennis P."},{"family":"Marshall","given":"Curtis H."},{"family":"Entin","given":"Jared K."},{"family":"Pan","given":"Ming"},{"family":"Shi","given":"Wei"},{"family":"Koren","given":"Victor"},{"family":"Meng","given":"Jesse"},{"family":"Ramsay","given":"Bruce H."},{"family":"Bailey","given":"Andrew A."}],"accessed":{"date-parts":[["2021",5,27]]},"issued":{"date-parts":[["2004"]]}}}],"schema":"https://github.com/citation-style-language/schema/raw/master/csl-citation.json"} </w:instrText>
      </w:r>
      <w:r w:rsidR="003A1996">
        <w:fldChar w:fldCharType="separate"/>
      </w:r>
      <w:r w:rsidR="003A1996" w:rsidRPr="003A1996">
        <w:t>(Mitchell et al., 2004)</w:t>
      </w:r>
      <w:r w:rsidR="003A1996">
        <w:fldChar w:fldCharType="end"/>
      </w:r>
      <w:r w:rsidR="000973B9">
        <w:t xml:space="preserve">. Xia et al. </w:t>
      </w:r>
      <w:r w:rsidR="003A1996">
        <w:fldChar w:fldCharType="begin"/>
      </w:r>
      <w:r w:rsidR="002851B0">
        <w:instrText xml:space="preserve"> ADDIN ZOTERO_ITEM CSL_CITATION {"citationID":"Ou535cvx","properties":{"formattedCitation":"(Xia et al., 2014)","plainCitation":"(Xia et al., 2014)","dontUpdate":true,"noteIndex":0},"citationItems":[{"id":87,"uris":["http://zotero.org/users/7782726/items/2LX9DU3A"],"uri":["http://zotero.org/users/7782726/items/2LX9DU3A"],"itemData":{"id":87,"type":"article-journal","abstract":"The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003A1996">
        <w:fldChar w:fldCharType="separate"/>
      </w:r>
      <w:r w:rsidR="003A1996" w:rsidRPr="003A1996">
        <w:t>(2014)</w:t>
      </w:r>
      <w:r w:rsidR="003A1996">
        <w:fldChar w:fldCharType="end"/>
      </w:r>
      <w:r w:rsidR="000973B9">
        <w:t xml:space="preserve"> evaluated 20-years (January 1985–December 2004) of NLDAS-2 model-simulated soil moisture with in situ measurements over the continental United States and concluded that the performance for all models is higher in the Southeast, Great Plains, Midwest, and Northwest, and lower in the Southwest and the Northeast with their dominant vegetation cover as forest, grassland, a mixture of cropland and grasslands, grassland, open shrubland, and forest respectively. Zhang et al. </w:t>
      </w:r>
      <w:r w:rsidR="007A73EC">
        <w:fldChar w:fldCharType="begin"/>
      </w:r>
      <w:r w:rsidR="002851B0">
        <w:instrText xml:space="preserve"> ADDIN ZOTERO_ITEM CSL_CITATION {"citationID":"CPdEHZCv","properties":{"formattedCitation":"(R. Zhang et al., 2019)","plainCitation":"(R. Zhang et al., 2019)","dontUpdate":true,"noteIndex":0},"citationItems":[{"id":35,"uris":["http://zotero.org/users/7782726/items/JH237285"],"uri":["http://zotero.org/users/7782726/items/JH237285"],"itemData":{"id":35,"type":"article-journal","abstract":"This study presents a comprehensive validation of the Soil Moisture Active Passive (SMAP) mission Enhanced Level-3 radiometer soil moisture (SM) product (Version 2) over 3 years from April 1, 2015 to March 31, 2018 using extensive ground measurements from sparse networks covering a range of physical and climatological regimes. Using a common spatial resolution, soil moisture retrievals from the descending (6:00 AM) and ascending (6:00 PM) overpasses were assessed based on static conditions such as the climate zone, soil property and land cover. Then validation considering performance with respect to dynamic attributes such as soil wetness, vegetation density and land surface temperature was reported. Given the above six parameters are cross-correlated, the quality of the SMAP enhanced products was further evaluated based on pairwise factors. Overall, higher accuracy was noted over zones where the soil organic carbon is low, the vegetation density is relatively sparse, locations in the temperate and arid climate zones, and the mean LST is high. Results also indicate that the descending (AM) and ascending (PM) products exhibit mean temporal correlation over the ground stations equaling 0.667 and 0.651, and mean unbiased root mean square error (ubRMSE) equaling 0.055 and 0.054 m3/m3 respectively which is close to the ubRMSE requirement of the SMAP mission, 0.04 m3/m3. While the ascending (PM) SM retrievals have been frequently excluded from applications due to its poor performances reported form validation studies, these comparable performances between the two products suggest that the ascending (PM) SM retrievals can be an additional data source. Based on the results here, it can be concluded that there is room for improving the SMAP product especially in areas of the world with very dense vegetation and average to low land surface temperatures.","container-title":"Remote Sensing of Environment","DOI":"10.1016/j.rse.2019.01.015","ISSN":"0034-4257","journalAbbreviation":"Remote Sensing of Environment","language":"en","page":"82-94","source":"ScienceDirect","title":"A comprehensive validation of the SMAP Enhanced Level-3 Soil Moisture product using ground measurements over varied climates and landscapes","volume":"223","author":[{"family":"Zhang","given":"Runze"},{"family":"Kim","given":"Seokhyeon"},{"family":"Sharma","given":"Ashish"}],"issued":{"date-parts":[["2019",3,15]]}}}],"schema":"https://github.com/citation-style-language/schema/raw/master/csl-citation.json"} </w:instrText>
      </w:r>
      <w:r w:rsidR="007A73EC">
        <w:fldChar w:fldCharType="separate"/>
      </w:r>
      <w:r w:rsidR="007A73EC" w:rsidRPr="007A73EC">
        <w:t>(2019)</w:t>
      </w:r>
      <w:r w:rsidR="007A73EC">
        <w:fldChar w:fldCharType="end"/>
      </w:r>
      <w:r w:rsidR="000973B9">
        <w:t xml:space="preserve"> conducted a comprehensive validation of the SMAP Level 3 SM product with ground measurements over varied climates and landscapes from April 1, 2015 to March 31, 2018. Results showed that SMAP level 3 SM product had better performance over grassland than over cropland. </w:t>
      </w:r>
      <w:bookmarkStart w:id="88" w:name="_Hlk78834323"/>
      <w:r w:rsidR="000973B9">
        <w:t>In summary, all three main soil moisture measurements are subject to representativeness inadequacies over various land cover types and correct interpretation and application of their products requires an in-depth understanding of their accuracy.</w:t>
      </w:r>
    </w:p>
    <w:bookmarkEnd w:id="88"/>
    <w:p w14:paraId="561CB661" w14:textId="1B7BFF89" w:rsidR="00430252" w:rsidRDefault="000973B9" w:rsidP="000973B9">
      <w:r>
        <w:t xml:space="preserve">Therefore, the overarching goal of this </w:t>
      </w:r>
      <w:r w:rsidR="005C1CD4">
        <w:t>chapter</w:t>
      </w:r>
      <w:r>
        <w:t xml:space="preserve"> is to cross-evaluate</w:t>
      </w:r>
      <w:r w:rsidR="0079467D">
        <w:t xml:space="preserve"> </w:t>
      </w:r>
      <w:r>
        <w:t xml:space="preserve"> three </w:t>
      </w:r>
      <w:r w:rsidR="0079467D">
        <w:t xml:space="preserve">widely used </w:t>
      </w:r>
      <w:r>
        <w:t>soil moisture products independently</w:t>
      </w:r>
      <w:r w:rsidR="005C1CD4">
        <w:t xml:space="preserve"> </w:t>
      </w:r>
      <w:r w:rsidR="0079467D">
        <w:t xml:space="preserve">across Oklahoma and over </w:t>
      </w:r>
      <w:r>
        <w:t xml:space="preserve">various land cover types. Specifically, this </w:t>
      </w:r>
      <w:r w:rsidR="005C1CD4">
        <w:t xml:space="preserve">chapter shows the results of </w:t>
      </w:r>
      <w:r>
        <w:t xml:space="preserve">a comprehensive assessment of the Satellite SMAP_L3 (SMAP), Land Surface NOAH Model (Noah), and the interpolated Mesonet soil moisture (Mesonet) </w:t>
      </w:r>
      <w:r>
        <w:lastRenderedPageBreak/>
        <w:t>products across Oklahoma at daily and seasonal timescales using the TC method evaluated over different land cover types</w:t>
      </w:r>
      <w:r w:rsidR="0071714C">
        <w:t>.</w:t>
      </w:r>
      <w:r>
        <w:t xml:space="preserve"> </w:t>
      </w:r>
      <w:r w:rsidR="00EE2D39">
        <w:t xml:space="preserve">This chapter is the first to adopt triple collocation method in intercomparison between in-situ, model-based, and satellite soil moisture products </w:t>
      </w:r>
      <w:r w:rsidR="007864A4">
        <w:t>over</w:t>
      </w:r>
      <w:r w:rsidR="00EE2D39">
        <w:t xml:space="preserve"> </w:t>
      </w:r>
      <w:r w:rsidR="007864A4">
        <w:t xml:space="preserve">various land cover types in </w:t>
      </w:r>
      <w:r w:rsidR="00EE2D39">
        <w:t xml:space="preserve">Oklahoma </w:t>
      </w:r>
      <w:r>
        <w:t xml:space="preserve">and the results are expected to provide not only a new perspective for comparatively assessing multi-source soil moisture products </w:t>
      </w:r>
      <w:r w:rsidR="007864A4">
        <w:t xml:space="preserve">over different land cover types </w:t>
      </w:r>
      <w:r>
        <w:t xml:space="preserve">but also a basis for objective data merging to capitalize the strengths of multi-sensor multiplatform soil moisture products. The rest of the </w:t>
      </w:r>
      <w:r w:rsidR="005C1CD4">
        <w:t>chapter</w:t>
      </w:r>
      <w:r>
        <w:t xml:space="preserve"> is organized as follows: Section </w:t>
      </w:r>
      <w:r w:rsidR="002F575A">
        <w:t>3.</w:t>
      </w:r>
      <w:r>
        <w:t xml:space="preserve">2 details the data and study area; Section </w:t>
      </w:r>
      <w:r w:rsidR="002F575A">
        <w:t>3.</w:t>
      </w:r>
      <w:r>
        <w:t xml:space="preserve">3 describes the methods and data processing; Section </w:t>
      </w:r>
      <w:r w:rsidR="002F575A">
        <w:t>3.</w:t>
      </w:r>
      <w:r>
        <w:t xml:space="preserve">4 presents the results and analysis; Section </w:t>
      </w:r>
      <w:r w:rsidR="002F575A">
        <w:t>3.</w:t>
      </w:r>
      <w:r>
        <w:t xml:space="preserve">5 provides a discussion; and the Section </w:t>
      </w:r>
      <w:r w:rsidR="002F575A">
        <w:t>3.</w:t>
      </w:r>
      <w:r>
        <w:t>6 provides some conclusions for this study.</w:t>
      </w:r>
    </w:p>
    <w:p w14:paraId="08232A71" w14:textId="77777777" w:rsidR="005C1CD4" w:rsidRPr="00430252" w:rsidRDefault="005C1CD4" w:rsidP="000973B9"/>
    <w:p w14:paraId="79A6E829" w14:textId="17AB72BA" w:rsidR="00460D35" w:rsidRDefault="00460D35" w:rsidP="00460D35">
      <w:pPr>
        <w:pStyle w:val="2"/>
      </w:pPr>
      <w:bookmarkStart w:id="89" w:name="_Toc75939844"/>
      <w:r>
        <w:t>3.2 Data Sources</w:t>
      </w:r>
      <w:bookmarkEnd w:id="89"/>
    </w:p>
    <w:p w14:paraId="1FAB0719" w14:textId="1D4D8738" w:rsidR="00621AC7" w:rsidRPr="00621AC7" w:rsidRDefault="005E7BC1" w:rsidP="00185E04">
      <w:pPr>
        <w:pStyle w:val="3"/>
      </w:pPr>
      <w:bookmarkStart w:id="90" w:name="_Toc75939845"/>
      <w:r>
        <w:t xml:space="preserve">3.2.1 </w:t>
      </w:r>
      <w:r w:rsidRPr="005E7BC1">
        <w:t>Satellite soil moisture product: SMAP L3_SM_P_E</w:t>
      </w:r>
      <w:bookmarkEnd w:id="90"/>
    </w:p>
    <w:p w14:paraId="732F44D0" w14:textId="24AEE8F0" w:rsidR="00823E03" w:rsidRDefault="00823E03" w:rsidP="00823E03">
      <w:r>
        <w:t xml:space="preserve">Launched in January 2015, SMAP is an orbiting observatory that estimates the amount of water in the top 0 – 4 inches (0 – 10 centimeters) of soil everywhere on Earth’s land surface every two to three days. SMAP was designed to provide high-resolution soil moisture information with radar (active) and radiometer (passive) sensors that operate at L-band frequencies. However, the radar instrument terminated its operation due to failure of its power supply after three months of data collection. The SMAP radiometer has been operating flawlessly and in extended operation phase since 2018 </w:t>
      </w:r>
      <w:r w:rsidR="002851B0">
        <w:fldChar w:fldCharType="begin"/>
      </w:r>
      <w:r w:rsidR="002851B0">
        <w:instrText xml:space="preserve"> ADDIN ZOTERO_ITEM CSL_CITATION {"citationID":"vBsf3ksi","properties":{"formattedCitation":"(Entekhabi et al., 2014)","plainCitation":"(Entekhabi et al., 2014)","noteIndex":0},"citationItems":[{"id":155,"uris":["http://zotero.org/users/7782726/items/JUDVIJHB"],"uri":["http://zotero.org/users/7782726/items/JUDVIJHB"],"itemData":{"id":155,"type":"article-journal","note":"publisher: JPL publication 400-1567; https://www. google. com/url? sa= t&amp;rct= j&amp;q …","title":"SMAP handbook","author":[{"family":"Entekhabi","given":"Dara"},{"family":"Yueh","given":"Simon"},{"family":"De Lannoy","given":"Gabrielle"}],"issued":{"date-parts":[["2014"]]}}}],"schema":"https://github.com/citation-style-language/schema/raw/master/csl-citation.json"} </w:instrText>
      </w:r>
      <w:r w:rsidR="002851B0">
        <w:fldChar w:fldCharType="separate"/>
      </w:r>
      <w:r w:rsidR="002851B0" w:rsidRPr="002851B0">
        <w:t>(Entekhabi et al., 2014)</w:t>
      </w:r>
      <w:r w:rsidR="002851B0">
        <w:fldChar w:fldCharType="end"/>
      </w:r>
      <w:r>
        <w:t xml:space="preserve">. </w:t>
      </w:r>
    </w:p>
    <w:p w14:paraId="776FD9C4" w14:textId="6AB83811" w:rsidR="00823E03" w:rsidRDefault="00823E03" w:rsidP="00823E03">
      <w:r>
        <w:t xml:space="preserve">In total, the SMAP mission has generated 23 distributable data products representing four levels of data processing. Level 1 products are instrument-related data sectioned into surface radar backscatter cross-section and brightness temperatures. Level 2 products are geophysical retrievals </w:t>
      </w:r>
      <w:r>
        <w:lastRenderedPageBreak/>
        <w:t xml:space="preserve">in half orbit granules resulting from instrument data. Level 3 products are daily global composites of Level 2 data for an entire UTC day. Level 4 products are outputs from geophysical models utilizing SMAP data </w:t>
      </w:r>
      <w:r w:rsidR="002851B0">
        <w:fldChar w:fldCharType="begin"/>
      </w:r>
      <w:r w:rsidR="002851B0">
        <w:instrText xml:space="preserve"> ADDIN ZOTERO_ITEM CSL_CITATION {"citationID":"0NStbEaA","properties":{"formattedCitation":"(Chan, 2016)","plainCitation":"(Chan, 2016)","noteIndex":0},"citationItems":[{"id":161,"uris":["http://zotero.org/users/7782726/items/8TCJMFEE"],"uri":["http://zotero.org/users/7782726/items/8TCJMFEE"],"itemData":{"id":161,"type":"article-journal","container-title":"Jet Propulsion Lab., California Inst. Technol.: Pasadena, CA, USA","title":"Enhanced level 3 passive soil moisture product specification document","author":[{"family":"Chan","given":"Steven"}],"issued":{"date-parts":[["2016"]]}}}],"schema":"https://github.com/citation-style-language/schema/raw/master/csl-citation.json"} </w:instrText>
      </w:r>
      <w:r w:rsidR="002851B0">
        <w:fldChar w:fldCharType="separate"/>
      </w:r>
      <w:r w:rsidR="002851B0" w:rsidRPr="002851B0">
        <w:t>(Chan, 2016)</w:t>
      </w:r>
      <w:r w:rsidR="002851B0">
        <w:fldChar w:fldCharType="end"/>
      </w:r>
      <w:r>
        <w:t xml:space="preserve">. The reasons why the SMAP Level 3 product is used in this </w:t>
      </w:r>
      <w:r w:rsidR="005C1CD4">
        <w:t xml:space="preserve">chapter </w:t>
      </w:r>
      <w:r>
        <w:t xml:space="preserve">are: (1) Even though both Level 2 and Level 3 products are geophysical retrievals, Level 3 values are daily global composites of Level 2; and (2) </w:t>
      </w:r>
      <w:r w:rsidR="005C1CD4">
        <w:t>w</w:t>
      </w:r>
      <w:r>
        <w:t xml:space="preserve">hile both Level 3 and Level 4 products are daily global retrievals, only Level 3 can satisfy the independency assumption of triple collocation analysis </w:t>
      </w:r>
      <w:r w:rsidR="0058453F">
        <w:fldChar w:fldCharType="begin"/>
      </w:r>
      <w:r w:rsidR="0058453F">
        <w:instrText xml:space="preserve"> ADDIN ZOTERO_ITEM CSL_CITATION {"citationID":"nmFJW9Ew","properties":{"formattedCitation":"(Scipal et al., 2008)","plainCitation":"(Scipal et al., 2008)","noteIndex":0},"citationItems":[{"id":125,"uris":["http://zotero.org/users/7782726/items/B8PZIS4H"],"uri":["http://zotero.org/users/7782726/items/B8PZIS4H"],"itemData":{"id":125,"type":"article-journal","abstract":"In the last few years, research made significant progress towards operational soil moisture remote sensing which lead to the availability of several global data sets. For an optimal use of these data, an accurate estimation of the error structure is an important condition. To solve for the validation problem we introduce the triple collocation error estimation technique. The triple collocation technique is a powerful tool to estimate the root mean square error while simultaneously solving for systematic differences in the climatologies of a set of three independent data sources. We evaluate the method by applying it to a passive microwave (TRMM radiometer) derived, an active microwave (ERS-2 scatterometer) derived and a modeled (ERA-Interim reanalysis) soil moisture data sets. The results suggest that the method provides realistic error estimates.","container-title":"Geophysical Research Letters","DOI":"https://doi.org/10.1029/2008GL035599","ISSN":"1944-8007","issue":"24","language":"en","note":"_eprint: https://agupubs.onlinelibrary.wiley.com/doi/pdf/10.1029/2008GL035599","source":"Wiley Online Library","title":"A possible solution for the problem of estimating the error structure of global soil moisture data sets","URL":"https://agupubs.onlinelibrary.wiley.com/doi/abs/10.1029/2008GL035599","volume":"35","author":[{"family":"Scipal","given":"K."},{"family":"Holmes","given":"T."},{"family":"Jeu","given":"R.","dropping-particle":"de"},{"family":"Naeimi","given":"V."},{"family":"Wagner","given":"W."}],"accessed":{"date-parts":[["2021",5,27]]},"issued":{"date-parts":[["2008"]]}}}],"schema":"https://github.com/citation-style-language/schema/raw/master/csl-citation.json"} </w:instrText>
      </w:r>
      <w:r w:rsidR="0058453F">
        <w:fldChar w:fldCharType="separate"/>
      </w:r>
      <w:r w:rsidR="0058453F" w:rsidRPr="0058453F">
        <w:t>(Scipal et al., 2008)</w:t>
      </w:r>
      <w:r w:rsidR="0058453F">
        <w:fldChar w:fldCharType="end"/>
      </w:r>
      <w:r>
        <w:t>. Since Level 4 products are outputs from geophysical models, it is difficult to justify that the Level 4 product is independent from the NLDAS2 Noah model derived soil moisture product.</w:t>
      </w:r>
    </w:p>
    <w:p w14:paraId="6569FA20" w14:textId="2E0BF4FE" w:rsidR="00EA7EEA" w:rsidRDefault="00823E03" w:rsidP="00823E03">
      <w:r>
        <w:t xml:space="preserve">The SMAP Level 3 product used in this study is the Enhanced L3 Radiometer Global Daily 9 km EASEGrid Soil Moisture, Version 3 (L3_SM_P_E; </w:t>
      </w:r>
      <w:r w:rsidR="007724BA">
        <w:fldChar w:fldCharType="begin"/>
      </w:r>
      <w:r w:rsidR="002F575A">
        <w:instrText xml:space="preserve"> ADDIN ZOTERO_ITEM CSL_CITATION {"citationID":"NYmSvJXu","properties":{"formattedCitation":"(ONeill et al., 2019)","plainCitation":"(ONeill et al., 2019)","noteIndex":0},"citationItems":[{"id":162,"uris":["http://zotero.org/users/7782726/items/VGFDAUDZ"],"uri":["http://zotero.org/users/7782726/items/VGFDAUDZ"],"itemData":{"id":162,"type":"article","note":"type: dataset\nDOI: 10.5067/T90W6VRLCBHI","publisher":"NASA National Snow and Ice Data Center DAAC","source":"DOI.org (Datacite)","title":"SMAP Enhanced L3 Radiometer Global Daily 9 km EASE-Grid Soil Moisture, Version 3","URL":"https://nsidc.org/data/SPL3SMP_E/versions/3","author":[{"family":"ONeill","given":"Peggy E."},{"family":"Chan","given":"Steven"},{"family":"Njoku","given":"Eni G."},{"family":"Jackson","given":"Tom"},{"family":"Bindlish","given":"Rajat"}],"accessed":{"date-parts":[["2020",2,20]]},"issued":{"date-parts":[["2019"]]}}}],"schema":"https://github.com/citation-style-language/schema/raw/master/csl-citation.json"} </w:instrText>
      </w:r>
      <w:r w:rsidR="007724BA">
        <w:fldChar w:fldCharType="separate"/>
      </w:r>
      <w:r w:rsidR="002F575A" w:rsidRPr="002F575A">
        <w:t>(ONeill et al., 2019)</w:t>
      </w:r>
      <w:r w:rsidR="007724BA">
        <w:fldChar w:fldCharType="end"/>
      </w:r>
      <w:r>
        <w:t xml:space="preserve">). It is a daily global composite of the enhanced SMAP L2_SM_P_E product, which contains gridded data of 6:00 am (descending) and 6:00 pm (ascending) SMAP radiometer-based soil moisture retrievals, ancillary data, and quality assessment flags on the global 9-km Equal-Area Scalable Earth (EASE 2.0) grid. The main output of this dataset is 0-5 cm surface soil moisture. This product is publicly available through the National Snow and Ice Data Center. Surface soil moisture data of SMAP L3_SM_P_E product pertaining to the period from 04-01-2015 to 07-01-2019 were used in this study </w:t>
      </w:r>
      <w:r w:rsidR="009C6223">
        <w:fldChar w:fldCharType="begin"/>
      </w:r>
      <w:r w:rsidR="002F575A">
        <w:instrText xml:space="preserve"> ADDIN ZOTERO_ITEM CSL_CITATION {"citationID":"F4tsRiWf","properties":{"formattedCitation":"(ONeill et al., 2019)","plainCitation":"(ONeill et al., 2019)","noteIndex":0},"citationItems":[{"id":162,"uris":["http://zotero.org/users/7782726/items/VGFDAUDZ"],"uri":["http://zotero.org/users/7782726/items/VGFDAUDZ"],"itemData":{"id":162,"type":"article","note":"type: dataset\nDOI: 10.5067/T90W6VRLCBHI","publisher":"NASA National Snow and Ice Data Center DAAC","source":"DOI.org (Datacite)","title":"SMAP Enhanced L3 Radiometer Global Daily 9 km EASE-Grid Soil Moisture, Version 3","URL":"https://nsidc.org/data/SPL3SMP_E/versions/3","author":[{"family":"ONeill","given":"Peggy E."},{"family":"Chan","given":"Steven"},{"family":"Njoku","given":"Eni G."},{"family":"Jackson","given":"Tom"},{"family":"Bindlish","given":"Rajat"}],"accessed":{"date-parts":[["2020",2,20]]},"issued":{"date-parts":[["2019"]]}}}],"schema":"https://github.com/citation-style-language/schema/raw/master/csl-citation.json"} </w:instrText>
      </w:r>
      <w:r w:rsidR="009C6223">
        <w:fldChar w:fldCharType="separate"/>
      </w:r>
      <w:r w:rsidR="002F575A" w:rsidRPr="002F575A">
        <w:t>(ONeill et al., 2019)</w:t>
      </w:r>
      <w:r w:rsidR="009C6223">
        <w:fldChar w:fldCharType="end"/>
      </w:r>
      <w:r>
        <w:t>.</w:t>
      </w:r>
    </w:p>
    <w:p w14:paraId="0898044A" w14:textId="77777777" w:rsidR="005C1CD4" w:rsidRDefault="005C1CD4" w:rsidP="00823E03"/>
    <w:p w14:paraId="41219592" w14:textId="6B69575D" w:rsidR="009C6223" w:rsidRDefault="009F6DA5" w:rsidP="00185E04">
      <w:pPr>
        <w:pStyle w:val="3"/>
      </w:pPr>
      <w:bookmarkStart w:id="91" w:name="_Toc75939846"/>
      <w:r>
        <w:t xml:space="preserve">3.2.2 </w:t>
      </w:r>
      <w:r w:rsidRPr="009F6DA5">
        <w:t>Model-based soil moisture product: NLDAS_NOAH0125_H</w:t>
      </w:r>
      <w:bookmarkEnd w:id="91"/>
    </w:p>
    <w:p w14:paraId="43497E1A" w14:textId="129A64D4" w:rsidR="009F6DA5" w:rsidRDefault="5E4FB5CC" w:rsidP="009F6DA5">
      <w:r>
        <w:t xml:space="preserve">The North American Land Data Assimilation System phase 2 (NLDAS-2) is an offline data assimilation system running four land surface models (Noah, SAC-SMA, VIC, and Mosaic) over the conterminous United States (CONUS), the southern part of Canada, and the northern portion </w:t>
      </w:r>
      <w:r>
        <w:lastRenderedPageBreak/>
        <w:t xml:space="preserve">of Mexico with a 1/8° latitude-longitude resolution </w:t>
      </w:r>
      <w:r w:rsidR="009375CF">
        <w:fldChar w:fldCharType="begin"/>
      </w:r>
      <w:r w:rsidR="009375CF">
        <w:instrText xml:space="preserve"> ADDIN ZOTERO_ITEM CSL_CITATION {"citationID":"4tuMw23x","properties":{"formattedCitation":"(Xia et al., 2012)","plainCitation":"(Xia et al., 2012)","noteIndex":0},"citationItems":[{"id":163,"uris":["http://zotero.org/users/7782726/items/AX28JFDM"],"uri":["http://zotero.org/users/7782726/items/AX28JFDM"],"itemData":{"id":163,"type":"article-journal","container-title":"Journal of Geophysical Research: Atmospheres","issue":"D3","note":"ISBN: 0148-0227\npublisher: Wiley Online Library","title":"Continental‐scale water and energy flux analysis and validation for the North American Land Data Assimilation System project phase 2 (NLDAS‐2): 1. Intercomparison and application of model products","volume":"117","author":[{"family":"Xia","given":"Youlong"},{"family":"Mitchell","given":"Kenneth"},{"family":"Ek","given":"Michael"},{"family":"Sheffield","given":"Justin"},{"family":"Cosgrove","given":"Brian"},{"family":"Wood","given":"Eric"},{"family":"Luo","given":"Lifeng"},{"family":"Alonge","given":"Charles"},{"family":"Wei","given":"Helin"},{"family":"Meng","given":"Jesse"}],"issued":{"date-parts":[["2012"]]}}}],"schema":"https://github.com/citation-style-language/schema/raw/master/csl-citation.json"} </w:instrText>
      </w:r>
      <w:r w:rsidR="009375CF">
        <w:fldChar w:fldCharType="separate"/>
      </w:r>
      <w:r>
        <w:t>(Xia et al., 2012)</w:t>
      </w:r>
      <w:r w:rsidR="009375CF">
        <w:fldChar w:fldCharType="end"/>
      </w:r>
      <w:r>
        <w:t xml:space="preserve">. The four land surface models represent different methodological approaches to land surface modeling. This study uses the simulated soil moisture from the NLDAS-2 Noah model. The Noah model is the land model of the NCEP (National Centers for Environmental Modeling Prediction) operational regional and global weather and climate models </w:t>
      </w:r>
      <w:r w:rsidR="009375CF">
        <w:fldChar w:fldCharType="begin"/>
      </w:r>
      <w:r w:rsidR="009375CF">
        <w:instrText xml:space="preserve"> ADDIN ZOTERO_ITEM CSL_CITATION {"citationID":"wxZ15naI","properties":{"formattedCitation":"(Betts et al., 1997; F. Chen et al., 1997; Ek et al., 2003)","plainCitation":"(Betts et al., 1997; F. Chen et al., 1997; Ek et al., 2003)","noteIndex":0},"citationItems":[{"id":165,"uris":["http://zotero.org/users/7782726/items/2P9T5W97"],"uri":["http://zotero.org/users/7782726/items/2P9T5W97"],"itemData":{"id":165,"type":"article-journal","container-title":"Monthly Weather Review","issue":"11","note":"ISBN: 1520-0493\npublisher: American Meteorological Society","page":"2896-2916","title":"Assessment of the land surface and boundary layer models in two operational versions of the NCEP Eta model using FIFE data","volume":"125","author":[{"family":"Betts","given":"Alan K."},{"family":"Chen","given":"Fei"},{"family":"Mitchell","given":"Kenneth E."},{"family":"Janjić","given":"Zaviša I."}],"issued":{"date-parts":[["1997"]]}}},{"id":164,"uris":["http://zotero.org/users/7782726/items/UNZEYX74"],"uri":["http://zotero.org/users/7782726/items/UNZEYX74"],"itemData":{"id":164,"type":"article-journal","container-title":"Boundary-Layer Meteorology","issue":"3","note":"ISBN: 1573-1472\npublisher: Springer","page":"391-421","title":"Impact of atmospheric surface-layer parameterizations in the new land-surface scheme of the NCEP mesoscale Eta model","volume":"85","author":[{"family":"Chen","given":"Fei"},{"family":"Janjić","given":"Zavisă"},{"family":"Mitchell","given":"Kenneth"}],"issued":{"date-parts":[["1997"]]}}},{"id":166,"uris":["http://zotero.org/users/7782726/items/UVVV4SIV"],"uri":["http://zotero.org/users/7782726/items/UVVV4SIV"],"itemData":{"id":166,"type":"article-journal","container-title":"Journal of Geophysical Research: Atmospheres","issue":"D22","note":"ISBN: 0148-0227\npublisher: Wiley Online Library","title":"Implementation of Noah land surface model advances in the National Centers for Environmental Prediction operational mesoscale Eta model","volume":"108","author":[{"family":"Ek","given":"M. B."},{"family":"Mitchell","given":"K. E."},{"family":"Lin","given":"Y."},{"family":"Rogers","given":"E."},{"family":"Grunmann","given":"P."},{"family":"Koren","given":"V."},{"family":"Gayno","given":"G."},{"family":"Tarpley","given":"J. D."}],"issued":{"date-parts":[["2003"]]}}}],"schema":"https://github.com/citation-style-language/schema/raw/master/csl-citation.json"} </w:instrText>
      </w:r>
      <w:r w:rsidR="009375CF">
        <w:fldChar w:fldCharType="separate"/>
      </w:r>
      <w:r>
        <w:t>(Betts et al., 1997; F. Chen et al., 1997; Ek et al., 2003)</w:t>
      </w:r>
      <w:r w:rsidR="009375CF">
        <w:fldChar w:fldCharType="end"/>
      </w:r>
      <w:r>
        <w:t xml:space="preserve">. It provides hourly soil moisture fields at 1/8° grid from 1979 to present. The Noah model has four soil layers: 0–10 cm, 10–40 cm, 40–100 cm, and 100–200 cm and simulates soil moisture at the middle of each soil layer (5, 25, 70, and 150 cm), but only the top layer value (i.e., 5 cm) is used in this study. Xia et al. </w:t>
      </w:r>
      <w:r w:rsidR="009375CF">
        <w:fldChar w:fldCharType="begin"/>
      </w:r>
      <w:r w:rsidR="009375CF">
        <w:instrText xml:space="preserve"> ADDIN ZOTERO_ITEM CSL_CITATION {"citationID":"z4RyC2uz","properties":{"formattedCitation":"(Xia et al., 2014)","plainCitation":"(Xia et al., 2014)","dontUpdate":true,"noteIndex":0},"citationItems":[{"id":87,"uris":["http://zotero.org/users/7782726/items/2LX9DU3A"],"uri":["http://zotero.org/users/7782726/items/2LX9DU3A"],"itemData":{"id":87,"type":"article-journal","abstract":"The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009375CF">
        <w:fldChar w:fldCharType="separate"/>
      </w:r>
      <w:r>
        <w:t>(2014)</w:t>
      </w:r>
      <w:r w:rsidR="009375CF">
        <w:fldChar w:fldCharType="end"/>
      </w:r>
      <w:r>
        <w:t xml:space="preserve"> compared soil moisture estimates of four NLDAS-2 land surface models (Noah, Mosaic, SAC, VIC) with three in-situ soil moisture observation data sets in the United States (the Illinois Climate Network, the Oklahoma Mesonet network, and the Soil Climate Analysis Network) to find that Noah had the smallest mean absolute error (MAE=0.036), root mean square error (RMSE=0.04) and bias (Bias=-0.033) in the comparison with the Oklahoma Mesonet observations for absolute daily soil moisture at the top 10 cm soil layer in a six year period (from January 1, 1997 to December 31, 2002). Moreover, Noah was much closer to the observations over six year averaged daily volumetric soil moisture </w:t>
      </w:r>
      <w:r w:rsidR="009375CF">
        <w:fldChar w:fldCharType="begin"/>
      </w:r>
      <w:r w:rsidR="009375CF">
        <w:instrText xml:space="preserve"> ADDIN ZOTERO_ITEM CSL_CITATION {"citationID":"yrPdVkaG","properties":{"formattedCitation":"(Xia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009375CF">
        <w:fldChar w:fldCharType="separate"/>
      </w:r>
      <w:r>
        <w:t>(Xia et al., 2014)</w:t>
      </w:r>
      <w:r w:rsidR="009375CF">
        <w:fldChar w:fldCharType="end"/>
      </w:r>
      <w:r>
        <w:t xml:space="preserve">. Therefore, the hourly soil moisture simulations of NLDAS-2 Noah model between the period of 04-01-2015 to 07-01-2019 were used in this study </w:t>
      </w:r>
      <w:r w:rsidR="009375CF">
        <w:fldChar w:fldCharType="begin"/>
      </w:r>
      <w:r w:rsidR="009375CF">
        <w:instrText xml:space="preserve"> ADDIN ZOTERO_ITEM CSL_CITATION {"citationID":"RG5LnLZP","properties":{"formattedCitation":"({\\i{}GES DISC Dataset: NLDAS Noah Land Surface Model L4 Monthly Climatology 0.125 x 0.125 Degree V002 (NLDAS_NOAH0125_MC 002)}, n.d.)","plainCitation":"(GES DISC Dataset: NLDAS Noah Land Surface Model L4 Monthly Climatology 0.125 x 0.125 Degree V002 (NLDAS_NOAH0125_MC 002), n.d.)","noteIndex":0},"citationItems":[{"id":167,"uris":["http://zotero.org/users/7782726/items/VGYXKDY9"],"uri":["http://zotero.org/users/7782726/items/VGYXKDY9"],"itemData":{"id":167,"type":"webpage","title":"GES DISC Dataset: NLDAS Noah Land Surface Model L4 Monthly Climatology 0.125 x 0.125 degree V002 (NLDAS_NOAH0125_MC 002)","URL":"https://disc.gsfc.nasa.gov/datasets/NLDAS_NOAH0125_MC_002/summary"}}],"schema":"https://github.com/citation-style-language/schema/raw/master/csl-citation.json"} </w:instrText>
      </w:r>
      <w:r w:rsidR="009375CF">
        <w:fldChar w:fldCharType="separate"/>
      </w:r>
      <w:r>
        <w:t>(</w:t>
      </w:r>
      <w:r w:rsidRPr="5E4FB5CC">
        <w:rPr>
          <w:i/>
          <w:iCs/>
        </w:rPr>
        <w:t>GES DISC Dataset: NLDAS Noah Land Surface Model L4 Monthly Climatology 0.125 x 0.125 Degree V002 (NLDAS_NOAH0125_MC 002)</w:t>
      </w:r>
      <w:r>
        <w:t>, n.d.)</w:t>
      </w:r>
      <w:r w:rsidR="009375CF">
        <w:fldChar w:fldCharType="end"/>
      </w:r>
      <w:r>
        <w:t>.</w:t>
      </w:r>
    </w:p>
    <w:p w14:paraId="6C5AD558" w14:textId="77777777" w:rsidR="00470C58" w:rsidRDefault="00470C58" w:rsidP="009F6DA5"/>
    <w:p w14:paraId="261B2F03" w14:textId="1E234386" w:rsidR="009375CF" w:rsidRDefault="009375CF" w:rsidP="00185E04">
      <w:pPr>
        <w:pStyle w:val="3"/>
      </w:pPr>
      <w:bookmarkStart w:id="92" w:name="_Toc75939847"/>
      <w:r>
        <w:t xml:space="preserve">3.2.3 </w:t>
      </w:r>
      <w:r w:rsidRPr="009375CF">
        <w:t>In situ soil moisture product: the Oklahoma Mesonet</w:t>
      </w:r>
      <w:bookmarkEnd w:id="92"/>
    </w:p>
    <w:p w14:paraId="49E231F6" w14:textId="77319EE7" w:rsidR="009375CF" w:rsidRDefault="000359A5" w:rsidP="009375CF">
      <w:r w:rsidRPr="000359A5">
        <w:t xml:space="preserve">The Oklahoma Mesonet is a world-class statewide network of environmental monitoring stations that was established in January 1994. It measures atmospheric, hydrologic, and </w:t>
      </w:r>
      <w:r w:rsidRPr="000359A5">
        <w:lastRenderedPageBreak/>
        <w:t xml:space="preserve">meteorological variables including temperature, humidity, solar radiation, wind speed and direction, and soil moisture to aid in operational weather forecasting and environmental research across the state </w:t>
      </w:r>
      <w:r w:rsidR="007C0886">
        <w:fldChar w:fldCharType="begin"/>
      </w:r>
      <w:r w:rsidR="007C0886">
        <w:instrText xml:space="preserve"> ADDIN ZOTERO_ITEM CSL_CITATION {"citationID":"RT2H1BIN","properties":{"formattedCitation":"(McPherson et al., 2007)","plainCitation":"(McPherson et al., 2007)","noteIndex":0},"citationItems":[{"id":20,"uris":["http://zotero.org/users/7782726/items/24NAA64A"],"uri":["http://zotero.org/users/7782726/items/24NAA64A"],"itemData":{"id":20,"type":"article-journal","abstract":"&lt;section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rsidR="007C0886">
        <w:fldChar w:fldCharType="separate"/>
      </w:r>
      <w:r w:rsidR="007C0886" w:rsidRPr="007C0886">
        <w:t>(McPherson et al., 2007)</w:t>
      </w:r>
      <w:r w:rsidR="007C0886">
        <w:fldChar w:fldCharType="end"/>
      </w:r>
      <w:r w:rsidRPr="000359A5">
        <w:t xml:space="preserve">. With at least one station in each of Oklahoma’s 77 counties, the Mesonet consists of 120 automated stations across the state. These measurements are packaged into observations every </w:t>
      </w:r>
      <w:r w:rsidR="00470C58">
        <w:t>five</w:t>
      </w:r>
      <w:r w:rsidRPr="000359A5">
        <w:t xml:space="preserve"> minutes, and then transmitted to the Oklahoma Climatological Survey (OCS) at the University of Oklahoma (OU), where the observed data are processed and verified for their quality, and then made public. Soil moisture data are collected every 30 min and recorded locally at each site including at the surface </w:t>
      </w:r>
      <w:r w:rsidR="009F79D0">
        <w:fldChar w:fldCharType="begin"/>
      </w:r>
      <w:r w:rsidR="009F79D0">
        <w:instrText xml:space="preserve"> ADDIN ZOTERO_ITEM CSL_CITATION {"citationID":"Sq2nM8X2","properties":{"formattedCitation":"(Illston et al., 2004)","plainCitation":"(Illston et al., 2004)","noteIndex":0},"citationItems":[{"id":170,"uris":["http://zotero.org/users/7782726/items/DZ6NK8V8"],"uri":["http://zotero.org/users/7782726/items/DZ6NK8V8"],"itemData":{"id":170,"type":"article-journal","container-title":"International Journal of Climatology: A Journal of the Royal Meteorological Society","issue":"15","note":"ISBN: 0899-8418\npublisher: Wiley Online Library","page":"1883-1896","title":"Seasonal to interannual variations of soil moisture measured in Oklahoma","volume":"24","author":[{"family":"Illston","given":"Bradley G."},{"family":"Basara","given":"Jeffrey B."},{"family":"Crawford","given":"Kenneth C."}],"issued":{"date-parts":[["2004"]]}}}],"schema":"https://github.com/citation-style-language/schema/raw/master/csl-citation.json"} </w:instrText>
      </w:r>
      <w:r w:rsidR="009F79D0">
        <w:fldChar w:fldCharType="separate"/>
      </w:r>
      <w:r w:rsidR="009F79D0" w:rsidRPr="009F79D0">
        <w:t>(Illston et al., 2004)</w:t>
      </w:r>
      <w:r w:rsidR="009F79D0">
        <w:fldChar w:fldCharType="end"/>
      </w:r>
      <w:r w:rsidRPr="000359A5">
        <w:t xml:space="preserve">. Since the TC analysis requires three spatially and temporally collocated measurement systems and SMAP measurements are intermittent (6:00 am and 6:00 pm), the Mesonet soil moisture measurements at local solar time 6 am and 6 pm from 04/01/2015 to 07/01/2019 were used in this study. A total of 115 Mesonet sites were selected according to the data availability during the study time (see Figure </w:t>
      </w:r>
      <w:r w:rsidR="00CD3B62">
        <w:t>3.</w:t>
      </w:r>
      <w:r w:rsidRPr="000359A5">
        <w:t xml:space="preserve">1). Since the data points are spread-out across the state, interpolation was conducted using ordinary Kriging, as previously suggested by </w:t>
      </w:r>
      <w:r w:rsidR="008E7DD7">
        <w:fldChar w:fldCharType="begin"/>
      </w:r>
      <w:r w:rsidR="008E7DD7">
        <w:instrText xml:space="preserve"> ADDIN ZOTERO_ITEM CSL_CITATION {"citationID":"ZY9Qo8rb","properties":{"formattedCitation":"(Lakhankar et al., 2010)","plainCitation":"(Lakhankar et al., 2010)","noteIndex":0},"citationItems":[{"id":171,"uris":["http://zotero.org/users/7782726/items/U5IPDYIM"],"uri":["http://zotero.org/users/7782726/items/U5IPDYIM"],"itemData":{"id":171,"type":"article-journal","container-title":"Sensors","issue":"1","note":"publisher: Molecular Diversity Preservation International","page":"913-932","title":"Analysis of large scale spatial variability of soil moisture using a geostatistical method","volume":"10","author":[{"family":"Lakhankar","given":"Tarendra"},{"family":"Jones","given":"Andrew S."},{"family":"Combs","given":"Cynthia L."},{"family":"Sengupta","given":"Manajit"},{"family":"Vonder Haar","given":"Thomas H."},{"family":"Khanbilvardi","given":"Reza"}],"issued":{"date-parts":[["2010"]]}}}],"schema":"https://github.com/citation-style-language/schema/raw/master/csl-citation.json"} </w:instrText>
      </w:r>
      <w:r w:rsidR="008E7DD7">
        <w:fldChar w:fldCharType="separate"/>
      </w:r>
      <w:r w:rsidR="008E7DD7" w:rsidRPr="008E7DD7">
        <w:t>(Lakhankar et al., 2010)</w:t>
      </w:r>
      <w:r w:rsidR="008E7DD7">
        <w:fldChar w:fldCharType="end"/>
      </w:r>
      <w:r w:rsidRPr="000359A5">
        <w:t xml:space="preserve"> and then re-gridded to 9 km.</w:t>
      </w:r>
    </w:p>
    <w:p w14:paraId="70476CBC" w14:textId="77777777" w:rsidR="00470C58" w:rsidRDefault="00470C58" w:rsidP="009375CF"/>
    <w:p w14:paraId="07623650" w14:textId="501C54F8" w:rsidR="000359A5" w:rsidRDefault="0044449B" w:rsidP="00185E04">
      <w:pPr>
        <w:pStyle w:val="3"/>
      </w:pPr>
      <w:bookmarkStart w:id="93" w:name="_Toc75939848"/>
      <w:r>
        <w:t xml:space="preserve">3.2.4 </w:t>
      </w:r>
      <w:r w:rsidRPr="0044449B">
        <w:t>Auxiliary Data</w:t>
      </w:r>
      <w:bookmarkEnd w:id="93"/>
    </w:p>
    <w:p w14:paraId="69F48622" w14:textId="068BD8B5" w:rsidR="0044449B" w:rsidRDefault="00CE43CE" w:rsidP="0044449B">
      <w:r w:rsidRPr="00CE43CE">
        <w:t xml:space="preserve">To better understand the performance of the three soil moisture products over different land cover types, the national land cover dataset (NLCD) 2016 product was used in this study. The NLCD provides nationwide data on continental U.S. land cover and land cover change at a 30 m resolution with a 16-class legend based on a modified Anderson Level II classification system. There are fifteen land cover types within Oklahoma as shown in Figure 1. Oklahoma is divided into nine climate divisions (Figure </w:t>
      </w:r>
      <w:r w:rsidR="00CD3B62">
        <w:t>3.</w:t>
      </w:r>
      <w:r w:rsidRPr="00CE43CE">
        <w:t xml:space="preserve">2). These nine divisions </w:t>
      </w:r>
      <w:r w:rsidR="00A73FA4">
        <w:t xml:space="preserve">are determined by </w:t>
      </w:r>
      <w:r w:rsidRPr="00CE43CE">
        <w:t>multiple factors</w:t>
      </w:r>
      <w:r w:rsidR="00A73FA4">
        <w:t xml:space="preserve">, </w:t>
      </w:r>
      <w:r w:rsidR="00A73FA4">
        <w:lastRenderedPageBreak/>
        <w:t>including</w:t>
      </w:r>
      <w:r w:rsidRPr="00CE43CE">
        <w:t xml:space="preserve"> climatic conditions, county lines, crop districts, and drainage basins rather than strict climatic homogeneity </w:t>
      </w:r>
      <w:r w:rsidR="00FB048A">
        <w:fldChar w:fldCharType="begin"/>
      </w:r>
      <w:r w:rsidR="00FB048A">
        <w:instrText xml:space="preserve"> ADDIN ZOTERO_ITEM CSL_CITATION {"citationID":"yFrFJ1LT","properties":{"formattedCitation":"(Guttman &amp; Quayle, 1996; Illston et al., 2004)","plainCitation":"(Guttman &amp; Quayle, 1996; Illston et al., 2004)","noteIndex":0},"citationItems":[{"id":43,"uris":["http://zotero.org/users/7782726/items/BUTEJPLW"],"uri":["http://zotero.org/users/7782726/items/BUTEJPLW"],"itemData":{"id":43,"type":"article-journal","abstract":"&lt;section class=\"abstract\"&gt;&lt;p&gt;The history of climatic divisions in the contiguous United States has been pieced together from fragmentary documentation. Each of the 48 contiguous states has been subdivided into climatic divisions. Divisional boundaries are now standardized, and a set of climatic variables for time-invariant divisional boundaries has been compiled for the period of record beginning in 1895. This paper documents the origins of climatic divisions, the computational methodology of an area-invariant divisional dataset maintained by the National Climatic Data Center, and the strengths and weaknesses of divisional data.&lt;/p&gt;&lt;/section&gt;","container-title":"Bulletin of the American Meteorological Society","DOI":"10.1175/1520-0477(1996)077&lt;0293:AHPOUC&gt;2.0.CO;2","ISSN":"0003-0007, 1520-0477","issue":"2","language":"en","note":"publisher: American Meteorological Society\nsection: Bulletin of the American Meteorological Society","page":"293-304","source":"journals.ametsoc.org","title":"A Historical Perspective of U.S. Climate Divisions","volume":"77","author":[{"family":"Guttman","given":"Nathaniel B."},{"family":"Quayle","given":"Robert G."}],"issued":{"date-parts":[["1996",2,1]]}}},{"id":170,"uris":["http://zotero.org/users/7782726/items/DZ6NK8V8"],"uri":["http://zotero.org/users/7782726/items/DZ6NK8V8"],"itemData":{"id":170,"type":"article-journal","container-title":"International Journal of Climatology: A Journal of the Royal Meteorological Society","issue":"15","note":"ISBN: 0899-8418\npublisher: Wiley Online Library","page":"1883-1896","title":"Seasonal to interannual variations of soil moisture measured in Oklahoma","volume":"24","author":[{"family":"Illston","given":"Bradley G."},{"family":"Basara","given":"Jeffrey B."},{"family":"Crawford","given":"Kenneth C."}],"issued":{"date-parts":[["2004"]]}}}],"schema":"https://github.com/citation-style-language/schema/raw/master/csl-citation.json"} </w:instrText>
      </w:r>
      <w:r w:rsidR="00FB048A">
        <w:fldChar w:fldCharType="separate"/>
      </w:r>
      <w:r w:rsidR="00FB048A" w:rsidRPr="00FB048A">
        <w:t>(Guttman &amp; Quayle, 1996; Illston et al., 2004)</w:t>
      </w:r>
      <w:r w:rsidR="00FB048A">
        <w:fldChar w:fldCharType="end"/>
      </w:r>
      <w:r w:rsidRPr="00CE43CE">
        <w:t>. Therefore, analyzing the performance of three soil moisture products in the nine climate divisions provides a unique opportunity to understand better how land cover impacts soil moisture.</w:t>
      </w:r>
    </w:p>
    <w:p w14:paraId="16D2746C" w14:textId="77777777" w:rsidR="00B463FB" w:rsidRDefault="003570AF" w:rsidP="0002578F">
      <w:pPr>
        <w:keepNext/>
        <w:ind w:left="-432"/>
        <w:jc w:val="center"/>
      </w:pPr>
      <w:r>
        <w:rPr>
          <w:noProof/>
        </w:rPr>
        <w:drawing>
          <wp:inline distT="0" distB="0" distL="0" distR="0" wp14:anchorId="11FA2446" wp14:editId="600F3ECC">
            <wp:extent cx="5943600" cy="4205605"/>
            <wp:effectExtent l="0" t="0" r="0" b="4445"/>
            <wp:docPr id="10" name="图片 10" descr="图表&#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pic:nvPicPr>
                  <pic:blipFill>
                    <a:blip r:embed="rId61">
                      <a:extLst>
                        <a:ext uri="{28A0092B-C50C-407E-A947-70E740481C1C}">
                          <a14:useLocalDpi xmlns:a14="http://schemas.microsoft.com/office/drawing/2010/main" val="0"/>
                        </a:ext>
                      </a:extLst>
                    </a:blip>
                    <a:stretch>
                      <a:fillRect/>
                    </a:stretch>
                  </pic:blipFill>
                  <pic:spPr>
                    <a:xfrm>
                      <a:off x="0" y="0"/>
                      <a:ext cx="5943600" cy="4205605"/>
                    </a:xfrm>
                    <a:prstGeom prst="rect">
                      <a:avLst/>
                    </a:prstGeom>
                  </pic:spPr>
                </pic:pic>
              </a:graphicData>
            </a:graphic>
          </wp:inline>
        </w:drawing>
      </w:r>
    </w:p>
    <w:p w14:paraId="4FE85927" w14:textId="7C0FE76A" w:rsidR="005E347A" w:rsidRDefault="00B463FB" w:rsidP="00B463FB">
      <w:pPr>
        <w:pStyle w:val="a3"/>
        <w:ind w:firstLine="0"/>
        <w:rPr>
          <w:b w:val="0"/>
          <w:bCs w:val="0"/>
        </w:rPr>
      </w:pPr>
      <w:bookmarkStart w:id="94" w:name="_Toc75360567"/>
      <w:bookmarkStart w:id="95" w:name="_Toc75361835"/>
      <w:bookmarkStart w:id="96" w:name="_Toc75361890"/>
      <w:r>
        <w:t xml:space="preserve">Figure </w:t>
      </w:r>
      <w:r w:rsidR="00285DCF">
        <w:t>3</w:t>
      </w:r>
      <w:r w:rsidR="00764D25">
        <w:t>.</w:t>
      </w:r>
      <w:r>
        <w:fldChar w:fldCharType="begin"/>
      </w:r>
      <w:r>
        <w:instrText>SEQ Figure \* ARABIC \s 1</w:instrText>
      </w:r>
      <w:r>
        <w:fldChar w:fldCharType="separate"/>
      </w:r>
      <w:r w:rsidR="00492676">
        <w:rPr>
          <w:noProof/>
        </w:rPr>
        <w:t>1</w:t>
      </w:r>
      <w:r>
        <w:fldChar w:fldCharType="end"/>
      </w:r>
      <w:r>
        <w:t xml:space="preserve">. </w:t>
      </w:r>
      <w:r w:rsidR="004E38C1" w:rsidRPr="00574E22">
        <w:rPr>
          <w:b w:val="0"/>
          <w:bCs w:val="0"/>
        </w:rPr>
        <w:t>The distribution of in situ soil moisture stations from the Oklahoma Mesonet on a National Land Cover Dataset (NLCD) land cover type (for year 2016) map.</w:t>
      </w:r>
      <w:bookmarkEnd w:id="94"/>
      <w:bookmarkEnd w:id="95"/>
      <w:bookmarkEnd w:id="96"/>
    </w:p>
    <w:p w14:paraId="3C1FE05B" w14:textId="2DEEC4EC" w:rsidR="00A929E3" w:rsidRDefault="00A929E3" w:rsidP="00A929E3"/>
    <w:p w14:paraId="3C055E9D" w14:textId="77777777" w:rsidR="00A929E3" w:rsidRPr="00A929E3" w:rsidRDefault="00A929E3" w:rsidP="00A929E3"/>
    <w:p w14:paraId="794E9097" w14:textId="77777777" w:rsidR="00D50E33" w:rsidRDefault="00D50E33" w:rsidP="005D2DB8">
      <w:pPr>
        <w:pStyle w:val="aff0"/>
        <w:keepNext/>
        <w:ind w:left="-432"/>
        <w:jc w:val="center"/>
      </w:pPr>
      <w:r>
        <w:rPr>
          <w:noProof/>
        </w:rPr>
        <w:lastRenderedPageBreak/>
        <w:drawing>
          <wp:inline distT="0" distB="0" distL="0" distR="0" wp14:anchorId="2D252C9D" wp14:editId="2BC5C258">
            <wp:extent cx="5943600" cy="4205605"/>
            <wp:effectExtent l="0" t="0" r="0" b="4445"/>
            <wp:docPr id="11" name="图片 11"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pic:nvPicPr>
                  <pic:blipFill>
                    <a:blip r:embed="rId62">
                      <a:extLst>
                        <a:ext uri="{28A0092B-C50C-407E-A947-70E740481C1C}">
                          <a14:useLocalDpi xmlns:a14="http://schemas.microsoft.com/office/drawing/2010/main" val="0"/>
                        </a:ext>
                      </a:extLst>
                    </a:blip>
                    <a:stretch>
                      <a:fillRect/>
                    </a:stretch>
                  </pic:blipFill>
                  <pic:spPr>
                    <a:xfrm>
                      <a:off x="0" y="0"/>
                      <a:ext cx="5943600" cy="4205605"/>
                    </a:xfrm>
                    <a:prstGeom prst="rect">
                      <a:avLst/>
                    </a:prstGeom>
                  </pic:spPr>
                </pic:pic>
              </a:graphicData>
            </a:graphic>
          </wp:inline>
        </w:drawing>
      </w:r>
    </w:p>
    <w:p w14:paraId="715DA75A" w14:textId="43E34CFA" w:rsidR="0084593B" w:rsidRDefault="00D50E33" w:rsidP="00D50E33">
      <w:pPr>
        <w:pStyle w:val="a3"/>
        <w:ind w:firstLine="0"/>
        <w:rPr>
          <w:b w:val="0"/>
          <w:bCs w:val="0"/>
        </w:rPr>
      </w:pPr>
      <w:bookmarkStart w:id="97" w:name="_Toc75360568"/>
      <w:bookmarkStart w:id="98" w:name="_Toc75361836"/>
      <w:bookmarkStart w:id="99" w:name="_Toc75361891"/>
      <w:r>
        <w:t xml:space="preserve">Figure </w:t>
      </w:r>
      <w:r w:rsidR="004C49C6">
        <w:t>3</w:t>
      </w:r>
      <w:r w:rsidR="00764D25">
        <w:t>.</w:t>
      </w:r>
      <w:r>
        <w:fldChar w:fldCharType="begin"/>
      </w:r>
      <w:r>
        <w:instrText>SEQ Figure \* ARABIC \s 1</w:instrText>
      </w:r>
      <w:r>
        <w:fldChar w:fldCharType="separate"/>
      </w:r>
      <w:r w:rsidR="00492676">
        <w:rPr>
          <w:noProof/>
        </w:rPr>
        <w:t>2</w:t>
      </w:r>
      <w:r>
        <w:fldChar w:fldCharType="end"/>
      </w:r>
      <w:r>
        <w:t xml:space="preserve">. </w:t>
      </w:r>
      <w:r w:rsidRPr="00D50E33">
        <w:rPr>
          <w:b w:val="0"/>
          <w:bCs w:val="0"/>
        </w:rPr>
        <w:t>Oklahoma climate divisions with their major land cover types based on the 2016 NLCD map.</w:t>
      </w:r>
      <w:bookmarkEnd w:id="97"/>
      <w:bookmarkEnd w:id="98"/>
      <w:bookmarkEnd w:id="99"/>
    </w:p>
    <w:p w14:paraId="34C806C9" w14:textId="55C4B02E" w:rsidR="003C3711" w:rsidRDefault="003C3711" w:rsidP="00BE0F83">
      <w:pPr>
        <w:jc w:val="center"/>
      </w:pPr>
    </w:p>
    <w:p w14:paraId="75A7B5F7" w14:textId="2389273C" w:rsidR="00BE0F83" w:rsidRDefault="00CE5A2D" w:rsidP="00CE5A2D">
      <w:pPr>
        <w:pStyle w:val="2"/>
      </w:pPr>
      <w:bookmarkStart w:id="100" w:name="_Toc75939849"/>
      <w:r>
        <w:t xml:space="preserve">3.3 </w:t>
      </w:r>
      <w:r w:rsidRPr="00CE5A2D">
        <w:t>Data Processing and the Triple Collocation Method</w:t>
      </w:r>
      <w:bookmarkEnd w:id="100"/>
    </w:p>
    <w:p w14:paraId="5FB2F200" w14:textId="6C5B0F00" w:rsidR="00CE5A2D" w:rsidRDefault="008F73DB" w:rsidP="008F73DB">
      <w:pPr>
        <w:pStyle w:val="3"/>
      </w:pPr>
      <w:bookmarkStart w:id="101" w:name="_Toc75939850"/>
      <w:r>
        <w:t xml:space="preserve">3.3.1 </w:t>
      </w:r>
      <w:r w:rsidRPr="008F73DB">
        <w:t>Data processing</w:t>
      </w:r>
      <w:bookmarkEnd w:id="101"/>
    </w:p>
    <w:p w14:paraId="1BB8DA74" w14:textId="0892A83A" w:rsidR="008F73DB" w:rsidRPr="008F73DB" w:rsidRDefault="74CFCC90" w:rsidP="008F73DB">
      <w:r>
        <w:t xml:space="preserve">Table </w:t>
      </w:r>
      <w:r w:rsidR="00CD3B62">
        <w:t>3.</w:t>
      </w:r>
      <w:r>
        <w:t xml:space="preserve">1 presents metadata of the product triplet including version, data spans, spatio-temporal resolutions and soil depth. Since the TC analysis requires three spatially and temporally collocated measurement systems, the grid of SMAP (EASE_v2) was defined as the reference for the three products. Therefore, Noah data were resampled to this grid using the area-weighted average method while Oklahoma Mesonet soil moisture measurements were matched to the EASE_v2 grid using ordinary kriging </w:t>
      </w:r>
      <w:r w:rsidR="008F73DB">
        <w:fldChar w:fldCharType="begin"/>
      </w:r>
      <w:r w:rsidR="008F73DB">
        <w:instrText xml:space="preserve"> ADDIN ZOTERO_ITEM CSL_CITATION {"citationID":"45urc5Du","properties":{"formattedCitation":"(Lakhankar et al., 2010)","plainCitation":"(Lakhankar et al., 2010)","noteIndex":0},"citationItems":[{"id":171,"uris":["http://zotero.org/users/7782726/items/U5IPDYIM"],"uri":["http://zotero.org/users/7782726/items/U5IPDYIM"],"itemData":{"id":171,"type":"article-journal","container-title":"Sensors","issue":"1","note":"publisher: Molecular Diversity Preservation International","page":"913-932","title":"Analysis of large scale spatial variability of soil moisture using a geostatistical method","volume":"10","author":[{"family":"Lakhankar","given":"Tarendra"},{"family":"Jones","given":"Andrew S."},{"family":"Combs","given":"Cynthia L."},{"family":"Sengupta","given":"Manajit"},{"family":"Vonder Haar","given":"Thomas H."},{"family":"Khanbilvardi","given":"Reza"}],"issued":{"date-parts":[["2010"]]}}}],"schema":"https://github.com/citation-style-language/schema/raw/master/csl-citation.json"} </w:instrText>
      </w:r>
      <w:r w:rsidR="008F73DB">
        <w:fldChar w:fldCharType="separate"/>
      </w:r>
      <w:r>
        <w:t>(Lakhankar et al., 2010)</w:t>
      </w:r>
      <w:r w:rsidR="008F73DB">
        <w:fldChar w:fldCharType="end"/>
      </w:r>
      <w:r>
        <w:t xml:space="preserve">. Figure </w:t>
      </w:r>
      <w:r w:rsidR="00CD3B62">
        <w:t>3.</w:t>
      </w:r>
      <w:r>
        <w:t xml:space="preserve">3 shows the temporal coverage of three soil moisture products during the study period (April 2015 through July 2019). </w:t>
      </w:r>
      <w:r>
        <w:lastRenderedPageBreak/>
        <w:t xml:space="preserve">Mesonet and Noah provide continuous data but SMAP measurements are intermittent because the same swath from each orbit of SMAP is only repeated every eight days. The three collocated soil moisture products (SMAP, Mesonet, and Noah) are evaluated at daily and seasonal timescales using the TC method over different land cover types across Oklahoma. For the comparison, two time stamps are selected, one diurnal (6 AM LST) and one nocturnal (6 PM LST) according to the availability of SMAP. Table </w:t>
      </w:r>
      <w:r w:rsidR="00CD3B62">
        <w:t>3.</w:t>
      </w:r>
      <w:r>
        <w:t xml:space="preserve">2 shows the number of collocated samples for each grid point at daily and seasonal time scales. All sample sizes are larger than the suggested TC sample size (100) by Scipal et al. </w:t>
      </w:r>
      <w:r w:rsidR="008F73DB">
        <w:fldChar w:fldCharType="begin"/>
      </w:r>
      <w:r w:rsidR="008F73DB">
        <w:instrText xml:space="preserve"> ADDIN ZOTERO_ITEM CSL_CITATION {"citationID":"U5T7omK8","properties":{"formattedCitation":"(Scipal et al., 2008)","plainCitation":"(Scipal et al., 2008)","dontUpdate":true,"noteIndex":0},"citationItems":[{"id":125,"uris":["http://zotero.org/users/7782726/items/B8PZIS4H"],"uri":["http://zotero.org/users/7782726/items/B8PZIS4H"],"itemData":{"id":125,"type":"article-journal","abstract":"In the last few years, research made significant progress towards operational soil moisture remote sensing which lead to the availability of several global data sets. For an optimal use of these data, an accurate estimation of the error structure is an important condition. To solve for the validation problem we introduce the triple collocation error estimation technique. The triple collocation technique is a powerful tool to estimate the root mean square error while simultaneously solving for systematic differences in the climatologies of a set of three independent data sources. We evaluate the method by applying it to a passive microwave (TRMM radiometer) derived, an active microwave (ERS-2 scatterometer) derived and a modeled (ERA-Interim reanalysis) soil moisture data sets. The results suggest that the method provides realistic error estimates.","container-title":"Geophysical Research Letters","DOI":"https://doi.org/10.1029/2008GL035599","ISSN":"1944-8007","issue":"24","language":"en","note":"_eprint: https://agupubs.onlinelibrary.wiley.com/doi/pdf/10.1029/2008GL035599","source":"Wiley Online Library","title":"A possible solution for the problem of estimating the error structure of global soil moisture data sets","URL":"https://agupubs.onlinelibrary.wiley.com/doi/abs/10.1029/2008GL035599","volume":"35","author":[{"family":"Scipal","given":"K."},{"family":"Holmes","given":"T."},{"family":"Jeu","given":"R.","dropping-particle":"de"},{"family":"Naeimi","given":"V."},{"family":"Wagner","given":"W."}],"accessed":{"date-parts":[["2021",5,27]]},"issued":{"date-parts":[["2008"]]}}}],"schema":"https://github.com/citation-style-language/schema/raw/master/csl-citation.json"} </w:instrText>
      </w:r>
      <w:r w:rsidR="008F73DB">
        <w:fldChar w:fldCharType="separate"/>
      </w:r>
      <w:r>
        <w:t>(2008)</w:t>
      </w:r>
      <w:r w:rsidR="008F73DB">
        <w:fldChar w:fldCharType="end"/>
      </w:r>
      <w:r>
        <w:t>.</w:t>
      </w:r>
    </w:p>
    <w:p w14:paraId="67811C00" w14:textId="309E953C" w:rsidR="00A814A0" w:rsidRPr="00710EFA" w:rsidRDefault="00A814A0" w:rsidP="00710EFA">
      <w:pPr>
        <w:pStyle w:val="a3"/>
        <w:keepNext/>
        <w:ind w:firstLine="0"/>
        <w:rPr>
          <w:b w:val="0"/>
          <w:bCs w:val="0"/>
        </w:rPr>
      </w:pPr>
      <w:bookmarkStart w:id="102" w:name="_Toc75361143"/>
      <w:r>
        <w:t xml:space="preserve">Table </w:t>
      </w:r>
      <w:r w:rsidR="004C49C6">
        <w:t>3</w:t>
      </w:r>
      <w:r w:rsidR="00685F41">
        <w:t>.</w:t>
      </w:r>
      <w:r>
        <w:fldChar w:fldCharType="begin"/>
      </w:r>
      <w:r>
        <w:instrText>SEQ Table \* ARABIC \s 1</w:instrText>
      </w:r>
      <w:r>
        <w:fldChar w:fldCharType="separate"/>
      </w:r>
      <w:r w:rsidR="00492676">
        <w:rPr>
          <w:noProof/>
        </w:rPr>
        <w:t>1</w:t>
      </w:r>
      <w:r>
        <w:fldChar w:fldCharType="end"/>
      </w:r>
      <w:r>
        <w:t xml:space="preserve">. </w:t>
      </w:r>
      <w:r w:rsidR="00710EFA" w:rsidRPr="00710EFA">
        <w:rPr>
          <w:b w:val="0"/>
          <w:bCs w:val="0"/>
        </w:rPr>
        <w:t>Summary of satellite (SMAP L3_SM_P_E herein called SMAP), model (NLDAS_NOAH0125_H), and in situ (Oklahoma Mesonet) soil moisture products used in this study.</w:t>
      </w:r>
      <w:bookmarkEnd w:id="102"/>
    </w:p>
    <w:tbl>
      <w:tblPr>
        <w:tblW w:w="0" w:type="auto"/>
        <w:jc w:val="center"/>
        <w:tblLook w:val="04A0" w:firstRow="1" w:lastRow="0" w:firstColumn="1" w:lastColumn="0" w:noHBand="0" w:noVBand="1"/>
      </w:tblPr>
      <w:tblGrid>
        <w:gridCol w:w="1384"/>
        <w:gridCol w:w="1750"/>
        <w:gridCol w:w="1701"/>
        <w:gridCol w:w="1657"/>
        <w:gridCol w:w="1275"/>
        <w:gridCol w:w="1224"/>
      </w:tblGrid>
      <w:tr w:rsidR="00D36AB0" w:rsidRPr="000613A9" w14:paraId="550DD300" w14:textId="77777777" w:rsidTr="007C79C3">
        <w:trPr>
          <w:jc w:val="center"/>
        </w:trPr>
        <w:tc>
          <w:tcPr>
            <w:tcW w:w="1227" w:type="dxa"/>
            <w:tcBorders>
              <w:top w:val="single" w:sz="4" w:space="0" w:color="auto"/>
              <w:bottom w:val="single" w:sz="4" w:space="0" w:color="auto"/>
            </w:tcBorders>
            <w:shd w:val="clear" w:color="auto" w:fill="auto"/>
          </w:tcPr>
          <w:p w14:paraId="05039964" w14:textId="77777777" w:rsidR="00D36AB0" w:rsidRPr="00D94BE1" w:rsidRDefault="00D36AB0" w:rsidP="00BA4492">
            <w:pPr>
              <w:pStyle w:val="MDPI31text"/>
              <w:jc w:val="left"/>
              <w:rPr>
                <w:b/>
                <w:bCs/>
                <w:spacing w:val="-2"/>
              </w:rPr>
            </w:pPr>
            <w:r w:rsidRPr="00D94BE1">
              <w:rPr>
                <w:b/>
                <w:bCs/>
                <w:spacing w:val="-2"/>
              </w:rPr>
              <w:t>Data</w:t>
            </w:r>
          </w:p>
        </w:tc>
        <w:tc>
          <w:tcPr>
            <w:tcW w:w="1750" w:type="dxa"/>
            <w:tcBorders>
              <w:top w:val="single" w:sz="4" w:space="0" w:color="auto"/>
              <w:bottom w:val="single" w:sz="4" w:space="0" w:color="auto"/>
            </w:tcBorders>
            <w:shd w:val="clear" w:color="auto" w:fill="auto"/>
          </w:tcPr>
          <w:p w14:paraId="76203A29" w14:textId="77777777" w:rsidR="00D36AB0" w:rsidRPr="00D94BE1" w:rsidRDefault="00D36AB0" w:rsidP="00BA4492">
            <w:pPr>
              <w:pStyle w:val="MDPI31text"/>
              <w:jc w:val="left"/>
              <w:rPr>
                <w:b/>
                <w:bCs/>
                <w:spacing w:val="-2"/>
              </w:rPr>
            </w:pPr>
            <w:r w:rsidRPr="00D94BE1">
              <w:rPr>
                <w:b/>
                <w:bCs/>
                <w:spacing w:val="-2"/>
              </w:rPr>
              <w:t>Version</w:t>
            </w:r>
          </w:p>
        </w:tc>
        <w:tc>
          <w:tcPr>
            <w:tcW w:w="1701" w:type="dxa"/>
            <w:tcBorders>
              <w:top w:val="single" w:sz="4" w:space="0" w:color="auto"/>
              <w:bottom w:val="single" w:sz="4" w:space="0" w:color="auto"/>
            </w:tcBorders>
            <w:shd w:val="clear" w:color="auto" w:fill="auto"/>
          </w:tcPr>
          <w:p w14:paraId="4D6436DF" w14:textId="77777777" w:rsidR="00D36AB0" w:rsidRPr="00D94BE1" w:rsidRDefault="00D36AB0" w:rsidP="00BA4492">
            <w:pPr>
              <w:pStyle w:val="MDPI31text"/>
              <w:ind w:firstLine="0"/>
              <w:jc w:val="left"/>
              <w:rPr>
                <w:b/>
                <w:bCs/>
                <w:spacing w:val="-2"/>
              </w:rPr>
            </w:pPr>
            <w:r>
              <w:rPr>
                <w:b/>
                <w:bCs/>
                <w:spacing w:val="-2"/>
              </w:rPr>
              <w:t xml:space="preserve">Data </w:t>
            </w:r>
            <w:r w:rsidRPr="00D94BE1">
              <w:rPr>
                <w:b/>
                <w:bCs/>
                <w:spacing w:val="-2"/>
              </w:rPr>
              <w:t>Period</w:t>
            </w:r>
          </w:p>
        </w:tc>
        <w:tc>
          <w:tcPr>
            <w:tcW w:w="1657" w:type="dxa"/>
            <w:tcBorders>
              <w:top w:val="single" w:sz="4" w:space="0" w:color="auto"/>
              <w:bottom w:val="single" w:sz="4" w:space="0" w:color="auto"/>
            </w:tcBorders>
            <w:shd w:val="clear" w:color="auto" w:fill="auto"/>
          </w:tcPr>
          <w:p w14:paraId="1899EC25" w14:textId="77777777" w:rsidR="00D36AB0" w:rsidRPr="00D94BE1" w:rsidRDefault="00D36AB0" w:rsidP="00BA4492">
            <w:pPr>
              <w:pStyle w:val="MDPI31text"/>
              <w:ind w:firstLine="0"/>
              <w:jc w:val="center"/>
              <w:rPr>
                <w:b/>
                <w:bCs/>
                <w:spacing w:val="-2"/>
              </w:rPr>
            </w:pPr>
            <w:r w:rsidRPr="00D94BE1">
              <w:rPr>
                <w:b/>
                <w:bCs/>
                <w:spacing w:val="-2"/>
              </w:rPr>
              <w:t>Temporal Resolution</w:t>
            </w:r>
          </w:p>
        </w:tc>
        <w:tc>
          <w:tcPr>
            <w:tcW w:w="1275" w:type="dxa"/>
            <w:tcBorders>
              <w:top w:val="single" w:sz="4" w:space="0" w:color="auto"/>
              <w:bottom w:val="single" w:sz="4" w:space="0" w:color="auto"/>
            </w:tcBorders>
            <w:shd w:val="clear" w:color="auto" w:fill="auto"/>
          </w:tcPr>
          <w:p w14:paraId="640506D4" w14:textId="77777777" w:rsidR="00D36AB0" w:rsidRPr="00D94BE1" w:rsidRDefault="00D36AB0" w:rsidP="00BA4492">
            <w:pPr>
              <w:pStyle w:val="MDPI31text"/>
              <w:ind w:firstLine="0"/>
              <w:jc w:val="center"/>
              <w:rPr>
                <w:b/>
                <w:bCs/>
                <w:spacing w:val="-2"/>
              </w:rPr>
            </w:pPr>
            <w:r w:rsidRPr="00D94BE1">
              <w:rPr>
                <w:b/>
                <w:bCs/>
                <w:spacing w:val="-2"/>
              </w:rPr>
              <w:t>Spatial Resolution</w:t>
            </w:r>
          </w:p>
        </w:tc>
        <w:tc>
          <w:tcPr>
            <w:tcW w:w="1224" w:type="dxa"/>
            <w:tcBorders>
              <w:top w:val="single" w:sz="4" w:space="0" w:color="auto"/>
              <w:bottom w:val="single" w:sz="4" w:space="0" w:color="auto"/>
            </w:tcBorders>
            <w:shd w:val="clear" w:color="auto" w:fill="auto"/>
          </w:tcPr>
          <w:p w14:paraId="2FE3E67B" w14:textId="77777777" w:rsidR="00D36AB0" w:rsidRPr="00D94BE1" w:rsidRDefault="00D36AB0" w:rsidP="00BA4492">
            <w:pPr>
              <w:pStyle w:val="MDPI31text"/>
              <w:jc w:val="left"/>
              <w:rPr>
                <w:b/>
                <w:bCs/>
                <w:spacing w:val="-2"/>
              </w:rPr>
            </w:pPr>
            <w:r w:rsidRPr="00D94BE1">
              <w:rPr>
                <w:b/>
                <w:bCs/>
                <w:spacing w:val="-2"/>
              </w:rPr>
              <w:t>Depth</w:t>
            </w:r>
          </w:p>
        </w:tc>
      </w:tr>
      <w:tr w:rsidR="00D36AB0" w:rsidRPr="000613A9" w14:paraId="0A656104" w14:textId="77777777" w:rsidTr="007C79C3">
        <w:trPr>
          <w:jc w:val="center"/>
        </w:trPr>
        <w:tc>
          <w:tcPr>
            <w:tcW w:w="1227" w:type="dxa"/>
            <w:tcBorders>
              <w:top w:val="single" w:sz="4" w:space="0" w:color="auto"/>
            </w:tcBorders>
            <w:shd w:val="clear" w:color="auto" w:fill="auto"/>
          </w:tcPr>
          <w:p w14:paraId="0E648A6F" w14:textId="77777777" w:rsidR="00D36AB0" w:rsidRPr="000613A9" w:rsidRDefault="00D36AB0" w:rsidP="00BA4492">
            <w:pPr>
              <w:pStyle w:val="MDPI31text"/>
              <w:jc w:val="center"/>
              <w:rPr>
                <w:spacing w:val="-2"/>
              </w:rPr>
            </w:pPr>
            <w:r w:rsidRPr="000613A9">
              <w:rPr>
                <w:spacing w:val="-2"/>
              </w:rPr>
              <w:t>SMAP</w:t>
            </w:r>
          </w:p>
        </w:tc>
        <w:tc>
          <w:tcPr>
            <w:tcW w:w="1750" w:type="dxa"/>
            <w:tcBorders>
              <w:top w:val="single" w:sz="4" w:space="0" w:color="auto"/>
            </w:tcBorders>
            <w:shd w:val="clear" w:color="auto" w:fill="auto"/>
          </w:tcPr>
          <w:p w14:paraId="421F7939" w14:textId="77777777" w:rsidR="00D36AB0" w:rsidRPr="000613A9" w:rsidRDefault="00D36AB0" w:rsidP="00BA4492">
            <w:pPr>
              <w:pStyle w:val="MDPI31text"/>
              <w:jc w:val="center"/>
              <w:rPr>
                <w:spacing w:val="-2"/>
              </w:rPr>
            </w:pPr>
            <w:r w:rsidRPr="000613A9">
              <w:rPr>
                <w:spacing w:val="-2"/>
              </w:rPr>
              <w:t>L3_SM_P_E</w:t>
            </w:r>
          </w:p>
        </w:tc>
        <w:tc>
          <w:tcPr>
            <w:tcW w:w="1701" w:type="dxa"/>
            <w:tcBorders>
              <w:top w:val="single" w:sz="4" w:space="0" w:color="auto"/>
            </w:tcBorders>
            <w:shd w:val="clear" w:color="auto" w:fill="auto"/>
          </w:tcPr>
          <w:p w14:paraId="4C7A62B0" w14:textId="77777777" w:rsidR="00D36AB0" w:rsidRPr="000613A9" w:rsidRDefault="00D36AB0" w:rsidP="00BA4492">
            <w:pPr>
              <w:pStyle w:val="MDPI31text"/>
              <w:ind w:firstLine="0"/>
              <w:jc w:val="center"/>
              <w:rPr>
                <w:spacing w:val="-2"/>
              </w:rPr>
            </w:pPr>
            <w:r w:rsidRPr="000613A9">
              <w:rPr>
                <w:spacing w:val="-2"/>
              </w:rPr>
              <w:t>2015 – present</w:t>
            </w:r>
          </w:p>
        </w:tc>
        <w:tc>
          <w:tcPr>
            <w:tcW w:w="1657" w:type="dxa"/>
            <w:tcBorders>
              <w:top w:val="single" w:sz="4" w:space="0" w:color="auto"/>
            </w:tcBorders>
            <w:shd w:val="clear" w:color="auto" w:fill="auto"/>
          </w:tcPr>
          <w:p w14:paraId="0E28D1C2" w14:textId="77777777" w:rsidR="00D36AB0" w:rsidRPr="000613A9" w:rsidRDefault="00D36AB0" w:rsidP="00BA4492">
            <w:pPr>
              <w:pStyle w:val="MDPI31text"/>
              <w:jc w:val="center"/>
              <w:rPr>
                <w:spacing w:val="-2"/>
              </w:rPr>
            </w:pPr>
            <w:r w:rsidRPr="000613A9">
              <w:rPr>
                <w:spacing w:val="-2"/>
              </w:rPr>
              <w:t>daily</w:t>
            </w:r>
          </w:p>
        </w:tc>
        <w:tc>
          <w:tcPr>
            <w:tcW w:w="1275" w:type="dxa"/>
            <w:tcBorders>
              <w:top w:val="single" w:sz="4" w:space="0" w:color="auto"/>
            </w:tcBorders>
            <w:shd w:val="clear" w:color="auto" w:fill="auto"/>
          </w:tcPr>
          <w:p w14:paraId="4F03AE75" w14:textId="77777777" w:rsidR="00D36AB0" w:rsidRPr="000613A9" w:rsidRDefault="00D36AB0" w:rsidP="00BA4492">
            <w:pPr>
              <w:pStyle w:val="MDPI31text"/>
              <w:jc w:val="center"/>
              <w:rPr>
                <w:spacing w:val="-2"/>
              </w:rPr>
            </w:pPr>
            <w:r w:rsidRPr="000613A9">
              <w:rPr>
                <w:spacing w:val="-2"/>
              </w:rPr>
              <w:t>9 km</w:t>
            </w:r>
          </w:p>
        </w:tc>
        <w:tc>
          <w:tcPr>
            <w:tcW w:w="1224" w:type="dxa"/>
            <w:tcBorders>
              <w:top w:val="single" w:sz="4" w:space="0" w:color="auto"/>
            </w:tcBorders>
            <w:shd w:val="clear" w:color="auto" w:fill="auto"/>
          </w:tcPr>
          <w:p w14:paraId="5B489412" w14:textId="77777777" w:rsidR="00D36AB0" w:rsidRPr="000613A9" w:rsidRDefault="00D36AB0" w:rsidP="00BA4492">
            <w:pPr>
              <w:pStyle w:val="MDPI31text"/>
              <w:jc w:val="right"/>
              <w:rPr>
                <w:spacing w:val="-2"/>
              </w:rPr>
            </w:pPr>
            <w:r w:rsidRPr="000613A9">
              <w:rPr>
                <w:spacing w:val="-2"/>
              </w:rPr>
              <w:t>0-5 cm</w:t>
            </w:r>
          </w:p>
        </w:tc>
      </w:tr>
      <w:tr w:rsidR="00D36AB0" w:rsidRPr="000613A9" w14:paraId="4FC96088" w14:textId="77777777" w:rsidTr="007C79C3">
        <w:trPr>
          <w:jc w:val="center"/>
        </w:trPr>
        <w:tc>
          <w:tcPr>
            <w:tcW w:w="1227" w:type="dxa"/>
            <w:shd w:val="clear" w:color="auto" w:fill="auto"/>
          </w:tcPr>
          <w:p w14:paraId="6E478E33" w14:textId="77777777" w:rsidR="00D36AB0" w:rsidRPr="000613A9" w:rsidRDefault="00D36AB0" w:rsidP="00BA4492">
            <w:pPr>
              <w:pStyle w:val="MDPI31text"/>
              <w:jc w:val="center"/>
              <w:rPr>
                <w:spacing w:val="-2"/>
              </w:rPr>
            </w:pPr>
            <w:r w:rsidRPr="000613A9">
              <w:rPr>
                <w:spacing w:val="-2"/>
              </w:rPr>
              <w:t>N</w:t>
            </w:r>
            <w:r>
              <w:rPr>
                <w:spacing w:val="-2"/>
              </w:rPr>
              <w:t>oah</w:t>
            </w:r>
          </w:p>
        </w:tc>
        <w:tc>
          <w:tcPr>
            <w:tcW w:w="1750" w:type="dxa"/>
            <w:shd w:val="clear" w:color="auto" w:fill="auto"/>
          </w:tcPr>
          <w:p w14:paraId="4A2719C3" w14:textId="77777777" w:rsidR="00D36AB0" w:rsidRPr="000613A9" w:rsidRDefault="00D36AB0" w:rsidP="00BA4492">
            <w:pPr>
              <w:pStyle w:val="MDPI31text"/>
              <w:jc w:val="center"/>
              <w:rPr>
                <w:spacing w:val="-2"/>
              </w:rPr>
            </w:pPr>
            <w:r w:rsidRPr="000613A9">
              <w:rPr>
                <w:spacing w:val="-2"/>
              </w:rPr>
              <w:t>0125_H</w:t>
            </w:r>
          </w:p>
        </w:tc>
        <w:tc>
          <w:tcPr>
            <w:tcW w:w="1701" w:type="dxa"/>
            <w:shd w:val="clear" w:color="auto" w:fill="auto"/>
          </w:tcPr>
          <w:p w14:paraId="59142295" w14:textId="77777777" w:rsidR="00D36AB0" w:rsidRPr="000613A9" w:rsidRDefault="00D36AB0" w:rsidP="00BA4492">
            <w:pPr>
              <w:pStyle w:val="MDPI31text"/>
              <w:ind w:firstLine="0"/>
              <w:jc w:val="center"/>
              <w:rPr>
                <w:spacing w:val="-2"/>
              </w:rPr>
            </w:pPr>
            <w:r w:rsidRPr="000613A9">
              <w:rPr>
                <w:spacing w:val="-2"/>
              </w:rPr>
              <w:t>1979 - present</w:t>
            </w:r>
          </w:p>
        </w:tc>
        <w:tc>
          <w:tcPr>
            <w:tcW w:w="1657" w:type="dxa"/>
            <w:shd w:val="clear" w:color="auto" w:fill="auto"/>
          </w:tcPr>
          <w:p w14:paraId="747F98AD" w14:textId="77777777" w:rsidR="00D36AB0" w:rsidRPr="000613A9" w:rsidRDefault="00D36AB0" w:rsidP="00BA4492">
            <w:pPr>
              <w:pStyle w:val="MDPI31text"/>
              <w:jc w:val="center"/>
              <w:rPr>
                <w:spacing w:val="-2"/>
              </w:rPr>
            </w:pPr>
            <w:r w:rsidRPr="000613A9">
              <w:rPr>
                <w:spacing w:val="-2"/>
              </w:rPr>
              <w:t>hourly</w:t>
            </w:r>
          </w:p>
        </w:tc>
        <w:tc>
          <w:tcPr>
            <w:tcW w:w="1275" w:type="dxa"/>
            <w:shd w:val="clear" w:color="auto" w:fill="auto"/>
          </w:tcPr>
          <w:p w14:paraId="5E1109ED" w14:textId="77777777" w:rsidR="00D36AB0" w:rsidRPr="000613A9" w:rsidRDefault="00D36AB0" w:rsidP="00BA4492">
            <w:pPr>
              <w:pStyle w:val="MDPI31text"/>
              <w:jc w:val="center"/>
              <w:rPr>
                <w:spacing w:val="-2"/>
              </w:rPr>
            </w:pPr>
            <w:r w:rsidRPr="000613A9">
              <w:rPr>
                <w:spacing w:val="-2"/>
              </w:rPr>
              <w:t>0.125</w:t>
            </w:r>
            <w:r>
              <w:rPr>
                <w:rFonts w:ascii="Symbol" w:eastAsia="Symbol" w:hAnsi="Symbol" w:cs="Symbol"/>
                <w:spacing w:val="-2"/>
              </w:rPr>
              <w:t>°</w:t>
            </w:r>
          </w:p>
        </w:tc>
        <w:tc>
          <w:tcPr>
            <w:tcW w:w="1224" w:type="dxa"/>
            <w:shd w:val="clear" w:color="auto" w:fill="auto"/>
          </w:tcPr>
          <w:p w14:paraId="4EB6A449" w14:textId="77777777" w:rsidR="00D36AB0" w:rsidRPr="000613A9" w:rsidRDefault="00D36AB0" w:rsidP="00BA4492">
            <w:pPr>
              <w:pStyle w:val="MDPI31text"/>
              <w:ind w:firstLine="0"/>
              <w:jc w:val="right"/>
              <w:rPr>
                <w:spacing w:val="-2"/>
              </w:rPr>
            </w:pPr>
            <w:r w:rsidRPr="000613A9">
              <w:rPr>
                <w:spacing w:val="-2"/>
              </w:rPr>
              <w:t>0-10 cm</w:t>
            </w:r>
          </w:p>
        </w:tc>
      </w:tr>
      <w:tr w:rsidR="00D36AB0" w:rsidRPr="000613A9" w14:paraId="019B9477" w14:textId="77777777" w:rsidTr="007C79C3">
        <w:trPr>
          <w:jc w:val="center"/>
        </w:trPr>
        <w:tc>
          <w:tcPr>
            <w:tcW w:w="1227" w:type="dxa"/>
            <w:tcBorders>
              <w:bottom w:val="single" w:sz="4" w:space="0" w:color="auto"/>
            </w:tcBorders>
            <w:shd w:val="clear" w:color="auto" w:fill="auto"/>
          </w:tcPr>
          <w:p w14:paraId="7B891D57" w14:textId="77777777" w:rsidR="00D36AB0" w:rsidRPr="000613A9" w:rsidRDefault="00D36AB0" w:rsidP="00BA4492">
            <w:pPr>
              <w:pStyle w:val="MDPI31text"/>
              <w:jc w:val="center"/>
              <w:rPr>
                <w:spacing w:val="-2"/>
              </w:rPr>
            </w:pPr>
            <w:r w:rsidRPr="000613A9">
              <w:rPr>
                <w:spacing w:val="-2"/>
              </w:rPr>
              <w:t>Mesonet</w:t>
            </w:r>
          </w:p>
        </w:tc>
        <w:tc>
          <w:tcPr>
            <w:tcW w:w="1750" w:type="dxa"/>
            <w:tcBorders>
              <w:bottom w:val="single" w:sz="4" w:space="0" w:color="auto"/>
            </w:tcBorders>
            <w:shd w:val="clear" w:color="auto" w:fill="auto"/>
          </w:tcPr>
          <w:p w14:paraId="56378DF0" w14:textId="77777777" w:rsidR="00D36AB0" w:rsidRPr="000613A9" w:rsidRDefault="00D36AB0" w:rsidP="00BA4492">
            <w:pPr>
              <w:pStyle w:val="MDPI31text"/>
              <w:jc w:val="center"/>
              <w:rPr>
                <w:spacing w:val="-2"/>
              </w:rPr>
            </w:pPr>
            <w:r w:rsidRPr="000613A9">
              <w:rPr>
                <w:spacing w:val="-2"/>
              </w:rPr>
              <w:t>115 sites</w:t>
            </w:r>
          </w:p>
        </w:tc>
        <w:tc>
          <w:tcPr>
            <w:tcW w:w="1701" w:type="dxa"/>
            <w:tcBorders>
              <w:bottom w:val="single" w:sz="4" w:space="0" w:color="auto"/>
            </w:tcBorders>
            <w:shd w:val="clear" w:color="auto" w:fill="auto"/>
          </w:tcPr>
          <w:p w14:paraId="2C4D096E" w14:textId="77777777" w:rsidR="00D36AB0" w:rsidRPr="000613A9" w:rsidRDefault="00D36AB0" w:rsidP="00BA4492">
            <w:pPr>
              <w:pStyle w:val="MDPI31text"/>
              <w:ind w:firstLine="0"/>
              <w:jc w:val="center"/>
              <w:rPr>
                <w:spacing w:val="-2"/>
              </w:rPr>
            </w:pPr>
            <w:r w:rsidRPr="000613A9">
              <w:rPr>
                <w:spacing w:val="-2"/>
              </w:rPr>
              <w:t>1998 - present</w:t>
            </w:r>
          </w:p>
        </w:tc>
        <w:tc>
          <w:tcPr>
            <w:tcW w:w="1657" w:type="dxa"/>
            <w:tcBorders>
              <w:bottom w:val="single" w:sz="4" w:space="0" w:color="auto"/>
            </w:tcBorders>
            <w:shd w:val="clear" w:color="auto" w:fill="auto"/>
          </w:tcPr>
          <w:p w14:paraId="226F8140" w14:textId="77777777" w:rsidR="00D36AB0" w:rsidRPr="000613A9" w:rsidRDefault="00D36AB0" w:rsidP="00BA4492">
            <w:pPr>
              <w:pStyle w:val="MDPI31text"/>
              <w:ind w:firstLine="0"/>
              <w:jc w:val="center"/>
              <w:rPr>
                <w:spacing w:val="-2"/>
              </w:rPr>
            </w:pPr>
            <w:r w:rsidRPr="000613A9">
              <w:rPr>
                <w:spacing w:val="-2"/>
              </w:rPr>
              <w:t>30 minut</w:t>
            </w:r>
            <w:r>
              <w:rPr>
                <w:spacing w:val="-2"/>
              </w:rPr>
              <w:t>e</w:t>
            </w:r>
            <w:r w:rsidRPr="000613A9">
              <w:rPr>
                <w:spacing w:val="-2"/>
              </w:rPr>
              <w:t>/daily</w:t>
            </w:r>
          </w:p>
        </w:tc>
        <w:tc>
          <w:tcPr>
            <w:tcW w:w="1275" w:type="dxa"/>
            <w:tcBorders>
              <w:bottom w:val="single" w:sz="4" w:space="0" w:color="auto"/>
            </w:tcBorders>
            <w:shd w:val="clear" w:color="auto" w:fill="auto"/>
          </w:tcPr>
          <w:p w14:paraId="2ABE483F" w14:textId="77777777" w:rsidR="00D36AB0" w:rsidRPr="000613A9" w:rsidRDefault="00D36AB0" w:rsidP="00BA4492">
            <w:pPr>
              <w:pStyle w:val="MDPI31text"/>
              <w:jc w:val="center"/>
              <w:rPr>
                <w:spacing w:val="-2"/>
              </w:rPr>
            </w:pPr>
            <w:r w:rsidRPr="000613A9">
              <w:rPr>
                <w:spacing w:val="-2"/>
              </w:rPr>
              <w:t>point</w:t>
            </w:r>
          </w:p>
        </w:tc>
        <w:tc>
          <w:tcPr>
            <w:tcW w:w="1224" w:type="dxa"/>
            <w:tcBorders>
              <w:bottom w:val="single" w:sz="4" w:space="0" w:color="auto"/>
            </w:tcBorders>
            <w:shd w:val="clear" w:color="auto" w:fill="auto"/>
          </w:tcPr>
          <w:p w14:paraId="60E6641D" w14:textId="77777777" w:rsidR="00D36AB0" w:rsidRPr="000613A9" w:rsidRDefault="00D36AB0" w:rsidP="00BA4492">
            <w:pPr>
              <w:pStyle w:val="MDPI31text"/>
              <w:jc w:val="right"/>
              <w:rPr>
                <w:spacing w:val="-2"/>
              </w:rPr>
            </w:pPr>
            <w:r w:rsidRPr="000613A9">
              <w:rPr>
                <w:spacing w:val="-2"/>
              </w:rPr>
              <w:t>0-5 cm</w:t>
            </w:r>
          </w:p>
        </w:tc>
      </w:tr>
    </w:tbl>
    <w:p w14:paraId="70F80465" w14:textId="1164EE92" w:rsidR="003C3711" w:rsidRDefault="003C3711" w:rsidP="00D36AB0">
      <w:pPr>
        <w:jc w:val="center"/>
      </w:pPr>
    </w:p>
    <w:p w14:paraId="4DDB391D" w14:textId="77777777" w:rsidR="008C4B9A" w:rsidRDefault="008C4B9A" w:rsidP="008158CC">
      <w:pPr>
        <w:keepNext/>
        <w:ind w:left="-432"/>
        <w:jc w:val="center"/>
      </w:pPr>
      <w:r>
        <w:rPr>
          <w:noProof/>
        </w:rPr>
        <w:drawing>
          <wp:inline distT="0" distB="0" distL="0" distR="0" wp14:anchorId="366B11E0" wp14:editId="736AC2CA">
            <wp:extent cx="5943600" cy="526415"/>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pic:nvPicPr>
                  <pic:blipFill>
                    <a:blip r:embed="rId63">
                      <a:extLst>
                        <a:ext uri="{28A0092B-C50C-407E-A947-70E740481C1C}">
                          <a14:useLocalDpi xmlns:a14="http://schemas.microsoft.com/office/drawing/2010/main" val="0"/>
                        </a:ext>
                      </a:extLst>
                    </a:blip>
                    <a:stretch>
                      <a:fillRect/>
                    </a:stretch>
                  </pic:blipFill>
                  <pic:spPr>
                    <a:xfrm>
                      <a:off x="0" y="0"/>
                      <a:ext cx="5943600" cy="526415"/>
                    </a:xfrm>
                    <a:prstGeom prst="rect">
                      <a:avLst/>
                    </a:prstGeom>
                  </pic:spPr>
                </pic:pic>
              </a:graphicData>
            </a:graphic>
          </wp:inline>
        </w:drawing>
      </w:r>
    </w:p>
    <w:p w14:paraId="682122CA" w14:textId="47542690" w:rsidR="008C4B9A" w:rsidRPr="003C3711" w:rsidRDefault="008C4B9A" w:rsidP="008C4B9A">
      <w:pPr>
        <w:pStyle w:val="a3"/>
        <w:ind w:firstLine="0"/>
      </w:pPr>
      <w:bookmarkStart w:id="103" w:name="_Toc75360569"/>
      <w:bookmarkStart w:id="104" w:name="_Toc75361837"/>
      <w:bookmarkStart w:id="105" w:name="_Toc75361892"/>
      <w:r>
        <w:t xml:space="preserve">Figure </w:t>
      </w:r>
      <w:r w:rsidR="00C63A65">
        <w:t>3</w:t>
      </w:r>
      <w:r w:rsidR="00764D25">
        <w:t>.</w:t>
      </w:r>
      <w:r>
        <w:fldChar w:fldCharType="begin"/>
      </w:r>
      <w:r>
        <w:instrText>SEQ Figure \* ARABIC \s 1</w:instrText>
      </w:r>
      <w:r>
        <w:fldChar w:fldCharType="separate"/>
      </w:r>
      <w:r w:rsidR="00492676">
        <w:rPr>
          <w:noProof/>
        </w:rPr>
        <w:t>3</w:t>
      </w:r>
      <w:r>
        <w:fldChar w:fldCharType="end"/>
      </w:r>
      <w:r>
        <w:t xml:space="preserve">. </w:t>
      </w:r>
      <w:r w:rsidRPr="008C4B9A">
        <w:rPr>
          <w:b w:val="0"/>
          <w:bCs w:val="0"/>
        </w:rPr>
        <w:t>Temporal coverage of SMAP, Noah, and Mesonet soil moisture products used in this study.</w:t>
      </w:r>
      <w:bookmarkEnd w:id="103"/>
      <w:bookmarkEnd w:id="104"/>
      <w:bookmarkEnd w:id="105"/>
    </w:p>
    <w:p w14:paraId="2A5B6192" w14:textId="4BA4D0AF" w:rsidR="0084593B" w:rsidRDefault="0084593B" w:rsidP="000E796E">
      <w:pPr>
        <w:ind w:firstLine="0"/>
      </w:pPr>
    </w:p>
    <w:p w14:paraId="5BC3327C" w14:textId="7436A90C" w:rsidR="009B3B86" w:rsidRDefault="009B3B86" w:rsidP="000E796E">
      <w:pPr>
        <w:pStyle w:val="a3"/>
        <w:keepNext/>
      </w:pPr>
      <w:bookmarkStart w:id="106" w:name="_Toc75361144"/>
      <w:r>
        <w:t xml:space="preserve">Table </w:t>
      </w:r>
      <w:r w:rsidR="00C63A65">
        <w:t>3</w:t>
      </w:r>
      <w:r w:rsidR="00685F41">
        <w:t>.</w:t>
      </w:r>
      <w:r>
        <w:fldChar w:fldCharType="begin"/>
      </w:r>
      <w:r>
        <w:instrText>SEQ Table \* ARABIC \s 1</w:instrText>
      </w:r>
      <w:r>
        <w:fldChar w:fldCharType="separate"/>
      </w:r>
      <w:r w:rsidR="00492676">
        <w:rPr>
          <w:noProof/>
        </w:rPr>
        <w:t>2</w:t>
      </w:r>
      <w:r>
        <w:fldChar w:fldCharType="end"/>
      </w:r>
      <w:r>
        <w:t xml:space="preserve">. </w:t>
      </w:r>
      <w:r w:rsidRPr="009B3B86">
        <w:rPr>
          <w:b w:val="0"/>
          <w:bCs w:val="0"/>
        </w:rPr>
        <w:t>Sample sizes of 6 AM and 6 PM and Seasonal TC triplets.</w:t>
      </w:r>
      <w:bookmarkEnd w:id="106"/>
    </w:p>
    <w:tbl>
      <w:tblPr>
        <w:tblW w:w="8820" w:type="dxa"/>
        <w:jc w:val="center"/>
        <w:tblBorders>
          <w:top w:val="single" w:sz="4" w:space="0" w:color="auto"/>
          <w:bottom w:val="single" w:sz="4" w:space="0" w:color="auto"/>
        </w:tblBorders>
        <w:tblLook w:val="04A0" w:firstRow="1" w:lastRow="0" w:firstColumn="1" w:lastColumn="0" w:noHBand="0" w:noVBand="1"/>
      </w:tblPr>
      <w:tblGrid>
        <w:gridCol w:w="1287"/>
        <w:gridCol w:w="982"/>
        <w:gridCol w:w="1131"/>
        <w:gridCol w:w="1220"/>
        <w:gridCol w:w="1500"/>
        <w:gridCol w:w="1440"/>
        <w:gridCol w:w="1260"/>
      </w:tblGrid>
      <w:tr w:rsidR="009B3B86" w:rsidRPr="000613A9" w14:paraId="1B22D246" w14:textId="77777777" w:rsidTr="00BB4671">
        <w:trPr>
          <w:jc w:val="center"/>
        </w:trPr>
        <w:tc>
          <w:tcPr>
            <w:tcW w:w="1287" w:type="dxa"/>
            <w:tcBorders>
              <w:top w:val="single" w:sz="4" w:space="0" w:color="auto"/>
              <w:bottom w:val="single" w:sz="4" w:space="0" w:color="auto"/>
            </w:tcBorders>
            <w:shd w:val="clear" w:color="auto" w:fill="auto"/>
          </w:tcPr>
          <w:p w14:paraId="352309D5" w14:textId="77777777" w:rsidR="009B3B86" w:rsidRPr="000613A9" w:rsidRDefault="009B3B86" w:rsidP="00BA4492">
            <w:pPr>
              <w:pStyle w:val="MDPI31text"/>
              <w:ind w:firstLine="0"/>
              <w:rPr>
                <w:spacing w:val="-2"/>
              </w:rPr>
            </w:pPr>
            <w:r w:rsidRPr="000613A9">
              <w:rPr>
                <w:spacing w:val="-2"/>
              </w:rPr>
              <w:t>Sample Size</w:t>
            </w:r>
          </w:p>
        </w:tc>
        <w:tc>
          <w:tcPr>
            <w:tcW w:w="982" w:type="dxa"/>
            <w:tcBorders>
              <w:top w:val="single" w:sz="4" w:space="0" w:color="auto"/>
              <w:bottom w:val="single" w:sz="4" w:space="0" w:color="auto"/>
            </w:tcBorders>
            <w:shd w:val="clear" w:color="auto" w:fill="auto"/>
          </w:tcPr>
          <w:p w14:paraId="1C3CF04C" w14:textId="77777777" w:rsidR="009B3B86" w:rsidRPr="000613A9" w:rsidRDefault="009B3B86" w:rsidP="00BA4492">
            <w:pPr>
              <w:pStyle w:val="MDPI31text"/>
              <w:rPr>
                <w:spacing w:val="-2"/>
              </w:rPr>
            </w:pPr>
            <w:r w:rsidRPr="000613A9">
              <w:rPr>
                <w:spacing w:val="-2"/>
              </w:rPr>
              <w:t>AM</w:t>
            </w:r>
          </w:p>
        </w:tc>
        <w:tc>
          <w:tcPr>
            <w:tcW w:w="1131" w:type="dxa"/>
            <w:tcBorders>
              <w:top w:val="single" w:sz="4" w:space="0" w:color="auto"/>
              <w:bottom w:val="single" w:sz="4" w:space="0" w:color="auto"/>
            </w:tcBorders>
            <w:shd w:val="clear" w:color="auto" w:fill="auto"/>
          </w:tcPr>
          <w:p w14:paraId="68DB44C3" w14:textId="77777777" w:rsidR="009B3B86" w:rsidRPr="000613A9" w:rsidRDefault="009B3B86" w:rsidP="00BA4492">
            <w:pPr>
              <w:pStyle w:val="MDPI31text"/>
              <w:rPr>
                <w:spacing w:val="-2"/>
              </w:rPr>
            </w:pPr>
            <w:r w:rsidRPr="000613A9">
              <w:rPr>
                <w:spacing w:val="-2"/>
              </w:rPr>
              <w:t>PM</w:t>
            </w:r>
          </w:p>
        </w:tc>
        <w:tc>
          <w:tcPr>
            <w:tcW w:w="1220" w:type="dxa"/>
            <w:tcBorders>
              <w:top w:val="single" w:sz="4" w:space="0" w:color="auto"/>
              <w:bottom w:val="single" w:sz="4" w:space="0" w:color="auto"/>
            </w:tcBorders>
            <w:shd w:val="clear" w:color="auto" w:fill="auto"/>
          </w:tcPr>
          <w:p w14:paraId="3EE9CCAC" w14:textId="77777777" w:rsidR="009B3B86" w:rsidRPr="000613A9" w:rsidRDefault="009B3B86" w:rsidP="00BA4492">
            <w:pPr>
              <w:pStyle w:val="MDPI31text"/>
              <w:rPr>
                <w:spacing w:val="-2"/>
              </w:rPr>
            </w:pPr>
            <w:r w:rsidRPr="000613A9">
              <w:rPr>
                <w:spacing w:val="-2"/>
              </w:rPr>
              <w:t>Spring</w:t>
            </w:r>
          </w:p>
        </w:tc>
        <w:tc>
          <w:tcPr>
            <w:tcW w:w="1500" w:type="dxa"/>
            <w:tcBorders>
              <w:top w:val="single" w:sz="4" w:space="0" w:color="auto"/>
              <w:bottom w:val="single" w:sz="4" w:space="0" w:color="auto"/>
            </w:tcBorders>
            <w:shd w:val="clear" w:color="auto" w:fill="auto"/>
          </w:tcPr>
          <w:p w14:paraId="2A5DC88A" w14:textId="77777777" w:rsidR="009B3B86" w:rsidRPr="000613A9" w:rsidRDefault="009B3B86" w:rsidP="00BA4492">
            <w:pPr>
              <w:pStyle w:val="MDPI31text"/>
              <w:rPr>
                <w:spacing w:val="-2"/>
              </w:rPr>
            </w:pPr>
            <w:r w:rsidRPr="000613A9">
              <w:rPr>
                <w:spacing w:val="-2"/>
              </w:rPr>
              <w:t>Summer</w:t>
            </w:r>
          </w:p>
        </w:tc>
        <w:tc>
          <w:tcPr>
            <w:tcW w:w="1440" w:type="dxa"/>
            <w:tcBorders>
              <w:top w:val="single" w:sz="4" w:space="0" w:color="auto"/>
              <w:bottom w:val="single" w:sz="4" w:space="0" w:color="auto"/>
            </w:tcBorders>
            <w:shd w:val="clear" w:color="auto" w:fill="auto"/>
          </w:tcPr>
          <w:p w14:paraId="6AE318BE" w14:textId="77777777" w:rsidR="009B3B86" w:rsidRPr="000613A9" w:rsidRDefault="009B3B86" w:rsidP="00BA4492">
            <w:pPr>
              <w:pStyle w:val="MDPI31text"/>
              <w:rPr>
                <w:spacing w:val="-2"/>
              </w:rPr>
            </w:pPr>
            <w:r w:rsidRPr="000613A9">
              <w:rPr>
                <w:spacing w:val="-2"/>
              </w:rPr>
              <w:t>Autumn</w:t>
            </w:r>
          </w:p>
        </w:tc>
        <w:tc>
          <w:tcPr>
            <w:tcW w:w="1260" w:type="dxa"/>
            <w:tcBorders>
              <w:top w:val="single" w:sz="4" w:space="0" w:color="auto"/>
              <w:bottom w:val="single" w:sz="4" w:space="0" w:color="auto"/>
            </w:tcBorders>
            <w:shd w:val="clear" w:color="auto" w:fill="auto"/>
          </w:tcPr>
          <w:p w14:paraId="25391D39" w14:textId="77777777" w:rsidR="009B3B86" w:rsidRPr="000613A9" w:rsidRDefault="009B3B86" w:rsidP="00BA4492">
            <w:pPr>
              <w:pStyle w:val="MDPI31text"/>
              <w:rPr>
                <w:spacing w:val="-2"/>
              </w:rPr>
            </w:pPr>
            <w:r w:rsidRPr="000613A9">
              <w:rPr>
                <w:spacing w:val="-2"/>
              </w:rPr>
              <w:t>Winter</w:t>
            </w:r>
          </w:p>
        </w:tc>
      </w:tr>
      <w:tr w:rsidR="009B3B86" w:rsidRPr="000613A9" w14:paraId="5F2D723B" w14:textId="77777777" w:rsidTr="00BB4671">
        <w:trPr>
          <w:jc w:val="center"/>
        </w:trPr>
        <w:tc>
          <w:tcPr>
            <w:tcW w:w="1287" w:type="dxa"/>
            <w:tcBorders>
              <w:top w:val="single" w:sz="4" w:space="0" w:color="auto"/>
            </w:tcBorders>
            <w:shd w:val="clear" w:color="auto" w:fill="auto"/>
          </w:tcPr>
          <w:p w14:paraId="21E9949C" w14:textId="77777777" w:rsidR="009B3B86" w:rsidRPr="000613A9" w:rsidRDefault="009B3B86" w:rsidP="00BA4492">
            <w:pPr>
              <w:pStyle w:val="MDPI31text"/>
              <w:ind w:firstLine="0"/>
              <w:rPr>
                <w:spacing w:val="-2"/>
              </w:rPr>
            </w:pPr>
            <w:r>
              <w:rPr>
                <w:spacing w:val="-2"/>
              </w:rPr>
              <w:t>Days</w:t>
            </w:r>
          </w:p>
        </w:tc>
        <w:tc>
          <w:tcPr>
            <w:tcW w:w="982" w:type="dxa"/>
            <w:tcBorders>
              <w:top w:val="single" w:sz="4" w:space="0" w:color="auto"/>
            </w:tcBorders>
            <w:shd w:val="clear" w:color="auto" w:fill="auto"/>
          </w:tcPr>
          <w:p w14:paraId="18F6DB99" w14:textId="77777777" w:rsidR="009B3B86" w:rsidRPr="000613A9" w:rsidRDefault="009B3B86" w:rsidP="00BA4492">
            <w:pPr>
              <w:pStyle w:val="MDPI31text"/>
              <w:rPr>
                <w:spacing w:val="-2"/>
              </w:rPr>
            </w:pPr>
            <w:r w:rsidRPr="000613A9">
              <w:rPr>
                <w:spacing w:val="-2"/>
              </w:rPr>
              <w:t>746</w:t>
            </w:r>
          </w:p>
        </w:tc>
        <w:tc>
          <w:tcPr>
            <w:tcW w:w="1131" w:type="dxa"/>
            <w:tcBorders>
              <w:top w:val="single" w:sz="4" w:space="0" w:color="auto"/>
            </w:tcBorders>
            <w:shd w:val="clear" w:color="auto" w:fill="auto"/>
          </w:tcPr>
          <w:p w14:paraId="51533587" w14:textId="77777777" w:rsidR="009B3B86" w:rsidRPr="000613A9" w:rsidRDefault="009B3B86" w:rsidP="00BA4492">
            <w:pPr>
              <w:pStyle w:val="MDPI31text"/>
              <w:rPr>
                <w:spacing w:val="-2"/>
              </w:rPr>
            </w:pPr>
            <w:r w:rsidRPr="000613A9">
              <w:rPr>
                <w:spacing w:val="-2"/>
              </w:rPr>
              <w:t>714</w:t>
            </w:r>
          </w:p>
        </w:tc>
        <w:tc>
          <w:tcPr>
            <w:tcW w:w="1220" w:type="dxa"/>
            <w:tcBorders>
              <w:top w:val="single" w:sz="4" w:space="0" w:color="auto"/>
            </w:tcBorders>
            <w:shd w:val="clear" w:color="auto" w:fill="auto"/>
          </w:tcPr>
          <w:p w14:paraId="003957AF" w14:textId="77777777" w:rsidR="009B3B86" w:rsidRPr="000613A9" w:rsidRDefault="009B3B86" w:rsidP="00BA4492">
            <w:pPr>
              <w:pStyle w:val="MDPI31text"/>
              <w:rPr>
                <w:spacing w:val="-2"/>
              </w:rPr>
            </w:pPr>
            <w:r w:rsidRPr="000613A9">
              <w:rPr>
                <w:spacing w:val="-2"/>
              </w:rPr>
              <w:t>394</w:t>
            </w:r>
          </w:p>
        </w:tc>
        <w:tc>
          <w:tcPr>
            <w:tcW w:w="1500" w:type="dxa"/>
            <w:tcBorders>
              <w:top w:val="single" w:sz="4" w:space="0" w:color="auto"/>
            </w:tcBorders>
            <w:shd w:val="clear" w:color="auto" w:fill="auto"/>
          </w:tcPr>
          <w:p w14:paraId="32E58DAC" w14:textId="77777777" w:rsidR="009B3B86" w:rsidRPr="000613A9" w:rsidRDefault="009B3B86" w:rsidP="00BA4492">
            <w:pPr>
              <w:pStyle w:val="MDPI31text"/>
              <w:rPr>
                <w:spacing w:val="-2"/>
              </w:rPr>
            </w:pPr>
            <w:r w:rsidRPr="000613A9">
              <w:rPr>
                <w:spacing w:val="-2"/>
              </w:rPr>
              <w:t>340</w:t>
            </w:r>
          </w:p>
        </w:tc>
        <w:tc>
          <w:tcPr>
            <w:tcW w:w="1440" w:type="dxa"/>
            <w:tcBorders>
              <w:top w:val="single" w:sz="4" w:space="0" w:color="auto"/>
            </w:tcBorders>
            <w:shd w:val="clear" w:color="auto" w:fill="auto"/>
          </w:tcPr>
          <w:p w14:paraId="2B78C2B3" w14:textId="77777777" w:rsidR="009B3B86" w:rsidRPr="000613A9" w:rsidRDefault="009B3B86" w:rsidP="00BA4492">
            <w:pPr>
              <w:pStyle w:val="MDPI31text"/>
              <w:rPr>
                <w:spacing w:val="-2"/>
              </w:rPr>
            </w:pPr>
            <w:r w:rsidRPr="000613A9">
              <w:rPr>
                <w:spacing w:val="-2"/>
              </w:rPr>
              <w:t>326</w:t>
            </w:r>
          </w:p>
        </w:tc>
        <w:tc>
          <w:tcPr>
            <w:tcW w:w="1260" w:type="dxa"/>
            <w:tcBorders>
              <w:top w:val="single" w:sz="4" w:space="0" w:color="auto"/>
            </w:tcBorders>
            <w:shd w:val="clear" w:color="auto" w:fill="auto"/>
          </w:tcPr>
          <w:p w14:paraId="52D20C44" w14:textId="77777777" w:rsidR="009B3B86" w:rsidRPr="000613A9" w:rsidRDefault="009B3B86" w:rsidP="00BA4492">
            <w:pPr>
              <w:pStyle w:val="MDPI31text"/>
              <w:rPr>
                <w:spacing w:val="-2"/>
              </w:rPr>
            </w:pPr>
            <w:r w:rsidRPr="000613A9">
              <w:rPr>
                <w:spacing w:val="-2"/>
              </w:rPr>
              <w:t>360</w:t>
            </w:r>
          </w:p>
        </w:tc>
      </w:tr>
    </w:tbl>
    <w:p w14:paraId="0CE6B8FF" w14:textId="7FD45298" w:rsidR="003E3569" w:rsidRDefault="003E3569" w:rsidP="003E3569">
      <w:pPr>
        <w:ind w:firstLine="0"/>
        <w:jc w:val="center"/>
      </w:pPr>
    </w:p>
    <w:p w14:paraId="0F719B2B" w14:textId="2DBB97BC" w:rsidR="00C902CF" w:rsidRDefault="00657C04" w:rsidP="00657C04">
      <w:pPr>
        <w:pStyle w:val="3"/>
      </w:pPr>
      <w:bookmarkStart w:id="107" w:name="_Toc75939851"/>
      <w:r>
        <w:t xml:space="preserve">3.3.2 </w:t>
      </w:r>
      <w:r w:rsidRPr="00657C04">
        <w:t>Classical Triple Collocation</w:t>
      </w:r>
      <w:bookmarkEnd w:id="107"/>
    </w:p>
    <w:p w14:paraId="1A9FC712" w14:textId="18AB7FC9" w:rsidR="00046863" w:rsidRDefault="5E4FB5CC" w:rsidP="00046863">
      <w:r>
        <w:t xml:space="preserve">Triple collocation (TC) analysis is a method for estimating the random error variances of three spatially and temporally collocated measurement systems of the same geophysical variable without treating any one system as perfectly observed “truth” </w:t>
      </w:r>
      <w:r w:rsidR="00046863">
        <w:fldChar w:fldCharType="begin"/>
      </w:r>
      <w:r w:rsidR="00046863">
        <w:instrText xml:space="preserve"> ADDIN ZOTERO_ITEM CSL_CITATION {"citationID":"yCLuLwMB","properties":{"formattedCitation":"(Stoffelen, 1998)","plainCitation":"(Stoffelen, 1998)","noteIndex":0},"citationItems":[{"id":157,"uris":["http://zotero.org/users/7782726/items/E4RN6USV"],"uri":["http://zotero.org/users/7782726/items/E4RN6USV"],"itemData":{"id":157,"type":"article-journal","container-title":"Journal of geophysical research: oceans","issue":"C4","note":"ISBN: 0148-0227\npublisher: Wiley Online Library","page":"7755-7766","title":"Toward the true near‐surface wind speed: Error modeling and calibration using triple collocation","volume":"103","author":[{"family":"Stoffelen","given":"Ad"}],"issued":{"date-parts":[["1998"]]}}}],"schema":"https://github.com/citation-style-language/schema/raw/master/csl-citation.json"} </w:instrText>
      </w:r>
      <w:r w:rsidR="00046863">
        <w:fldChar w:fldCharType="separate"/>
      </w:r>
      <w:r>
        <w:t>(Stoffelen, 1998)</w:t>
      </w:r>
      <w:r w:rsidR="00046863">
        <w:fldChar w:fldCharType="end"/>
      </w:r>
      <w:r>
        <w:t xml:space="preserve">. A few assumptions are </w:t>
      </w:r>
      <w:r>
        <w:lastRenderedPageBreak/>
        <w:t xml:space="preserve">necessary for the TC method: (1) linearity between the true soil moisture signal and the observations, (2) signal and error stationarity, i.e., their mean values and variances are assumed to remain constant over time, (3) error orthogonality, i.e., the errors are independent from the true soil moisture signal, (4) the errors of three independent products should be independent or unrelated which means they must have a zero cross-correlation, and (5) the expectation of error is treated as zero. Yilmaz and Crow </w:t>
      </w:r>
      <w:r w:rsidR="00046863">
        <w:fldChar w:fldCharType="begin"/>
      </w:r>
      <w:r w:rsidR="00046863">
        <w:instrText xml:space="preserve"> ADDIN ZOTERO_ITEM CSL_CITATION {"citationID":"1cKbS5QD","properties":{"formattedCitation":"(Yilmaz &amp; Crow, 2014)","plainCitation":"(Yilmaz &amp; Crow, 2014)","dontUpdate":true,"noteIndex":0},"citationItems":[{"id":172,"uris":["http://zotero.org/users/7782726/items/ZL5J3KE9"],"uri":["http://zotero.org/users/7782726/items/ZL5J3KE9"],"itemData":{"id":172,"type":"article-journal","container-title":"Journal of hydrometeorology","issue":"3","note":"ISBN: 1525-755X","page":"1293-1302","title":"Evaluation of assumptions in soil moisture triple collocation analysis","volume":"15","author":[{"family":"Yilmaz","given":"M. Tugrul"},{"family":"Crow","given":"Wade T."}],"issued":{"date-parts":[["2014"]]}}}],"schema":"https://github.com/citation-style-language/schema/raw/master/csl-citation.json"} </w:instrText>
      </w:r>
      <w:r w:rsidR="00046863">
        <w:fldChar w:fldCharType="separate"/>
      </w:r>
      <w:r>
        <w:t>(2014)</w:t>
      </w:r>
      <w:r w:rsidR="00046863">
        <w:fldChar w:fldCharType="end"/>
      </w:r>
      <w:r>
        <w:t xml:space="preserve"> conducted experiments on the TC errors due to the relevance of three products, and the results revealed that the more independent they are, the less TC induced error there will be. It is essential to consider the relevance of the inputs in order to make the TC method more reliable </w:t>
      </w:r>
      <w:r w:rsidR="00046863">
        <w:fldChar w:fldCharType="begin"/>
      </w:r>
      <w:r w:rsidR="00046863">
        <w:instrText xml:space="preserve"> ADDIN ZOTERO_ITEM CSL_CITATION {"citationID":"Dz4lpmA6","properties":{"formattedCitation":"(Li et al., 2018)","plainCitation":"(Li et al., 2018)","noteIndex":0},"citationItems":[{"id":173,"uris":["http://zotero.org/users/7782726/items/2D6XEVQN"],"uri":["http://zotero.org/users/7782726/items/2D6XEVQN"],"itemData":{"id":173,"type":"article-journal","container-title":"Journal of Hydrology","note":"ISBN: 0022-1694\npublisher: Elsevier","page":"71-83","title":"Cross-evaluation of ground-based, multi-satellite and reanalysis precipitation products: Applicability of the Triple Collocation method across Mainland China","volume":"562","author":[{"family":"Li","given":"Changming"},{"family":"Tang","given":"Guoqiang"},{"family":"Hong","given":"Yang"}],"issued":{"date-parts":[["2018"]]}}}],"schema":"https://github.com/citation-style-language/schema/raw/master/csl-citation.json"} </w:instrText>
      </w:r>
      <w:r w:rsidR="00046863">
        <w:fldChar w:fldCharType="separate"/>
      </w:r>
      <w:r>
        <w:t>(Li et al., 2018)</w:t>
      </w:r>
      <w:r w:rsidR="00046863">
        <w:fldChar w:fldCharType="end"/>
      </w:r>
      <w:r>
        <w:t>. The three selected soil products selected, i.e., ground based (Mesonet), model based (Noah), and satellite-based (SMAP), all meet the above criteria.</w:t>
      </w:r>
    </w:p>
    <w:p w14:paraId="7EA4AD1D" w14:textId="2932C3CA" w:rsidR="00046863" w:rsidRDefault="00046863" w:rsidP="00046863">
      <w:r w:rsidRPr="00B20A00">
        <w:t>The TC method treat</w:t>
      </w:r>
      <w:r>
        <w:t>s all</w:t>
      </w:r>
      <w:r w:rsidRPr="00B20A00">
        <w:t xml:space="preserve"> three independent products as equally important, and thus no </w:t>
      </w:r>
      <w:r>
        <w:t>preference or bias is introduced for any one approach</w:t>
      </w:r>
      <w:r w:rsidRPr="00B20A00">
        <w:t>. Equation (</w:t>
      </w:r>
      <w:r w:rsidR="00B42A38">
        <w:t>3.</w:t>
      </w:r>
      <w:r>
        <w:t>1</w:t>
      </w:r>
      <w:r w:rsidRPr="00B20A00">
        <w:t xml:space="preserve">) illustrates </w:t>
      </w:r>
      <w:r>
        <w:t>a</w:t>
      </w:r>
      <w:r w:rsidRPr="00B20A00">
        <w:t xml:space="preserve"> </w:t>
      </w:r>
      <w:r>
        <w:t>standard form</w:t>
      </w:r>
      <w:r w:rsidRPr="00B20A00">
        <w:t xml:space="preserve"> of the TC method</w:t>
      </w:r>
      <w:r>
        <w:rPr>
          <w:noProof/>
        </w:rPr>
        <w:t xml:space="preserve"> </w:t>
      </w:r>
      <w:r>
        <w:rPr>
          <w:noProof/>
        </w:rPr>
        <w:fldChar w:fldCharType="begin"/>
      </w:r>
      <w:r w:rsidR="00E45D53">
        <w:rPr>
          <w:noProof/>
        </w:rPr>
        <w:instrText xml:space="preserve"> ADDIN ZOTERO_ITEM CSL_CITATION {"citationID":"9yH61k9m","properties":{"formattedCitation":"(Zwieback et al., 2012)","plainCitation":"(Zwieback et al., 2012)","noteIndex":0},"citationItems":[{"id":174,"uris":["http://zotero.org/users/7782726/items/35VJI5QP"],"uri":["http://zotero.org/users/7782726/items/35VJI5QP"],"itemData":{"id":174,"type":"article-journal","container-title":"Nonlinear Processes in Geophysics","issue":"1","note":"ISBN: 1023-5809\npublisher: Copernicus GmbH","page":"69-80","title":"Structural and statistical properties of the collocation technique for error characterization","volume":"19","author":[{"family":"Zwieback","given":"Simon"},{"family":"Scipal","given":"Klaus"},{"family":"Dorigo","given":"Wouter"},{"family":"Wagner","given":"Wolfgang"}],"issued":{"date-parts":[["2012"]]}}}],"schema":"https://github.com/citation-style-language/schema/raw/master/csl-citation.json"} </w:instrText>
      </w:r>
      <w:r>
        <w:rPr>
          <w:noProof/>
        </w:rPr>
        <w:fldChar w:fldCharType="separate"/>
      </w:r>
      <w:r w:rsidR="00E45D53" w:rsidRPr="00E45D53">
        <w:t>(Zwieback et al., 2012)</w:t>
      </w:r>
      <w:r>
        <w:rPr>
          <w:noProof/>
        </w:rPr>
        <w:fldChar w:fldCharType="end"/>
      </w:r>
      <w:r w:rsidRPr="00B20A00">
        <w:t>:</w:t>
      </w:r>
    </w:p>
    <w:p w14:paraId="0E923EDA" w14:textId="77777777" w:rsidR="00046863" w:rsidRPr="00B20A00" w:rsidRDefault="00046863" w:rsidP="00046863"/>
    <w:tbl>
      <w:tblPr>
        <w:tblW w:w="0" w:type="auto"/>
        <w:jc w:val="center"/>
        <w:tblLook w:val="04A0" w:firstRow="1" w:lastRow="0" w:firstColumn="1" w:lastColumn="0" w:noHBand="0" w:noVBand="1"/>
      </w:tblPr>
      <w:tblGrid>
        <w:gridCol w:w="562"/>
        <w:gridCol w:w="7797"/>
        <w:gridCol w:w="651"/>
      </w:tblGrid>
      <w:tr w:rsidR="00046863" w:rsidRPr="00B20A00" w14:paraId="345DCEFB" w14:textId="77777777" w:rsidTr="00B42A38">
        <w:trPr>
          <w:jc w:val="center"/>
        </w:trPr>
        <w:tc>
          <w:tcPr>
            <w:tcW w:w="562" w:type="dxa"/>
            <w:shd w:val="clear" w:color="auto" w:fill="auto"/>
            <w:vAlign w:val="center"/>
          </w:tcPr>
          <w:p w14:paraId="1B81FADA" w14:textId="77777777" w:rsidR="00046863" w:rsidRPr="00B20A00" w:rsidRDefault="00046863" w:rsidP="00B42A38"/>
        </w:tc>
        <w:tc>
          <w:tcPr>
            <w:tcW w:w="7797" w:type="dxa"/>
            <w:shd w:val="clear" w:color="auto" w:fill="auto"/>
            <w:vAlign w:val="center"/>
          </w:tcPr>
          <w:p w14:paraId="648145E0" w14:textId="1E244D3F" w:rsidR="00046863" w:rsidRPr="0083758E" w:rsidRDefault="00143C6C" w:rsidP="00B42A38">
            <w:pPr>
              <w:ind w:firstLine="0"/>
              <w:jc w:val="center"/>
            </w:pPr>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i</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i</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b</m:t>
                  </m:r>
                </m:e>
                <m:sub>
                  <m:r>
                    <w:rPr>
                      <w:rFonts w:ascii="Cambria Math" w:hAnsi="Cambria Math"/>
                      <w:lang w:eastAsia="zh-CN"/>
                    </w:rPr>
                    <m:t>i</m:t>
                  </m:r>
                </m:sub>
              </m:sSub>
              <m:r>
                <m:rPr>
                  <m:sty m:val="p"/>
                </m:rPr>
                <w:rPr>
                  <w:rFonts w:ascii="Cambria Math" w:hAnsi="Cambria Math"/>
                  <w:lang w:eastAsia="zh-CN"/>
                </w:rPr>
                <m:t>T</m:t>
              </m:r>
              <m:r>
                <w:rPr>
                  <w:rFonts w:ascii="Cambria Math" w:hAnsi="Cambria Math"/>
                  <w:lang w:eastAsia="zh-CN"/>
                </w:rPr>
                <m:t>+</m:t>
              </m:r>
              <m:sSub>
                <m:sSubPr>
                  <m:ctrlPr>
                    <w:rPr>
                      <w:rFonts w:ascii="Cambria Math" w:hAnsi="Cambria Math"/>
                      <w:i/>
                      <w:lang w:eastAsia="zh-CN"/>
                    </w:rPr>
                  </m:ctrlPr>
                </m:sSubPr>
                <m:e>
                  <m:r>
                    <m:rPr>
                      <m:sty m:val="p"/>
                    </m:rPr>
                    <w:rPr>
                      <w:rFonts w:ascii="Cambria Math" w:hAnsi="Cambria Math"/>
                      <w:lang w:eastAsia="zh-CN"/>
                    </w:rPr>
                    <m:t>ε</m:t>
                  </m:r>
                </m:e>
                <m:sub>
                  <m:r>
                    <w:rPr>
                      <w:rFonts w:ascii="Cambria Math" w:hAnsi="Cambria Math"/>
                      <w:lang w:eastAsia="zh-CN"/>
                    </w:rPr>
                    <m:t>i</m:t>
                  </m:r>
                </m:sub>
              </m:sSub>
            </m:oMath>
            <w:r w:rsidR="00B42A38">
              <w:rPr>
                <w:lang w:eastAsia="zh-CN"/>
              </w:rPr>
              <w:t xml:space="preserve">                                      (3.1)</w:t>
            </w:r>
          </w:p>
        </w:tc>
        <w:tc>
          <w:tcPr>
            <w:tcW w:w="651" w:type="dxa"/>
            <w:shd w:val="clear" w:color="auto" w:fill="auto"/>
            <w:vAlign w:val="center"/>
          </w:tcPr>
          <w:p w14:paraId="4E62838E" w14:textId="6F831354" w:rsidR="00046863" w:rsidRPr="00B20A00" w:rsidRDefault="00046863" w:rsidP="00B42A38">
            <w:pPr>
              <w:ind w:firstLine="0"/>
            </w:pPr>
          </w:p>
        </w:tc>
      </w:tr>
      <w:tr w:rsidR="00046863" w:rsidRPr="00B20A00" w14:paraId="5D48F4C1" w14:textId="77777777" w:rsidTr="00B42A38">
        <w:trPr>
          <w:jc w:val="center"/>
        </w:trPr>
        <w:tc>
          <w:tcPr>
            <w:tcW w:w="562" w:type="dxa"/>
            <w:shd w:val="clear" w:color="auto" w:fill="auto"/>
            <w:vAlign w:val="center"/>
          </w:tcPr>
          <w:p w14:paraId="0DDA3859" w14:textId="77777777" w:rsidR="00046863" w:rsidRPr="00B20A00" w:rsidRDefault="00046863" w:rsidP="00B42A38">
            <w:pPr>
              <w:pStyle w:val="MDPI31text"/>
              <w:rPr>
                <w:spacing w:val="-2"/>
              </w:rPr>
            </w:pPr>
          </w:p>
        </w:tc>
        <w:tc>
          <w:tcPr>
            <w:tcW w:w="7797" w:type="dxa"/>
            <w:shd w:val="clear" w:color="auto" w:fill="auto"/>
            <w:vAlign w:val="center"/>
          </w:tcPr>
          <w:p w14:paraId="07B0548D" w14:textId="77777777" w:rsidR="00046863" w:rsidRDefault="00046863" w:rsidP="00B42A38">
            <w:pPr>
              <w:pStyle w:val="MDPI31text"/>
              <w:rPr>
                <w:color w:val="auto"/>
                <w:szCs w:val="24"/>
                <w:lang w:eastAsia="zh-CN"/>
              </w:rPr>
            </w:pPr>
          </w:p>
        </w:tc>
        <w:tc>
          <w:tcPr>
            <w:tcW w:w="651" w:type="dxa"/>
            <w:shd w:val="clear" w:color="auto" w:fill="auto"/>
            <w:vAlign w:val="center"/>
          </w:tcPr>
          <w:p w14:paraId="12A84AC4" w14:textId="77777777" w:rsidR="00046863" w:rsidRPr="00B20A00" w:rsidRDefault="00046863" w:rsidP="00B42A38">
            <w:pPr>
              <w:pStyle w:val="MDPI31text"/>
              <w:ind w:firstLine="0"/>
              <w:rPr>
                <w:spacing w:val="-2"/>
              </w:rPr>
            </w:pPr>
          </w:p>
        </w:tc>
      </w:tr>
    </w:tbl>
    <w:p w14:paraId="52E268C1" w14:textId="0889085B" w:rsidR="00046863" w:rsidRDefault="00046863" w:rsidP="00D9643D">
      <w:r w:rsidRPr="00B20A00">
        <w:t xml:space="preserve">Where </w:t>
      </w:r>
      <m:oMath>
        <m:sSub>
          <m:sSubPr>
            <m:ctrlPr>
              <w:rPr>
                <w:rFonts w:ascii="Cambria Math" w:hAnsi="Cambria Math"/>
                <w:i/>
              </w:rPr>
            </m:ctrlPr>
          </m:sSubPr>
          <m:e>
            <m:r>
              <w:rPr>
                <w:rFonts w:ascii="Cambria Math" w:hAnsi="Cambria Math"/>
              </w:rPr>
              <m:t>R</m:t>
            </m:r>
          </m:e>
          <m:sub>
            <m:r>
              <w:rPr>
                <w:rFonts w:ascii="Cambria Math" w:hAnsi="Cambria Math"/>
              </w:rPr>
              <m:t>i</m:t>
            </m:r>
          </m:sub>
        </m:sSub>
      </m:oMath>
      <w:r w:rsidRPr="00B20A00">
        <w:t xml:space="preserve"> (i </w:t>
      </w:r>
      <m:oMath>
        <m:r>
          <w:rPr>
            <w:rFonts w:ascii="Cambria Math" w:hAnsi="Cambria Math"/>
          </w:rPr>
          <m:t>∈(X,Y,Z)</m:t>
        </m:r>
      </m:oMath>
      <w:r w:rsidRPr="00B20A00">
        <w:t>)</w:t>
      </w:r>
      <w:r>
        <w:t xml:space="preserve"> </w:t>
      </w:r>
      <w:r w:rsidRPr="00B20A00">
        <w:t>indicates each of the three collocated soil moisture datasets X,</w:t>
      </w:r>
      <w:r>
        <w:t xml:space="preserve"> </w:t>
      </w:r>
      <w:r w:rsidRPr="00B20A00">
        <w:t xml:space="preserve">Y and Z, </w:t>
      </w:r>
      <m:oMath>
        <m:r>
          <m:rPr>
            <m:sty m:val="p"/>
          </m:rPr>
          <w:rPr>
            <w:rFonts w:ascii="Cambria Math" w:hAnsi="Cambria Math"/>
          </w:rPr>
          <m:t>T</m:t>
        </m:r>
      </m:oMath>
      <w:r w:rsidRPr="00B20A00">
        <w:t xml:space="preserve"> is the “relative truth</w:t>
      </w:r>
      <w:r>
        <w:t>,</w:t>
      </w:r>
      <w:r w:rsidRPr="00B20A00">
        <w:t xml:space="preserve">” </w:t>
      </w:r>
      <m:oMath>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 xml:space="preserve"> b</m:t>
            </m:r>
          </m:e>
          <m:sub>
            <m:r>
              <w:rPr>
                <w:rFonts w:ascii="Cambria Math" w:hAnsi="Cambria Math"/>
              </w:rPr>
              <m:t>i</m:t>
            </m:r>
          </m:sub>
        </m:sSub>
        <m:r>
          <w:rPr>
            <w:rFonts w:ascii="Cambria Math" w:hAnsi="Cambria Math"/>
          </w:rPr>
          <m:t> </m:t>
        </m:r>
      </m:oMath>
      <w:r w:rsidRPr="00B20A00">
        <w:t xml:space="preserve">are the weights and biases to adjust, and </w:t>
      </w:r>
      <m:oMath>
        <m:sSub>
          <m:sSubPr>
            <m:ctrlPr>
              <w:rPr>
                <w:rFonts w:ascii="Cambria Math" w:hAnsi="Cambria Math"/>
                <w:i/>
              </w:rPr>
            </m:ctrlPr>
          </m:sSubPr>
          <m:e>
            <m:r>
              <m:rPr>
                <m:sty m:val="p"/>
              </m:rPr>
              <w:rPr>
                <w:rFonts w:ascii="Cambria Math" w:hAnsi="Cambria Math"/>
              </w:rPr>
              <m:t>ε</m:t>
            </m:r>
            <m:ctrlPr>
              <w:rPr>
                <w:rFonts w:ascii="Cambria Math" w:hAnsi="Cambria Math"/>
              </w:rPr>
            </m:ctrlPr>
          </m:e>
          <m:sub>
            <m:r>
              <w:rPr>
                <w:rFonts w:ascii="Cambria Math" w:hAnsi="Cambria Math"/>
              </w:rPr>
              <m:t>i</m:t>
            </m:r>
          </m:sub>
        </m:sSub>
      </m:oMath>
      <w:r w:rsidRPr="00B20A00">
        <w:t xml:space="preserve"> represents </w:t>
      </w:r>
      <w:r>
        <w:t xml:space="preserve">the </w:t>
      </w:r>
      <w:r w:rsidRPr="00B20A00">
        <w:t>error for each product</w:t>
      </w:r>
      <w:r>
        <w:t xml:space="preserve"> </w:t>
      </w:r>
      <w:r w:rsidRPr="00493113">
        <w:rPr>
          <w:i/>
          <w:iCs/>
        </w:rPr>
        <w:t>i</w:t>
      </w:r>
      <w:r w:rsidRPr="00B20A00">
        <w:t>.</w:t>
      </w:r>
      <w:r>
        <w:t xml:space="preserve"> Given this definition, t</w:t>
      </w:r>
      <w:r w:rsidRPr="00043078">
        <w:t xml:space="preserve">he covariances between </w:t>
      </w:r>
      <w:r>
        <w:t>pairs of two</w:t>
      </w:r>
      <w:r w:rsidRPr="00043078">
        <w:t xml:space="preserve"> different measurement systems</w:t>
      </w:r>
      <w:r>
        <w:t xml:space="preserve"> (e.g.</w:t>
      </w:r>
      <w:r w:rsidR="00A73FA4">
        <w:t>,</w:t>
      </w:r>
      <w:r>
        <w:t xml:space="preserve"> X and Y)</w:t>
      </w:r>
      <w:r w:rsidRPr="00043078">
        <w:t xml:space="preserve"> </w:t>
      </w:r>
      <w:r>
        <w:t>would be</w:t>
      </w:r>
      <w:r w:rsidRPr="00043078">
        <w:t xml:space="preserve"> given by</w:t>
      </w:r>
    </w:p>
    <w:p w14:paraId="52D98961" w14:textId="77777777" w:rsidR="00046863" w:rsidRDefault="00046863" w:rsidP="00D9643D"/>
    <w:p w14:paraId="38B284CE" w14:textId="77777777" w:rsidR="00D9643D" w:rsidRPr="00D9643D" w:rsidRDefault="00046863" w:rsidP="00D9643D">
      <w:pPr>
        <w:jc w:val="center"/>
      </w:pPr>
      <m:oMathPara>
        <m:oMath>
          <m:r>
            <w:rPr>
              <w:rFonts w:ascii="Cambria Math" w:hAnsi="Cambria Math"/>
            </w:rPr>
            <m:t>Cov</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Y</m:t>
                  </m:r>
                </m:sub>
              </m:sSub>
            </m:e>
          </m:d>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m:t>
                  </m:r>
                </m:sub>
              </m:sSub>
              <m:sSub>
                <m:sSubPr>
                  <m:ctrlPr>
                    <w:rPr>
                      <w:rFonts w:ascii="Cambria Math" w:hAnsi="Cambria Math"/>
                      <w:i/>
                    </w:rPr>
                  </m:ctrlPr>
                </m:sSubPr>
                <m:e>
                  <m:r>
                    <w:rPr>
                      <w:rFonts w:ascii="Cambria Math" w:hAnsi="Cambria Math"/>
                    </w:rPr>
                    <m:t>R</m:t>
                  </m:r>
                </m:e>
                <m:sub>
                  <m:r>
                    <w:rPr>
                      <w:rFonts w:ascii="Cambria Math" w:hAnsi="Cambria Math"/>
                    </w:rPr>
                    <m:t>Y</m:t>
                  </m:r>
                </m:sub>
              </m:sSub>
            </m:e>
          </m:d>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m:t>
                  </m:r>
                </m:sub>
              </m:sSub>
            </m:e>
          </m:d>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Y</m:t>
                  </m:r>
                </m:sub>
              </m:sSub>
            </m:e>
          </m:d>
        </m:oMath>
      </m:oMathPara>
    </w:p>
    <w:p w14:paraId="7E784333" w14:textId="2F6E02EA" w:rsidR="00046863" w:rsidRDefault="00046863" w:rsidP="00D9643D">
      <w:pPr>
        <w:jc w:val="center"/>
      </w:pPr>
      <m:oMath>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X</m:t>
            </m:r>
          </m:sub>
        </m:sSub>
        <m:sSub>
          <m:sSubPr>
            <m:ctrlPr>
              <w:rPr>
                <w:rFonts w:ascii="Cambria Math" w:hAnsi="Cambria Math"/>
                <w:i/>
              </w:rPr>
            </m:ctrlPr>
          </m:sSubPr>
          <m:e>
            <m:r>
              <w:rPr>
                <w:rFonts w:ascii="Cambria Math" w:hAnsi="Cambria Math"/>
              </w:rPr>
              <m:t>b</m:t>
            </m:r>
          </m:e>
          <m:sub>
            <m:r>
              <w:rPr>
                <w:rFonts w:ascii="Cambria Math" w:hAnsi="Cambria Math"/>
              </w:rPr>
              <m:t>Y</m:t>
            </m:r>
          </m:sub>
        </m:sSub>
        <m:sSubSup>
          <m:sSubSupPr>
            <m:ctrlPr>
              <w:rPr>
                <w:rFonts w:ascii="Cambria Math" w:hAnsi="Cambria Math"/>
                <w:i/>
              </w:rPr>
            </m:ctrlPr>
          </m:sSubSupPr>
          <m:e>
            <m:r>
              <w:rPr>
                <w:rFonts w:ascii="Cambria Math" w:hAnsi="Cambria Math"/>
              </w:rPr>
              <m:t>σ</m:t>
            </m:r>
          </m:e>
          <m:sub>
            <m:r>
              <w:rPr>
                <w:rFonts w:ascii="Cambria Math" w:hAnsi="Cambria Math"/>
              </w:rPr>
              <m:t>T</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X</m:t>
            </m:r>
          </m:sub>
        </m:sSub>
        <m:r>
          <w:rPr>
            <w:rFonts w:ascii="Cambria Math" w:hAnsi="Cambria Math"/>
          </w:rPr>
          <m:t>Cov</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ε</m:t>
                </m:r>
              </m:e>
              <m:sub>
                <m:r>
                  <w:rPr>
                    <w:rFonts w:ascii="Cambria Math" w:hAnsi="Cambria Math"/>
                  </w:rPr>
                  <m:t>Y</m:t>
                </m:r>
              </m:sub>
            </m:sSub>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Y</m:t>
            </m:r>
          </m:sub>
        </m:sSub>
        <m:r>
          <w:rPr>
            <w:rFonts w:ascii="Cambria Math" w:hAnsi="Cambria Math"/>
          </w:rPr>
          <m:t>Cov</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ε</m:t>
                </m:r>
              </m:e>
              <m:sub>
                <m:r>
                  <w:rPr>
                    <w:rFonts w:ascii="Cambria Math" w:hAnsi="Cambria Math"/>
                  </w:rPr>
                  <m:t>X</m:t>
                </m:r>
              </m:sub>
            </m:sSub>
          </m:e>
        </m:d>
        <m:r>
          <w:rPr>
            <w:rFonts w:ascii="Cambria Math" w:hAnsi="Cambria Math"/>
          </w:rPr>
          <m:t>+Cov</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Y</m:t>
                </m:r>
              </m:sub>
            </m:sSub>
          </m:e>
        </m:d>
      </m:oMath>
      <w:r>
        <w:t xml:space="preserve">  </w:t>
      </w:r>
      <w:r w:rsidR="00D9643D">
        <w:t xml:space="preserve">                  </w:t>
      </w:r>
      <w:r>
        <w:t xml:space="preserve"> (</w:t>
      </w:r>
      <w:r w:rsidR="00B42A38">
        <w:t>3.</w:t>
      </w:r>
      <w:r>
        <w:t>2)</w:t>
      </w:r>
    </w:p>
    <w:p w14:paraId="66B6EA1F" w14:textId="77777777" w:rsidR="00046863" w:rsidRDefault="00046863" w:rsidP="00D9643D"/>
    <w:p w14:paraId="12408500" w14:textId="4F066228" w:rsidR="00046863" w:rsidRDefault="00046863" w:rsidP="00D9643D">
      <w:r>
        <w:t xml:space="preserve">Where </w:t>
      </w:r>
      <m:oMath>
        <m:sSubSup>
          <m:sSubSupPr>
            <m:ctrlPr>
              <w:rPr>
                <w:rFonts w:ascii="Cambria Math" w:hAnsi="Cambria Math"/>
                <w:i/>
              </w:rPr>
            </m:ctrlPr>
          </m:sSubSupPr>
          <m:e>
            <m:r>
              <w:rPr>
                <w:rFonts w:ascii="Cambria Math" w:hAnsi="Cambria Math"/>
              </w:rPr>
              <m:t>σ</m:t>
            </m:r>
          </m:e>
          <m:sub>
            <m:r>
              <w:rPr>
                <w:rFonts w:ascii="Cambria Math" w:hAnsi="Cambria Math"/>
              </w:rPr>
              <m:t>T</m:t>
            </m:r>
          </m:sub>
          <m:sup>
            <m:r>
              <w:rPr>
                <w:rFonts w:ascii="Cambria Math" w:hAnsi="Cambria Math"/>
              </w:rPr>
              <m:t>2</m:t>
            </m:r>
          </m:sup>
        </m:sSubSup>
        <m:r>
          <w:rPr>
            <w:rFonts w:ascii="Cambria Math" w:hAnsi="Cambria Math"/>
          </w:rPr>
          <m:t>=Var</m:t>
        </m:r>
        <m:d>
          <m:dPr>
            <m:ctrlPr>
              <w:rPr>
                <w:rFonts w:ascii="Cambria Math" w:hAnsi="Cambria Math"/>
                <w:i/>
              </w:rPr>
            </m:ctrlPr>
          </m:dPr>
          <m:e>
            <m:r>
              <w:rPr>
                <w:rFonts w:ascii="Cambria Math" w:hAnsi="Cambria Math"/>
              </w:rPr>
              <m:t>T</m:t>
            </m:r>
          </m:e>
        </m:d>
      </m:oMath>
      <w:r>
        <w:t xml:space="preserve">. According to assumptions (3), (4), (5), </w:t>
      </w: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X</m:t>
                </m:r>
              </m:sub>
            </m:sSub>
          </m:e>
        </m:d>
        <m:r>
          <w:rPr>
            <w:rFonts w:ascii="Cambria Math" w:hAnsi="Cambria Math"/>
          </w:rPr>
          <m:t>=0</m:t>
        </m:r>
      </m:oMath>
      <w:r>
        <w:t xml:space="preserve">, </w:t>
      </w:r>
      <m:oMath>
        <m:d>
          <m:dPr>
            <m:ctrlPr>
              <w:rPr>
                <w:rFonts w:ascii="Cambria Math" w:hAnsi="Cambria Math"/>
                <w:i/>
              </w:rPr>
            </m:ctrlPr>
          </m:dPr>
          <m:e>
            <m:r>
              <w:rPr>
                <w:rFonts w:ascii="Cambria Math" w:hAnsi="Cambria Math"/>
              </w:rPr>
              <m:t>Cov</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Y</m:t>
                    </m:r>
                  </m:sub>
                </m:sSub>
              </m:e>
            </m:d>
            <m:r>
              <w:rPr>
                <w:rFonts w:ascii="Cambria Math" w:hAnsi="Cambria Math"/>
              </w:rPr>
              <m:t>=0, X≠Y</m:t>
            </m:r>
          </m:e>
        </m:d>
      </m:oMath>
      <w:r>
        <w:t xml:space="preserve">, </w:t>
      </w:r>
      <m:oMath>
        <m:d>
          <m:dPr>
            <m:ctrlPr>
              <w:rPr>
                <w:rFonts w:ascii="Cambria Math" w:hAnsi="Cambria Math"/>
                <w:i/>
              </w:rPr>
            </m:ctrlPr>
          </m:dPr>
          <m:e>
            <m:r>
              <w:rPr>
                <w:rFonts w:ascii="Cambria Math" w:hAnsi="Cambria Math"/>
              </w:rPr>
              <m:t>Cov</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ε</m:t>
                    </m:r>
                  </m:e>
                  <m:sub>
                    <m:r>
                      <w:rPr>
                        <w:rFonts w:ascii="Cambria Math" w:hAnsi="Cambria Math"/>
                      </w:rPr>
                      <m:t>X</m:t>
                    </m:r>
                  </m:sub>
                </m:sSub>
              </m:e>
            </m:d>
            <m:r>
              <w:rPr>
                <w:rFonts w:ascii="Cambria Math" w:hAnsi="Cambria Math"/>
              </w:rPr>
              <m:t>=0</m:t>
            </m:r>
          </m:e>
        </m:d>
      </m:oMath>
      <w:r>
        <w:t>. Therefore, equation (</w:t>
      </w:r>
      <w:r w:rsidR="007349FA">
        <w:t>3.</w:t>
      </w:r>
      <w:r>
        <w:t>2) reduces to</w:t>
      </w:r>
    </w:p>
    <w:p w14:paraId="503B0D64" w14:textId="77777777" w:rsidR="00046863" w:rsidRDefault="00046863" w:rsidP="00D9643D"/>
    <w:bookmarkStart w:id="108" w:name="_Hlk69387277"/>
    <w:p w14:paraId="047D9E9B" w14:textId="1E29AF22" w:rsidR="00046863" w:rsidRPr="00021111" w:rsidRDefault="00143C6C" w:rsidP="00D9643D">
      <w:pPr>
        <w:jc w:val="center"/>
      </w:pPr>
      <m:oMath>
        <m:sSub>
          <m:sSubPr>
            <m:ctrlPr>
              <w:rPr>
                <w:rFonts w:ascii="Cambria Math" w:hAnsi="Cambria Math"/>
                <w:i/>
              </w:rPr>
            </m:ctrlPr>
          </m:sSubPr>
          <m:e>
            <m:r>
              <w:rPr>
                <w:rFonts w:ascii="Cambria Math" w:hAnsi="Cambria Math"/>
              </w:rPr>
              <m:t>Q</m:t>
            </m:r>
          </m:e>
          <m:sub>
            <m:r>
              <w:rPr>
                <w:rFonts w:ascii="Cambria Math" w:hAnsi="Cambria Math"/>
              </w:rPr>
              <m:t>XY</m:t>
            </m:r>
          </m:sub>
        </m:sSub>
        <m:r>
          <w:rPr>
            <w:rFonts w:ascii="Cambria Math" w:hAnsi="Cambria Math"/>
          </w:rPr>
          <m:t>= Cov</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Y</m:t>
                </m:r>
              </m:sub>
            </m:sSub>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b</m:t>
                    </m:r>
                  </m:e>
                  <m:sub>
                    <m:r>
                      <w:rPr>
                        <w:rFonts w:ascii="Cambria Math" w:hAnsi="Cambria Math"/>
                      </w:rPr>
                      <m:t>X</m:t>
                    </m:r>
                  </m:sub>
                </m:sSub>
                <m:sSub>
                  <m:sSubPr>
                    <m:ctrlPr>
                      <w:rPr>
                        <w:rFonts w:ascii="Cambria Math" w:hAnsi="Cambria Math"/>
                        <w:i/>
                      </w:rPr>
                    </m:ctrlPr>
                  </m:sSubPr>
                  <m:e>
                    <m:r>
                      <w:rPr>
                        <w:rFonts w:ascii="Cambria Math" w:hAnsi="Cambria Math"/>
                      </w:rPr>
                      <m:t>b</m:t>
                    </m:r>
                  </m:e>
                  <m:sub>
                    <m:r>
                      <w:rPr>
                        <w:rFonts w:ascii="Cambria Math" w:hAnsi="Cambria Math"/>
                      </w:rPr>
                      <m:t>Y</m:t>
                    </m:r>
                  </m:sub>
                </m:sSub>
                <m:sSubSup>
                  <m:sSubSupPr>
                    <m:ctrlPr>
                      <w:rPr>
                        <w:rFonts w:ascii="Cambria Math" w:hAnsi="Cambria Math"/>
                        <w:i/>
                      </w:rPr>
                    </m:ctrlPr>
                  </m:sSubSupPr>
                  <m:e>
                    <m:r>
                      <w:rPr>
                        <w:rFonts w:ascii="Cambria Math" w:hAnsi="Cambria Math"/>
                      </w:rPr>
                      <m:t>σ</m:t>
                    </m:r>
                  </m:e>
                  <m:sub>
                    <m:r>
                      <w:rPr>
                        <w:rFonts w:ascii="Cambria Math" w:hAnsi="Cambria Math"/>
                      </w:rPr>
                      <m:t>T</m:t>
                    </m:r>
                  </m:sub>
                  <m:sup>
                    <m:r>
                      <w:rPr>
                        <w:rFonts w:ascii="Cambria Math" w:hAnsi="Cambria Math"/>
                      </w:rPr>
                      <m:t>2</m:t>
                    </m:r>
                  </m:sup>
                </m:sSubSup>
                <m:r>
                  <w:rPr>
                    <w:rFonts w:ascii="Cambria Math" w:hAnsi="Cambria Math"/>
                  </w:rPr>
                  <m:t xml:space="preserve">               for X≠Y</m:t>
                </m:r>
              </m:e>
              <m:e>
                <m:sSubSup>
                  <m:sSubSupPr>
                    <m:ctrlPr>
                      <w:rPr>
                        <w:rFonts w:ascii="Cambria Math" w:hAnsi="Cambria Math"/>
                        <w:i/>
                      </w:rPr>
                    </m:ctrlPr>
                  </m:sSubSupPr>
                  <m:e>
                    <m:r>
                      <w:rPr>
                        <w:rFonts w:ascii="Cambria Math" w:hAnsi="Cambria Math"/>
                      </w:rPr>
                      <m:t>b</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T</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ε</m:t>
                        </m:r>
                      </m:e>
                      <m:sub>
                        <m:r>
                          <w:rPr>
                            <w:rFonts w:ascii="Cambria Math" w:hAnsi="Cambria Math"/>
                          </w:rPr>
                          <m:t>X</m:t>
                        </m:r>
                      </m:sub>
                    </m:sSub>
                  </m:sub>
                  <m:sup>
                    <m:r>
                      <w:rPr>
                        <w:rFonts w:ascii="Cambria Math" w:hAnsi="Cambria Math"/>
                      </w:rPr>
                      <m:t>2</m:t>
                    </m:r>
                  </m:sup>
                </m:sSubSup>
                <m:r>
                  <w:rPr>
                    <w:rFonts w:ascii="Cambria Math" w:hAnsi="Cambria Math"/>
                  </w:rPr>
                  <m:t xml:space="preserve">       for X=Y</m:t>
                </m:r>
              </m:e>
            </m:eqArr>
          </m:e>
        </m:d>
      </m:oMath>
      <w:bookmarkEnd w:id="108"/>
      <w:r w:rsidR="00046863">
        <w:t xml:space="preserve">           (3</w:t>
      </w:r>
      <w:r w:rsidR="007349FA">
        <w:t>.3</w:t>
      </w:r>
      <w:r w:rsidR="00046863">
        <w:t>)</w:t>
      </w:r>
    </w:p>
    <w:p w14:paraId="623A5BA6" w14:textId="77777777" w:rsidR="00046863" w:rsidRDefault="00046863" w:rsidP="00D9643D"/>
    <w:p w14:paraId="73DAEA1C" w14:textId="1D649DA7" w:rsidR="00046863" w:rsidRDefault="00046863" w:rsidP="00D9643D">
      <w:r>
        <w:t xml:space="preserve">Where </w:t>
      </w:r>
      <m:oMath>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ε</m:t>
                </m:r>
              </m:e>
              <m:sub>
                <m:r>
                  <w:rPr>
                    <w:rFonts w:ascii="Cambria Math" w:hAnsi="Cambria Math"/>
                  </w:rPr>
                  <m:t>X</m:t>
                </m:r>
              </m:sub>
            </m:sSub>
          </m:sub>
          <m:sup>
            <m:r>
              <w:rPr>
                <w:rFonts w:ascii="Cambria Math" w:hAnsi="Cambria Math"/>
              </w:rPr>
              <m:t>2</m:t>
            </m:r>
          </m:sup>
        </m:sSubSup>
        <m:r>
          <w:rPr>
            <w:rFonts w:ascii="Cambria Math" w:hAnsi="Cambria Math"/>
          </w:rPr>
          <m:t>=Var</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X</m:t>
                </m:r>
              </m:sub>
            </m:sSub>
          </m:e>
        </m:d>
      </m:oMath>
      <w:r>
        <w:t>. Since there are seven unknowns (</w:t>
      </w:r>
      <m:oMath>
        <m:sSub>
          <m:sSubPr>
            <m:ctrlPr>
              <w:rPr>
                <w:rFonts w:ascii="Cambria Math" w:hAnsi="Cambria Math"/>
                <w:i/>
              </w:rPr>
            </m:ctrlPr>
          </m:sSubPr>
          <m:e>
            <m:r>
              <w:rPr>
                <w:rFonts w:ascii="Cambria Math" w:hAnsi="Cambria Math"/>
              </w:rPr>
              <m:t>b</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Z</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ε</m:t>
                </m:r>
              </m:e>
              <m:sub>
                <m:r>
                  <w:rPr>
                    <w:rFonts w:ascii="Cambria Math" w:hAnsi="Cambria Math"/>
                  </w:rPr>
                  <m:t>X</m:t>
                </m:r>
              </m:sub>
            </m:sSub>
          </m:sub>
        </m:sSub>
        <m:r>
          <w:rPr>
            <w:rFonts w:ascii="Cambria Math" w:hAnsi="Cambria Math"/>
          </w:rPr>
          <m:t xml:space="preserve">, </m:t>
        </m:r>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ε</m:t>
                </m:r>
              </m:e>
              <m:sub>
                <m:r>
                  <w:rPr>
                    <w:rFonts w:ascii="Cambria Math" w:hAnsi="Cambria Math"/>
                  </w:rPr>
                  <m:t>Y</m:t>
                </m:r>
              </m:sub>
            </m:sSub>
          </m:sub>
        </m:sSub>
        <m:r>
          <w:rPr>
            <w:rFonts w:ascii="Cambria Math" w:hAnsi="Cambria Math"/>
          </w:rPr>
          <m:t xml:space="preserve">, </m:t>
        </m:r>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ε</m:t>
                </m:r>
              </m:e>
              <m:sub>
                <m:r>
                  <w:rPr>
                    <w:rFonts w:ascii="Cambria Math" w:hAnsi="Cambria Math"/>
                  </w:rPr>
                  <m:t>Z</m:t>
                </m:r>
              </m:sub>
            </m:sSub>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T</m:t>
            </m:r>
          </m:sub>
        </m:sSub>
      </m:oMath>
      <w:r>
        <w:t>) in six equations in the 3 × 3 covariance matrix (</w:t>
      </w:r>
      <m:oMath>
        <m:sSub>
          <m:sSubPr>
            <m:ctrlPr>
              <w:rPr>
                <w:rFonts w:ascii="Cambria Math" w:hAnsi="Cambria Math"/>
                <w:i/>
              </w:rPr>
            </m:ctrlPr>
          </m:sSubPr>
          <m:e>
            <m:r>
              <w:rPr>
                <w:rFonts w:ascii="Cambria Math" w:hAnsi="Cambria Math"/>
              </w:rPr>
              <m:t>Q</m:t>
            </m:r>
          </m:e>
          <m:sub>
            <m:r>
              <w:rPr>
                <w:rFonts w:ascii="Cambria Math" w:hAnsi="Cambria Math"/>
              </w:rPr>
              <m:t>XX</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XY</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XZ</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YY</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YZ</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ZZ</m:t>
            </m:r>
          </m:sub>
        </m:sSub>
      </m:oMath>
      <w:r>
        <w:t xml:space="preserve">), there is no unique solution. However, the introduction of a new variable </w:t>
      </w:r>
      <m:oMath>
        <m:sSub>
          <m:sSubPr>
            <m:ctrlPr>
              <w:rPr>
                <w:rFonts w:ascii="Cambria Math" w:hAnsi="Cambria Math"/>
                <w:i/>
              </w:rPr>
            </m:ctrlPr>
          </m:sSubPr>
          <m:e>
            <m:r>
              <w:rPr>
                <w:rFonts w:ascii="Cambria Math" w:hAnsi="Cambria Math"/>
              </w:rPr>
              <m:t>θ</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X</m:t>
            </m:r>
          </m:sub>
        </m:sSub>
        <m:sSub>
          <m:sSubPr>
            <m:ctrlPr>
              <w:rPr>
                <w:rFonts w:ascii="Cambria Math" w:hAnsi="Cambria Math"/>
                <w:i/>
              </w:rPr>
            </m:ctrlPr>
          </m:sSubPr>
          <m:e>
            <m:r>
              <w:rPr>
                <w:rFonts w:ascii="Cambria Math" w:hAnsi="Cambria Math"/>
              </w:rPr>
              <m:t>σ</m:t>
            </m:r>
          </m:e>
          <m:sub>
            <m:r>
              <w:rPr>
                <w:rFonts w:ascii="Cambria Math" w:hAnsi="Cambria Math"/>
              </w:rPr>
              <m:t>T</m:t>
            </m:r>
          </m:sub>
        </m:sSub>
      </m:oMath>
      <w:r>
        <w:t>, changes (</w:t>
      </w:r>
      <w:r w:rsidR="007349FA">
        <w:t>3.</w:t>
      </w:r>
      <w:r>
        <w:t>3) to</w:t>
      </w:r>
    </w:p>
    <w:p w14:paraId="30542936" w14:textId="77777777" w:rsidR="00046863" w:rsidRDefault="00046863" w:rsidP="00D9643D"/>
    <w:p w14:paraId="27BDCBF8" w14:textId="117BE668" w:rsidR="00046863" w:rsidRPr="00B20A00" w:rsidRDefault="00143C6C" w:rsidP="009037AD">
      <w:pPr>
        <w:jc w:val="center"/>
      </w:pPr>
      <m:oMath>
        <m:sSub>
          <m:sSubPr>
            <m:ctrlPr>
              <w:rPr>
                <w:rFonts w:ascii="Cambria Math" w:hAnsi="Cambria Math"/>
                <w:i/>
              </w:rPr>
            </m:ctrlPr>
          </m:sSubPr>
          <m:e>
            <m:r>
              <w:rPr>
                <w:rFonts w:ascii="Cambria Math" w:hAnsi="Cambria Math"/>
              </w:rPr>
              <m:t>Q</m:t>
            </m:r>
          </m:e>
          <m:sub>
            <m:r>
              <w:rPr>
                <w:rFonts w:ascii="Cambria Math" w:hAnsi="Cambria Math"/>
              </w:rPr>
              <m:t>XY</m:t>
            </m:r>
          </m:sub>
        </m:sSub>
        <m:r>
          <w:rPr>
            <w:rFonts w:ascii="Cambria Math" w:hAnsi="Cambria Math"/>
          </w:rPr>
          <m:t>= Cov</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Y</m:t>
                </m:r>
              </m:sub>
            </m:sSub>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θ</m:t>
                    </m:r>
                  </m:e>
                  <m:sub>
                    <m:r>
                      <w:rPr>
                        <w:rFonts w:ascii="Cambria Math" w:hAnsi="Cambria Math"/>
                      </w:rPr>
                      <m:t>X</m:t>
                    </m:r>
                  </m:sub>
                </m:sSub>
                <m:sSub>
                  <m:sSubPr>
                    <m:ctrlPr>
                      <w:rPr>
                        <w:rFonts w:ascii="Cambria Math" w:hAnsi="Cambria Math"/>
                        <w:i/>
                      </w:rPr>
                    </m:ctrlPr>
                  </m:sSubPr>
                  <m:e>
                    <m:r>
                      <w:rPr>
                        <w:rFonts w:ascii="Cambria Math" w:hAnsi="Cambria Math"/>
                      </w:rPr>
                      <m:t>θ</m:t>
                    </m:r>
                  </m:e>
                  <m:sub>
                    <m:r>
                      <w:rPr>
                        <w:rFonts w:ascii="Cambria Math" w:hAnsi="Cambria Math"/>
                      </w:rPr>
                      <m:t>Y</m:t>
                    </m:r>
                  </m:sub>
                </m:sSub>
                <m:r>
                  <w:rPr>
                    <w:rFonts w:ascii="Cambria Math" w:hAnsi="Cambria Math"/>
                  </w:rPr>
                  <m:t xml:space="preserve">               for X≠Y</m:t>
                </m:r>
              </m:e>
              <m:e>
                <m:sSubSup>
                  <m:sSubSupPr>
                    <m:ctrlPr>
                      <w:rPr>
                        <w:rFonts w:ascii="Cambria Math" w:hAnsi="Cambria Math"/>
                        <w:i/>
                      </w:rPr>
                    </m:ctrlPr>
                  </m:sSubSupPr>
                  <m:e>
                    <m:r>
                      <w:rPr>
                        <w:rFonts w:ascii="Cambria Math" w:hAnsi="Cambria Math"/>
                      </w:rPr>
                      <m:t>θ</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sSub>
                      <m:sSubPr>
                        <m:ctrlPr>
                          <w:rPr>
                            <w:rFonts w:ascii="Cambria Math" w:hAnsi="Cambria Math"/>
                            <w:i/>
                          </w:rPr>
                        </m:ctrlPr>
                      </m:sSubPr>
                      <m:e>
                        <m:r>
                          <w:rPr>
                            <w:rFonts w:ascii="Cambria Math" w:hAnsi="Cambria Math"/>
                          </w:rPr>
                          <m:t>ε</m:t>
                        </m:r>
                      </m:e>
                      <m:sub>
                        <m:r>
                          <w:rPr>
                            <w:rFonts w:ascii="Cambria Math" w:hAnsi="Cambria Math"/>
                          </w:rPr>
                          <m:t>X</m:t>
                        </m:r>
                      </m:sub>
                    </m:sSub>
                  </m:sub>
                  <m:sup>
                    <m:r>
                      <w:rPr>
                        <w:rFonts w:ascii="Cambria Math" w:hAnsi="Cambria Math"/>
                      </w:rPr>
                      <m:t>2</m:t>
                    </m:r>
                  </m:sup>
                </m:sSubSup>
                <m:r>
                  <w:rPr>
                    <w:rFonts w:ascii="Cambria Math" w:hAnsi="Cambria Math"/>
                  </w:rPr>
                  <m:t xml:space="preserve">       for X=Y</m:t>
                </m:r>
              </m:e>
            </m:eqArr>
          </m:e>
        </m:d>
      </m:oMath>
      <w:r w:rsidR="00046863">
        <w:t xml:space="preserve">         (</w:t>
      </w:r>
      <w:r w:rsidR="007349FA">
        <w:t>3.</w:t>
      </w:r>
      <w:r w:rsidR="00046863">
        <w:t>4)</w:t>
      </w:r>
    </w:p>
    <w:p w14:paraId="3746AA48" w14:textId="77777777" w:rsidR="00046863" w:rsidRDefault="00046863" w:rsidP="00D9643D"/>
    <w:p w14:paraId="2CFF670C" w14:textId="1189CF92" w:rsidR="00046863" w:rsidRDefault="00046863" w:rsidP="00D9643D">
      <w:r w:rsidRPr="00B20A00">
        <w:t xml:space="preserve">From </w:t>
      </w:r>
      <w:r>
        <w:t>e</w:t>
      </w:r>
      <w:r w:rsidRPr="00B20A00">
        <w:t>quation</w:t>
      </w:r>
      <w:r w:rsidR="009873D7">
        <w:t xml:space="preserve"> </w:t>
      </w:r>
      <w:r w:rsidR="00381184">
        <w:t>(</w:t>
      </w:r>
      <w:r w:rsidR="009873D7">
        <w:t>3.4</w:t>
      </w:r>
      <w:r w:rsidR="00381184">
        <w:t>)</w:t>
      </w:r>
      <w:r w:rsidRPr="00B20A00">
        <w:t xml:space="preserve">, we </w:t>
      </w:r>
      <w:r>
        <w:t xml:space="preserve">now have six unknowns in six equations and </w:t>
      </w:r>
      <w:r w:rsidRPr="00B20A00">
        <w:t xml:space="preserve">are able to </w:t>
      </w:r>
      <w:r>
        <w:t>calculate</w:t>
      </w:r>
      <w:r w:rsidRPr="00B20A00">
        <w:t xml:space="preserve"> </w:t>
      </w:r>
      <w:r>
        <w:t>the root mean square error (</w:t>
      </w:r>
      <w:r w:rsidRPr="00B20A00">
        <w:t>RMSE</w:t>
      </w:r>
      <w:r>
        <w:t xml:space="preserve">) </w:t>
      </w:r>
      <w:r w:rsidRPr="00B20A00">
        <w:t>in the set of equations</w:t>
      </w:r>
      <w:r>
        <w:t xml:space="preserve"> (</w:t>
      </w:r>
      <w:r w:rsidR="007349FA">
        <w:t>3.</w:t>
      </w:r>
      <w:r>
        <w:t>5) that are</w:t>
      </w:r>
      <w:r w:rsidRPr="00B20A00">
        <w:t xml:space="preserve"> based on the covariance of triplets </w:t>
      </w:r>
      <w:r>
        <w:fldChar w:fldCharType="begin"/>
      </w:r>
      <w:r w:rsidR="00E45D53">
        <w:instrText xml:space="preserve"> ADDIN ZOTERO_ITEM CSL_CITATION {"citationID":"FAB8ZNBm","properties":{"formattedCitation":"(McColl et al., 2014)","plainCitation":"(McColl et al., 2014)","noteIndex":0},"citationItems":[{"id":158,"uris":["http://zotero.org/users/7782726/items/MQLJF9AV"],"uri":["http://zotero.org/users/7782726/items/MQLJF9AV"],"itemData":{"id":158,"type":"article-journal","container-title":"Geophysical research letters","issue":"17","note":"ISBN: 0094-8276\npublisher: Wiley Online Library","page":"6229-6236","title":"Extended triple collocation: Estimating errors and correlation coefficients with respect to an unknown target","volume":"41","author":[{"family":"McColl","given":"Kaighin A."},{"family":"Vogelzang","given":"Jur"},{"family":"Konings","given":"Alexandra G."},{"family":"Entekhabi","given":"Dara"},{"family":"Piles","given":"María"},{"family":"Stoffelen","given":"Ad"}],"issued":{"date-parts":[["2014"]]}}}],"schema":"https://github.com/citation-style-language/schema/raw/master/csl-citation.json"} </w:instrText>
      </w:r>
      <w:r>
        <w:fldChar w:fldCharType="separate"/>
      </w:r>
      <w:r w:rsidR="00E45D53" w:rsidRPr="00E45D53">
        <w:t>(McColl et al., 2014)</w:t>
      </w:r>
      <w:r>
        <w:fldChar w:fldCharType="end"/>
      </w:r>
      <w:r w:rsidRPr="00B20A00">
        <w:t>:</w:t>
      </w:r>
    </w:p>
    <w:p w14:paraId="5D20F77F" w14:textId="77777777" w:rsidR="00046863" w:rsidRPr="00B20A00" w:rsidRDefault="00046863" w:rsidP="00D9643D"/>
    <w:tbl>
      <w:tblPr>
        <w:tblW w:w="5000" w:type="pct"/>
        <w:jc w:val="center"/>
        <w:tblLook w:val="04A0" w:firstRow="1" w:lastRow="0" w:firstColumn="1" w:lastColumn="0" w:noHBand="0" w:noVBand="1"/>
      </w:tblPr>
      <w:tblGrid>
        <w:gridCol w:w="8639"/>
        <w:gridCol w:w="721"/>
      </w:tblGrid>
      <w:tr w:rsidR="00046863" w:rsidRPr="00B20A00" w14:paraId="230BF40D" w14:textId="77777777" w:rsidTr="00BA4492">
        <w:trPr>
          <w:jc w:val="center"/>
        </w:trPr>
        <w:tc>
          <w:tcPr>
            <w:tcW w:w="4615" w:type="pct"/>
            <w:shd w:val="clear" w:color="auto" w:fill="auto"/>
            <w:vAlign w:val="center"/>
          </w:tcPr>
          <w:p w14:paraId="54C3AF8F" w14:textId="307C9E2F" w:rsidR="00046863" w:rsidRPr="00B20A00" w:rsidRDefault="00143C6C" w:rsidP="009037AD">
            <w:pPr>
              <w:jc w:val="center"/>
            </w:pPr>
            <m:oMath>
              <m:sSub>
                <m:sSubPr>
                  <m:ctrlPr>
                    <w:rPr>
                      <w:rFonts w:ascii="Cambria Math" w:hAnsi="Cambria Math"/>
                      <w:i/>
                    </w:rPr>
                  </m:ctrlPr>
                </m:sSubPr>
                <m:e>
                  <m:r>
                    <w:rPr>
                      <w:rFonts w:ascii="Cambria Math" w:hAnsi="Cambria Math"/>
                    </w:rPr>
                    <m:t>σ</m:t>
                  </m:r>
                </m:e>
                <m:sub>
                  <m:r>
                    <w:rPr>
                      <w:rFonts w:ascii="Cambria Math" w:hAnsi="Cambria Math"/>
                    </w:rPr>
                    <m:t>ε</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Q</m:t>
                              </m:r>
                            </m:e>
                            <m:sub>
                              <m:r>
                                <w:rPr>
                                  <w:rFonts w:ascii="Cambria Math" w:hAnsi="Cambria Math"/>
                                </w:rPr>
                                <m:t>XX</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XY</m:t>
                                  </m:r>
                                </m:sub>
                              </m:sSub>
                              <m:sSub>
                                <m:sSubPr>
                                  <m:ctrlPr>
                                    <w:rPr>
                                      <w:rFonts w:ascii="Cambria Math" w:hAnsi="Cambria Math"/>
                                      <w:i/>
                                    </w:rPr>
                                  </m:ctrlPr>
                                </m:sSubPr>
                                <m:e>
                                  <m:r>
                                    <w:rPr>
                                      <w:rFonts w:ascii="Cambria Math" w:hAnsi="Cambria Math"/>
                                    </w:rPr>
                                    <m:t>Q</m:t>
                                  </m:r>
                                </m:e>
                                <m:sub>
                                  <m:r>
                                    <w:rPr>
                                      <w:rFonts w:ascii="Cambria Math" w:hAnsi="Cambria Math"/>
                                    </w:rPr>
                                    <m:t>XZ</m:t>
                                  </m:r>
                                </m:sub>
                              </m:sSub>
                            </m:num>
                            <m:den>
                              <m:sSub>
                                <m:sSubPr>
                                  <m:ctrlPr>
                                    <w:rPr>
                                      <w:rFonts w:ascii="Cambria Math" w:hAnsi="Cambria Math"/>
                                      <w:i/>
                                    </w:rPr>
                                  </m:ctrlPr>
                                </m:sSubPr>
                                <m:e>
                                  <m:r>
                                    <w:rPr>
                                      <w:rFonts w:ascii="Cambria Math" w:hAnsi="Cambria Math"/>
                                    </w:rPr>
                                    <m:t>Q</m:t>
                                  </m:r>
                                </m:e>
                                <m:sub>
                                  <m:r>
                                    <w:rPr>
                                      <w:rFonts w:ascii="Cambria Math" w:hAnsi="Cambria Math"/>
                                    </w:rPr>
                                    <m:t>YZ</m:t>
                                  </m:r>
                                </m:sub>
                              </m:sSub>
                            </m:den>
                          </m:f>
                        </m:e>
                      </m:rad>
                    </m:e>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Q</m:t>
                              </m:r>
                            </m:e>
                            <m:sub>
                              <m:r>
                                <w:rPr>
                                  <w:rFonts w:ascii="Cambria Math" w:hAnsi="Cambria Math"/>
                                </w:rPr>
                                <m:t>YY</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XY</m:t>
                                  </m:r>
                                </m:sub>
                              </m:sSub>
                              <m:sSub>
                                <m:sSubPr>
                                  <m:ctrlPr>
                                    <w:rPr>
                                      <w:rFonts w:ascii="Cambria Math" w:hAnsi="Cambria Math"/>
                                      <w:i/>
                                    </w:rPr>
                                  </m:ctrlPr>
                                </m:sSubPr>
                                <m:e>
                                  <m:r>
                                    <w:rPr>
                                      <w:rFonts w:ascii="Cambria Math" w:hAnsi="Cambria Math"/>
                                    </w:rPr>
                                    <m:t>Q</m:t>
                                  </m:r>
                                </m:e>
                                <m:sub>
                                  <m:r>
                                    <w:rPr>
                                      <w:rFonts w:ascii="Cambria Math" w:hAnsi="Cambria Math"/>
                                    </w:rPr>
                                    <m:t>YZ</m:t>
                                  </m:r>
                                </m:sub>
                              </m:sSub>
                            </m:num>
                            <m:den>
                              <m:sSub>
                                <m:sSubPr>
                                  <m:ctrlPr>
                                    <w:rPr>
                                      <w:rFonts w:ascii="Cambria Math" w:hAnsi="Cambria Math"/>
                                      <w:i/>
                                    </w:rPr>
                                  </m:ctrlPr>
                                </m:sSubPr>
                                <m:e>
                                  <m:r>
                                    <w:rPr>
                                      <w:rFonts w:ascii="Cambria Math" w:hAnsi="Cambria Math"/>
                                    </w:rPr>
                                    <m:t>Q</m:t>
                                  </m:r>
                                </m:e>
                                <m:sub>
                                  <m:r>
                                    <w:rPr>
                                      <w:rFonts w:ascii="Cambria Math" w:hAnsi="Cambria Math"/>
                                    </w:rPr>
                                    <m:t>XZ</m:t>
                                  </m:r>
                                </m:sub>
                              </m:sSub>
                            </m:den>
                          </m:f>
                        </m:e>
                      </m:rad>
                    </m:e>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Q</m:t>
                              </m:r>
                            </m:e>
                            <m:sub>
                              <m:r>
                                <w:rPr>
                                  <w:rFonts w:ascii="Cambria Math" w:hAnsi="Cambria Math"/>
                                </w:rPr>
                                <m:t>ZZ</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XZ</m:t>
                                  </m:r>
                                </m:sub>
                              </m:sSub>
                              <m:sSub>
                                <m:sSubPr>
                                  <m:ctrlPr>
                                    <w:rPr>
                                      <w:rFonts w:ascii="Cambria Math" w:hAnsi="Cambria Math"/>
                                      <w:i/>
                                    </w:rPr>
                                  </m:ctrlPr>
                                </m:sSubPr>
                                <m:e>
                                  <m:r>
                                    <w:rPr>
                                      <w:rFonts w:ascii="Cambria Math" w:hAnsi="Cambria Math"/>
                                    </w:rPr>
                                    <m:t>Q</m:t>
                                  </m:r>
                                </m:e>
                                <m:sub>
                                  <m:r>
                                    <w:rPr>
                                      <w:rFonts w:ascii="Cambria Math" w:hAnsi="Cambria Math"/>
                                    </w:rPr>
                                    <m:t>YZ</m:t>
                                  </m:r>
                                </m:sub>
                              </m:sSub>
                            </m:num>
                            <m:den>
                              <m:sSub>
                                <m:sSubPr>
                                  <m:ctrlPr>
                                    <w:rPr>
                                      <w:rFonts w:ascii="Cambria Math" w:hAnsi="Cambria Math"/>
                                      <w:i/>
                                    </w:rPr>
                                  </m:ctrlPr>
                                </m:sSubPr>
                                <m:e>
                                  <m:r>
                                    <w:rPr>
                                      <w:rFonts w:ascii="Cambria Math" w:hAnsi="Cambria Math"/>
                                    </w:rPr>
                                    <m:t>Q</m:t>
                                  </m:r>
                                </m:e>
                                <m:sub>
                                  <m:r>
                                    <w:rPr>
                                      <w:rFonts w:ascii="Cambria Math" w:hAnsi="Cambria Math"/>
                                    </w:rPr>
                                    <m:t>XY</m:t>
                                  </m:r>
                                </m:sub>
                              </m:sSub>
                            </m:den>
                          </m:f>
                        </m:e>
                      </m:rad>
                    </m:e>
                  </m:eqArr>
                </m:e>
              </m:d>
            </m:oMath>
            <w:r w:rsidR="00046863" w:rsidRPr="00B20A00">
              <w:t xml:space="preserve">    </w:t>
            </w:r>
            <w:r w:rsidR="00046863">
              <w:t xml:space="preserve">     (</w:t>
            </w:r>
            <w:r w:rsidR="007349FA">
              <w:t>3.</w:t>
            </w:r>
            <w:r w:rsidR="00046863">
              <w:t>5)</w:t>
            </w:r>
          </w:p>
        </w:tc>
        <w:tc>
          <w:tcPr>
            <w:tcW w:w="385" w:type="pct"/>
            <w:shd w:val="clear" w:color="auto" w:fill="auto"/>
            <w:vAlign w:val="center"/>
          </w:tcPr>
          <w:p w14:paraId="7232D46B" w14:textId="77777777" w:rsidR="00046863" w:rsidRPr="00B20A00" w:rsidRDefault="00046863" w:rsidP="00D9643D"/>
        </w:tc>
      </w:tr>
    </w:tbl>
    <w:p w14:paraId="1C9E4ED9" w14:textId="77777777" w:rsidR="00046863" w:rsidRPr="001C58A3" w:rsidRDefault="00046863" w:rsidP="00046863">
      <w:pPr>
        <w:pStyle w:val="MDPI31text"/>
        <w:ind w:firstLine="0"/>
        <w:rPr>
          <w:spacing w:val="-2"/>
        </w:rPr>
      </w:pPr>
    </w:p>
    <w:p w14:paraId="10B8BFB9" w14:textId="29561715" w:rsidR="00046863" w:rsidRDefault="002119B1" w:rsidP="002119B1">
      <w:pPr>
        <w:pStyle w:val="3"/>
      </w:pPr>
      <w:bookmarkStart w:id="109" w:name="_Toc75939852"/>
      <w:r>
        <w:lastRenderedPageBreak/>
        <w:t xml:space="preserve">3.3.3 </w:t>
      </w:r>
      <w:r w:rsidRPr="002119B1">
        <w:t>Extended Triple Collocation</w:t>
      </w:r>
      <w:bookmarkEnd w:id="109"/>
    </w:p>
    <w:p w14:paraId="5B04DCEA" w14:textId="55561781" w:rsidR="008A359D" w:rsidRDefault="008A359D" w:rsidP="008A359D">
      <w:r>
        <w:t>U</w:t>
      </w:r>
      <w:r w:rsidRPr="00433B74">
        <w:t xml:space="preserve">sing the same assumptions as TC, </w:t>
      </w:r>
      <w:r w:rsidRPr="00C22535">
        <w:t xml:space="preserve">McColl et al. </w:t>
      </w:r>
      <w:r w:rsidR="006060C0">
        <w:fldChar w:fldCharType="begin"/>
      </w:r>
      <w:r w:rsidR="00A8211B">
        <w:instrText xml:space="preserve"> ADDIN ZOTERO_ITEM CSL_CITATION {"citationID":"xL2OSZWH","properties":{"formattedCitation":"(McColl et al., 2014)","plainCitation":"(McColl et al., 2014)","dontUpdate":true,"noteIndex":0},"citationItems":[{"id":158,"uris":["http://zotero.org/users/7782726/items/MQLJF9AV"],"uri":["http://zotero.org/users/7782726/items/MQLJF9AV"],"itemData":{"id":158,"type":"article-journal","container-title":"Geophysical research letters","issue":"17","note":"ISBN: 0094-8276\npublisher: Wiley Online Library","page":"6229-6236","title":"Extended triple collocation: Estimating errors and correlation coefficients with respect to an unknown target","volume":"41","author":[{"family":"McColl","given":"Kaighin A."},{"family":"Vogelzang","given":"Jur"},{"family":"Konings","given":"Alexandra G."},{"family":"Entekhabi","given":"Dara"},{"family":"Piles","given":"María"},{"family":"Stoffelen","given":"Ad"}],"issued":{"date-parts":[["2014"]]}}}],"schema":"https://github.com/citation-style-language/schema/raw/master/csl-citation.json"} </w:instrText>
      </w:r>
      <w:r w:rsidR="006060C0">
        <w:fldChar w:fldCharType="separate"/>
      </w:r>
      <w:r w:rsidR="006060C0" w:rsidRPr="006060C0">
        <w:t>(2014)</w:t>
      </w:r>
      <w:r w:rsidR="006060C0">
        <w:fldChar w:fldCharType="end"/>
      </w:r>
      <w:r w:rsidR="006060C0">
        <w:t xml:space="preserve"> </w:t>
      </w:r>
      <w:r>
        <w:t>introduced</w:t>
      </w:r>
      <w:r w:rsidRPr="00433B74">
        <w:t xml:space="preserve"> an additional performance metric, the </w:t>
      </w:r>
      <w:r>
        <w:t xml:space="preserve">Pearson </w:t>
      </w:r>
      <w:r w:rsidRPr="00433B74">
        <w:t>correlation coefficient</w:t>
      </w:r>
      <w:r>
        <w:t xml:space="preserve"> (CC)</w:t>
      </w:r>
      <w:r w:rsidRPr="00433B74">
        <w:t xml:space="preserve"> of the</w:t>
      </w:r>
      <w:r>
        <w:t xml:space="preserve"> </w:t>
      </w:r>
      <w:r w:rsidRPr="00433B74">
        <w:t>measurement system with respect to the unknown target</w:t>
      </w:r>
      <w:r>
        <w:t xml:space="preserve"> </w:t>
      </w:r>
      <w:r w:rsidRPr="00C22535">
        <w:t>with the called “ETC” method in which CC is calculated as a set of equations (</w:t>
      </w:r>
      <w:r w:rsidR="007349FA">
        <w:t>3.</w:t>
      </w:r>
      <w:r>
        <w:t>6</w:t>
      </w:r>
      <w:r w:rsidRPr="00C22535">
        <w:t>).</w:t>
      </w:r>
    </w:p>
    <w:p w14:paraId="649BEED2" w14:textId="77777777" w:rsidR="008A359D" w:rsidRPr="00C22535" w:rsidRDefault="008A359D" w:rsidP="008A359D"/>
    <w:tbl>
      <w:tblPr>
        <w:tblW w:w="5000" w:type="pct"/>
        <w:tblLook w:val="04A0" w:firstRow="1" w:lastRow="0" w:firstColumn="1" w:lastColumn="0" w:noHBand="0" w:noVBand="1"/>
      </w:tblPr>
      <w:tblGrid>
        <w:gridCol w:w="8639"/>
        <w:gridCol w:w="721"/>
      </w:tblGrid>
      <w:tr w:rsidR="008A359D" w:rsidRPr="00C22535" w14:paraId="13BADA0A" w14:textId="77777777" w:rsidTr="00EF4F42">
        <w:tc>
          <w:tcPr>
            <w:tcW w:w="4615" w:type="pct"/>
            <w:shd w:val="clear" w:color="auto" w:fill="auto"/>
            <w:vAlign w:val="center"/>
          </w:tcPr>
          <w:p w14:paraId="4D25EB1E" w14:textId="77777777" w:rsidR="008A359D" w:rsidRPr="003E50C8" w:rsidRDefault="00143C6C" w:rsidP="008A359D">
            <m:oMathPara>
              <m:oMath>
                <m:d>
                  <m:dPr>
                    <m:begChr m:val="{"/>
                    <m:endChr m:val=""/>
                    <m:ctrlPr>
                      <w:rPr>
                        <w:rFonts w:ascii="Cambria Math" w:hAnsi="Cambria Math"/>
                        <w:i/>
                        <w:lang w:eastAsia="zh-CN"/>
                      </w:rPr>
                    </m:ctrlPr>
                  </m:dPr>
                  <m:e>
                    <m:eqArr>
                      <m:eqArrPr>
                        <m:ctrlPr>
                          <w:rPr>
                            <w:rFonts w:ascii="Cambria Math" w:hAnsi="Cambria Math"/>
                            <w:i/>
                            <w:lang w:eastAsia="zh-CN"/>
                          </w:rPr>
                        </m:ctrlPr>
                      </m:eqArrPr>
                      <m:e>
                        <m:sSup>
                          <m:sSupPr>
                            <m:ctrlPr>
                              <w:rPr>
                                <w:rFonts w:ascii="Cambria Math" w:hAnsi="Cambria Math"/>
                                <w:i/>
                                <w:lang w:eastAsia="zh-CN"/>
                              </w:rPr>
                            </m:ctrlPr>
                          </m:sSupPr>
                          <m:e>
                            <m:sSub>
                              <m:sSubPr>
                                <m:ctrlPr>
                                  <w:rPr>
                                    <w:rFonts w:ascii="Cambria Math" w:hAnsi="Cambria Math"/>
                                    <w:i/>
                                    <w:lang w:eastAsia="zh-CN"/>
                                  </w:rPr>
                                </m:ctrlPr>
                              </m:sSubPr>
                              <m:e>
                                <m:r>
                                  <w:rPr>
                                    <w:rFonts w:ascii="Cambria Math" w:hAnsi="Cambria Math"/>
                                    <w:lang w:eastAsia="zh-CN"/>
                                  </w:rPr>
                                  <m:t>CC</m:t>
                                </m:r>
                              </m:e>
                              <m:sub>
                                <m:r>
                                  <w:rPr>
                                    <w:rFonts w:ascii="Cambria Math" w:hAnsi="Cambria Math"/>
                                    <w:lang w:eastAsia="zh-CN"/>
                                  </w:rPr>
                                  <m:t>X</m:t>
                                </m:r>
                              </m:sub>
                            </m:sSub>
                          </m:e>
                          <m:sup>
                            <m:r>
                              <w:rPr>
                                <w:rFonts w:ascii="Cambria Math" w:hAnsi="Cambria Math"/>
                                <w:lang w:eastAsia="zh-CN"/>
                              </w:rPr>
                              <m:t>2</m:t>
                            </m:r>
                          </m:sup>
                        </m:sSup>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XY</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XZ</m:t>
                                </m:r>
                              </m:sub>
                            </m:sSub>
                          </m:num>
                          <m:den>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XX</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YZ</m:t>
                                </m:r>
                              </m:sub>
                            </m:sSub>
                          </m:den>
                        </m:f>
                      </m:e>
                      <m:e>
                        <m:sSup>
                          <m:sSupPr>
                            <m:ctrlPr>
                              <w:rPr>
                                <w:rFonts w:ascii="Cambria Math" w:hAnsi="Cambria Math"/>
                                <w:i/>
                                <w:lang w:eastAsia="zh-CN"/>
                              </w:rPr>
                            </m:ctrlPr>
                          </m:sSupPr>
                          <m:e>
                            <m:sSub>
                              <m:sSubPr>
                                <m:ctrlPr>
                                  <w:rPr>
                                    <w:rFonts w:ascii="Cambria Math" w:hAnsi="Cambria Math"/>
                                    <w:i/>
                                    <w:lang w:eastAsia="zh-CN"/>
                                  </w:rPr>
                                </m:ctrlPr>
                              </m:sSubPr>
                              <m:e>
                                <m:r>
                                  <w:rPr>
                                    <w:rFonts w:ascii="Cambria Math" w:hAnsi="Cambria Math"/>
                                    <w:lang w:eastAsia="zh-CN"/>
                                  </w:rPr>
                                  <m:t>CC</m:t>
                                </m:r>
                              </m:e>
                              <m:sub>
                                <m:r>
                                  <w:rPr>
                                    <w:rFonts w:ascii="Cambria Math" w:hAnsi="Cambria Math"/>
                                    <w:lang w:eastAsia="zh-CN"/>
                                  </w:rPr>
                                  <m:t>Y</m:t>
                                </m:r>
                              </m:sub>
                            </m:sSub>
                          </m:e>
                          <m:sup>
                            <m:r>
                              <w:rPr>
                                <w:rFonts w:ascii="Cambria Math" w:hAnsi="Cambria Math"/>
                                <w:lang w:eastAsia="zh-CN"/>
                              </w:rPr>
                              <m:t>2</m:t>
                            </m:r>
                          </m:sup>
                        </m:sSup>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XY</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YZ</m:t>
                                </m:r>
                              </m:sub>
                            </m:sSub>
                          </m:num>
                          <m:den>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YY</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XZ</m:t>
                                </m:r>
                              </m:sub>
                            </m:sSub>
                          </m:den>
                        </m:f>
                      </m:e>
                      <m:e>
                        <m:sSup>
                          <m:sSupPr>
                            <m:ctrlPr>
                              <w:rPr>
                                <w:rFonts w:ascii="Cambria Math" w:hAnsi="Cambria Math"/>
                                <w:i/>
                                <w:lang w:eastAsia="zh-CN"/>
                              </w:rPr>
                            </m:ctrlPr>
                          </m:sSupPr>
                          <m:e>
                            <m:sSub>
                              <m:sSubPr>
                                <m:ctrlPr>
                                  <w:rPr>
                                    <w:rFonts w:ascii="Cambria Math" w:hAnsi="Cambria Math"/>
                                    <w:i/>
                                    <w:lang w:eastAsia="zh-CN"/>
                                  </w:rPr>
                                </m:ctrlPr>
                              </m:sSubPr>
                              <m:e>
                                <m:r>
                                  <w:rPr>
                                    <w:rFonts w:ascii="Cambria Math" w:hAnsi="Cambria Math"/>
                                    <w:lang w:eastAsia="zh-CN"/>
                                  </w:rPr>
                                  <m:t>CC</m:t>
                                </m:r>
                              </m:e>
                              <m:sub>
                                <m:r>
                                  <w:rPr>
                                    <w:rFonts w:ascii="Cambria Math" w:hAnsi="Cambria Math"/>
                                    <w:lang w:eastAsia="zh-CN"/>
                                  </w:rPr>
                                  <m:t>Z</m:t>
                                </m:r>
                              </m:sub>
                            </m:sSub>
                          </m:e>
                          <m:sup>
                            <m:r>
                              <w:rPr>
                                <w:rFonts w:ascii="Cambria Math" w:hAnsi="Cambria Math"/>
                                <w:lang w:eastAsia="zh-CN"/>
                              </w:rPr>
                              <m:t>2</m:t>
                            </m:r>
                          </m:sup>
                        </m:sSup>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XZ</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YZ</m:t>
                                </m:r>
                              </m:sub>
                            </m:sSub>
                          </m:num>
                          <m:den>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ZZ</m:t>
                                </m:r>
                              </m:sub>
                            </m:sSub>
                            <m:sSub>
                              <m:sSubPr>
                                <m:ctrlPr>
                                  <w:rPr>
                                    <w:rFonts w:ascii="Cambria Math" w:hAnsi="Cambria Math"/>
                                    <w:i/>
                                    <w:lang w:eastAsia="zh-CN"/>
                                  </w:rPr>
                                </m:ctrlPr>
                              </m:sSubPr>
                              <m:e>
                                <m:r>
                                  <w:rPr>
                                    <w:rFonts w:ascii="Cambria Math" w:hAnsi="Cambria Math"/>
                                    <w:lang w:eastAsia="zh-CN"/>
                                  </w:rPr>
                                  <m:t>Q</m:t>
                                </m:r>
                              </m:e>
                              <m:sub>
                                <m:r>
                                  <w:rPr>
                                    <w:rFonts w:ascii="Cambria Math" w:hAnsi="Cambria Math"/>
                                    <w:lang w:eastAsia="zh-CN"/>
                                  </w:rPr>
                                  <m:t>XY</m:t>
                                </m:r>
                              </m:sub>
                            </m:sSub>
                          </m:den>
                        </m:f>
                      </m:e>
                    </m:eqArr>
                  </m:e>
                </m:d>
              </m:oMath>
            </m:oMathPara>
          </w:p>
        </w:tc>
        <w:tc>
          <w:tcPr>
            <w:tcW w:w="385" w:type="pct"/>
            <w:shd w:val="clear" w:color="auto" w:fill="auto"/>
            <w:vAlign w:val="center"/>
          </w:tcPr>
          <w:p w14:paraId="42B9CF44" w14:textId="766D627B" w:rsidR="008A359D" w:rsidRDefault="008A359D" w:rsidP="008A359D">
            <w:pPr>
              <w:ind w:firstLine="0"/>
            </w:pPr>
            <w:r w:rsidRPr="00C22535">
              <w:t>(</w:t>
            </w:r>
            <w:r w:rsidR="007349FA">
              <w:t>3.</w:t>
            </w:r>
            <w:r w:rsidRPr="00C22535">
              <w:fldChar w:fldCharType="begin"/>
            </w:r>
            <w:r w:rsidRPr="00C22535">
              <w:instrText xml:space="preserve"> EQ </w:instrText>
            </w:r>
            <w:r w:rsidRPr="00C22535">
              <w:fldChar w:fldCharType="end"/>
            </w:r>
            <w:r>
              <w:t>6</w:t>
            </w:r>
            <w:r w:rsidRPr="00C22535">
              <w:t>)</w:t>
            </w:r>
          </w:p>
          <w:p w14:paraId="6D5136B9" w14:textId="77777777" w:rsidR="008A359D" w:rsidRDefault="008A359D" w:rsidP="008A359D"/>
          <w:p w14:paraId="5FAD3AEF" w14:textId="77777777" w:rsidR="008A359D" w:rsidRPr="00C22535" w:rsidRDefault="008A359D" w:rsidP="008A359D"/>
        </w:tc>
      </w:tr>
    </w:tbl>
    <w:p w14:paraId="66C04017" w14:textId="6AF8DA58" w:rsidR="002119B1" w:rsidRDefault="001443A3" w:rsidP="001443A3">
      <w:pPr>
        <w:pStyle w:val="3"/>
      </w:pPr>
      <w:bookmarkStart w:id="110" w:name="_Toc75939853"/>
      <w:r>
        <w:t xml:space="preserve">3.3.4 </w:t>
      </w:r>
      <w:r w:rsidRPr="001443A3">
        <w:t>Use of the Classical and Extended Triple Collocation for the Three Testing Products</w:t>
      </w:r>
      <w:bookmarkEnd w:id="110"/>
    </w:p>
    <w:p w14:paraId="67DD4519" w14:textId="2BB999FD" w:rsidR="001443A3" w:rsidRDefault="00C758D0" w:rsidP="00C758D0">
      <w:r w:rsidRPr="00C758D0">
        <w:t xml:space="preserve">The mathematical derivations explained in equations </w:t>
      </w:r>
      <w:r w:rsidR="007349FA">
        <w:t>3.</w:t>
      </w:r>
      <w:r w:rsidRPr="00C758D0">
        <w:t xml:space="preserve">4 through </w:t>
      </w:r>
      <w:r w:rsidR="007349FA">
        <w:t>3.</w:t>
      </w:r>
      <w:r w:rsidRPr="00C758D0">
        <w:t>6 will be used to conduct the evaluation of the three study products (i.e.</w:t>
      </w:r>
      <w:r w:rsidR="00FC60C9">
        <w:t>,</w:t>
      </w:r>
      <w:r w:rsidRPr="00C758D0">
        <w:t xml:space="preserve"> SMAP, Noah and Mesonet) in light of the TC method. Since both RMSE and CC are derived from covariances between the three products, they reveal the relative error as a measurement of the uncertainty. Therefore, the least uncertain product, represented by the lowest RMSE and highest CC, will have the best performance. Likewise, the most uncertain product will be associated with the highest RMSE and lowest CC. Results are presented through gridded maps of instantaneous and seasonally-discretized (i.e.</w:t>
      </w:r>
      <w:r w:rsidR="00FC60C9">
        <w:t>,</w:t>
      </w:r>
      <w:r w:rsidRPr="00C758D0">
        <w:t xml:space="preserve"> </w:t>
      </w:r>
      <w:r w:rsidR="00FC60C9">
        <w:t>s</w:t>
      </w:r>
      <w:r w:rsidRPr="00C758D0">
        <w:t xml:space="preserve">pring, </w:t>
      </w:r>
      <w:r w:rsidR="00FC60C9">
        <w:t>s</w:t>
      </w:r>
      <w:r w:rsidRPr="00C758D0">
        <w:t xml:space="preserve">ummer, </w:t>
      </w:r>
      <w:r w:rsidR="00FC60C9">
        <w:t>f</w:t>
      </w:r>
      <w:r w:rsidRPr="00C758D0">
        <w:t xml:space="preserve">all, </w:t>
      </w:r>
      <w:r w:rsidR="00FC60C9">
        <w:t>w</w:t>
      </w:r>
      <w:r w:rsidRPr="00C758D0">
        <w:t xml:space="preserve">inter) RMSE and CC and boxplots for groups of pixels with the same land cover type. The instantaneous values for comparison are extracted for two </w:t>
      </w:r>
      <w:r w:rsidR="00FC60C9" w:rsidRPr="00C758D0">
        <w:t>hours</w:t>
      </w:r>
      <w:r w:rsidRPr="00C758D0">
        <w:t xml:space="preserve"> of the day, 6:00 am and 6:00 pm, determined by the available SMAP satellite geographical overpasses during the time period of April 2015 to July 2019. The TC analysis is conducted over Oklahoma and the different land cover types are extracted from the auxiliary data (see section </w:t>
      </w:r>
      <w:r w:rsidR="007349FA">
        <w:t>3.</w:t>
      </w:r>
      <w:r w:rsidRPr="00C758D0">
        <w:t xml:space="preserve">2.4) to test the degree of dependency of each product’s performance with the land cover class. According to the NLCD 2016 product, there </w:t>
      </w:r>
      <w:r w:rsidRPr="00C758D0">
        <w:lastRenderedPageBreak/>
        <w:t xml:space="preserve">are fifteen (15) land cover types in the state (Figure </w:t>
      </w:r>
      <w:r w:rsidR="007349FA">
        <w:t>3.</w:t>
      </w:r>
      <w:r w:rsidRPr="00C758D0">
        <w:t>1). Table 3</w:t>
      </w:r>
      <w:r w:rsidR="007349FA">
        <w:t>.3</w:t>
      </w:r>
      <w:r w:rsidRPr="00C758D0">
        <w:t xml:space="preserve"> contains the number of selected TC intercomparison pixels with a spatial resolution of nine (9) km for each land cover type in Oklahoma except open water, woody wetlands and emergent herbaceous wetlands. With the aim of achieving statistical representativeness and preserving class diversity, the developed low intensity, medium intensity and high intensity are classified as one land cover type “developed.” Moreover, the triple product comparison was conducted for land cover types with more than 10 co-located pixels state-wide.</w:t>
      </w:r>
    </w:p>
    <w:p w14:paraId="1160FFC8" w14:textId="77777777" w:rsidR="00B64535" w:rsidRDefault="00B64535" w:rsidP="00C758D0"/>
    <w:p w14:paraId="56DA6285" w14:textId="582C3366" w:rsidR="003F7969" w:rsidRDefault="003F7969" w:rsidP="003F7969">
      <w:pPr>
        <w:pStyle w:val="a3"/>
        <w:keepNext/>
      </w:pPr>
      <w:bookmarkStart w:id="111" w:name="_Toc75361145"/>
      <w:r>
        <w:t xml:space="preserve">Table </w:t>
      </w:r>
      <w:r w:rsidR="00DB3F1A">
        <w:t>3</w:t>
      </w:r>
      <w:r w:rsidR="00685F41">
        <w:t>.</w:t>
      </w:r>
      <w:r>
        <w:fldChar w:fldCharType="begin"/>
      </w:r>
      <w:r>
        <w:instrText>SEQ Table \* ARABIC \s 1</w:instrText>
      </w:r>
      <w:r>
        <w:fldChar w:fldCharType="separate"/>
      </w:r>
      <w:r w:rsidR="00492676">
        <w:rPr>
          <w:noProof/>
        </w:rPr>
        <w:t>3</w:t>
      </w:r>
      <w:r>
        <w:fldChar w:fldCharType="end"/>
      </w:r>
      <w:r>
        <w:t>.</w:t>
      </w:r>
      <w:r w:rsidR="00226CE0" w:rsidRPr="00226CE0">
        <w:t xml:space="preserve"> </w:t>
      </w:r>
      <w:r w:rsidR="00226CE0" w:rsidRPr="00226CE0">
        <w:rPr>
          <w:b w:val="0"/>
          <w:bCs w:val="0"/>
        </w:rPr>
        <w:t>Number of 9kmx9km grid cells in each of the land cover types in Oklahoma.</w:t>
      </w:r>
      <w:bookmarkEnd w:id="111"/>
      <w:r>
        <w:t xml:space="preserve"> </w:t>
      </w:r>
    </w:p>
    <w:tbl>
      <w:tblPr>
        <w:tblW w:w="0" w:type="auto"/>
        <w:jc w:val="center"/>
        <w:tblLook w:val="04A0" w:firstRow="1" w:lastRow="0" w:firstColumn="1" w:lastColumn="0" w:noHBand="0" w:noVBand="1"/>
      </w:tblPr>
      <w:tblGrid>
        <w:gridCol w:w="4530"/>
        <w:gridCol w:w="4530"/>
      </w:tblGrid>
      <w:tr w:rsidR="00F906F6" w14:paraId="53B20B7F" w14:textId="77777777" w:rsidTr="00F906F6">
        <w:trPr>
          <w:jc w:val="center"/>
        </w:trPr>
        <w:tc>
          <w:tcPr>
            <w:tcW w:w="4530" w:type="dxa"/>
            <w:tcBorders>
              <w:top w:val="single" w:sz="4" w:space="0" w:color="auto"/>
              <w:bottom w:val="single" w:sz="4" w:space="0" w:color="auto"/>
            </w:tcBorders>
            <w:shd w:val="clear" w:color="auto" w:fill="auto"/>
          </w:tcPr>
          <w:p w14:paraId="4FF45660" w14:textId="77777777" w:rsidR="00F906F6" w:rsidRPr="00D94BE1" w:rsidRDefault="00F906F6" w:rsidP="00EF4F42">
            <w:pPr>
              <w:jc w:val="center"/>
              <w:rPr>
                <w:rFonts w:ascii="Palatino Linotype" w:hAnsi="Palatino Linotype"/>
                <w:b/>
                <w:bCs/>
                <w:sz w:val="20"/>
              </w:rPr>
            </w:pPr>
            <w:r w:rsidRPr="00D94BE1">
              <w:rPr>
                <w:rFonts w:ascii="Palatino Linotype" w:hAnsi="Palatino Linotype"/>
                <w:b/>
                <w:bCs/>
                <w:sz w:val="20"/>
              </w:rPr>
              <w:t>Land Cover Type</w:t>
            </w:r>
          </w:p>
        </w:tc>
        <w:tc>
          <w:tcPr>
            <w:tcW w:w="4530" w:type="dxa"/>
            <w:tcBorders>
              <w:top w:val="single" w:sz="4" w:space="0" w:color="auto"/>
              <w:bottom w:val="single" w:sz="4" w:space="0" w:color="auto"/>
            </w:tcBorders>
            <w:shd w:val="clear" w:color="auto" w:fill="auto"/>
          </w:tcPr>
          <w:p w14:paraId="6BA27D69" w14:textId="77777777" w:rsidR="00F906F6" w:rsidRPr="00D94BE1" w:rsidRDefault="00F906F6" w:rsidP="00EF4F42">
            <w:pPr>
              <w:jc w:val="center"/>
              <w:rPr>
                <w:rFonts w:ascii="Palatino Linotype" w:hAnsi="Palatino Linotype"/>
                <w:b/>
                <w:bCs/>
                <w:sz w:val="20"/>
              </w:rPr>
            </w:pPr>
            <w:r w:rsidRPr="00D94BE1">
              <w:rPr>
                <w:rFonts w:ascii="Palatino Linotype" w:hAnsi="Palatino Linotype"/>
                <w:b/>
                <w:bCs/>
                <w:sz w:val="20"/>
              </w:rPr>
              <w:t xml:space="preserve">Number of </w:t>
            </w:r>
            <w:r>
              <w:rPr>
                <w:rFonts w:ascii="Palatino Linotype" w:hAnsi="Palatino Linotype"/>
                <w:b/>
                <w:bCs/>
                <w:sz w:val="20"/>
              </w:rPr>
              <w:t xml:space="preserve">Co-located </w:t>
            </w:r>
            <w:r w:rsidRPr="00D94BE1">
              <w:rPr>
                <w:rFonts w:ascii="Palatino Linotype" w:hAnsi="Palatino Linotype"/>
                <w:b/>
                <w:bCs/>
                <w:sz w:val="20"/>
              </w:rPr>
              <w:t>Pixels</w:t>
            </w:r>
          </w:p>
        </w:tc>
      </w:tr>
      <w:tr w:rsidR="00F906F6" w14:paraId="04E53C52" w14:textId="77777777" w:rsidTr="00F906F6">
        <w:trPr>
          <w:jc w:val="center"/>
        </w:trPr>
        <w:tc>
          <w:tcPr>
            <w:tcW w:w="4530" w:type="dxa"/>
            <w:tcBorders>
              <w:top w:val="single" w:sz="4" w:space="0" w:color="auto"/>
            </w:tcBorders>
            <w:shd w:val="clear" w:color="auto" w:fill="auto"/>
          </w:tcPr>
          <w:p w14:paraId="706FE5C5" w14:textId="77777777" w:rsidR="00F906F6" w:rsidRPr="00CF02B9" w:rsidRDefault="00F906F6" w:rsidP="00EF4F42">
            <w:pPr>
              <w:jc w:val="center"/>
              <w:rPr>
                <w:rFonts w:ascii="Palatino Linotype" w:hAnsi="Palatino Linotype"/>
                <w:sz w:val="20"/>
              </w:rPr>
            </w:pPr>
            <w:r w:rsidRPr="001E156D">
              <w:rPr>
                <w:rFonts w:ascii="Palatino Linotype" w:hAnsi="Palatino Linotype"/>
                <w:sz w:val="20"/>
              </w:rPr>
              <w:t>Developed Open Space</w:t>
            </w:r>
          </w:p>
        </w:tc>
        <w:tc>
          <w:tcPr>
            <w:tcW w:w="4530" w:type="dxa"/>
            <w:tcBorders>
              <w:top w:val="single" w:sz="4" w:space="0" w:color="auto"/>
            </w:tcBorders>
            <w:shd w:val="clear" w:color="auto" w:fill="auto"/>
          </w:tcPr>
          <w:p w14:paraId="0FCEA038" w14:textId="77777777" w:rsidR="00F906F6" w:rsidRDefault="00F906F6" w:rsidP="00EF4F42">
            <w:pPr>
              <w:jc w:val="center"/>
            </w:pPr>
            <w:r>
              <w:t>137</w:t>
            </w:r>
          </w:p>
        </w:tc>
      </w:tr>
      <w:tr w:rsidR="00F906F6" w14:paraId="223C2EDF" w14:textId="77777777" w:rsidTr="00F906F6">
        <w:trPr>
          <w:jc w:val="center"/>
        </w:trPr>
        <w:tc>
          <w:tcPr>
            <w:tcW w:w="4530" w:type="dxa"/>
            <w:shd w:val="clear" w:color="auto" w:fill="auto"/>
          </w:tcPr>
          <w:p w14:paraId="6947BD33" w14:textId="77777777" w:rsidR="00F906F6" w:rsidRPr="00CF02B9" w:rsidRDefault="00F906F6" w:rsidP="00EF4F42">
            <w:pPr>
              <w:jc w:val="center"/>
              <w:rPr>
                <w:rFonts w:ascii="Palatino Linotype" w:hAnsi="Palatino Linotype"/>
                <w:sz w:val="20"/>
              </w:rPr>
            </w:pPr>
            <w:r w:rsidRPr="00E003FA">
              <w:rPr>
                <w:rFonts w:ascii="Palatino Linotype" w:hAnsi="Palatino Linotype"/>
                <w:sz w:val="20"/>
              </w:rPr>
              <w:t>Developed Low Intensity</w:t>
            </w:r>
          </w:p>
        </w:tc>
        <w:tc>
          <w:tcPr>
            <w:tcW w:w="4530" w:type="dxa"/>
            <w:shd w:val="clear" w:color="auto" w:fill="auto"/>
          </w:tcPr>
          <w:p w14:paraId="00323C33" w14:textId="77777777" w:rsidR="00F906F6" w:rsidRDefault="00F906F6" w:rsidP="00EF4F42">
            <w:pPr>
              <w:jc w:val="center"/>
            </w:pPr>
            <w:r>
              <w:t>25</w:t>
            </w:r>
          </w:p>
        </w:tc>
      </w:tr>
      <w:tr w:rsidR="00F906F6" w14:paraId="16AF0C58" w14:textId="77777777" w:rsidTr="00F906F6">
        <w:trPr>
          <w:jc w:val="center"/>
        </w:trPr>
        <w:tc>
          <w:tcPr>
            <w:tcW w:w="4530" w:type="dxa"/>
            <w:shd w:val="clear" w:color="auto" w:fill="auto"/>
          </w:tcPr>
          <w:p w14:paraId="79DED948" w14:textId="77777777" w:rsidR="00F906F6" w:rsidRPr="00CF02B9" w:rsidRDefault="00F906F6" w:rsidP="00EF4F42">
            <w:pPr>
              <w:jc w:val="center"/>
              <w:rPr>
                <w:rFonts w:ascii="Palatino Linotype" w:hAnsi="Palatino Linotype"/>
                <w:sz w:val="20"/>
              </w:rPr>
            </w:pPr>
            <w:r w:rsidRPr="00E003FA">
              <w:rPr>
                <w:rFonts w:ascii="Palatino Linotype" w:hAnsi="Palatino Linotype"/>
                <w:sz w:val="20"/>
              </w:rPr>
              <w:t>Developed Medium Intensity</w:t>
            </w:r>
          </w:p>
        </w:tc>
        <w:tc>
          <w:tcPr>
            <w:tcW w:w="4530" w:type="dxa"/>
            <w:shd w:val="clear" w:color="auto" w:fill="auto"/>
          </w:tcPr>
          <w:p w14:paraId="75429730" w14:textId="77777777" w:rsidR="00F906F6" w:rsidRDefault="00F906F6" w:rsidP="00EF4F42">
            <w:pPr>
              <w:jc w:val="center"/>
            </w:pPr>
            <w:r>
              <w:t>7</w:t>
            </w:r>
          </w:p>
        </w:tc>
      </w:tr>
      <w:tr w:rsidR="00F906F6" w14:paraId="05B9C3E3" w14:textId="77777777" w:rsidTr="00F906F6">
        <w:trPr>
          <w:jc w:val="center"/>
        </w:trPr>
        <w:tc>
          <w:tcPr>
            <w:tcW w:w="4530" w:type="dxa"/>
            <w:shd w:val="clear" w:color="auto" w:fill="auto"/>
          </w:tcPr>
          <w:p w14:paraId="547941D7" w14:textId="77777777" w:rsidR="00F906F6" w:rsidRPr="00CF02B9" w:rsidRDefault="00F906F6" w:rsidP="00EF4F42">
            <w:pPr>
              <w:jc w:val="center"/>
              <w:rPr>
                <w:rFonts w:ascii="Palatino Linotype" w:hAnsi="Palatino Linotype"/>
                <w:sz w:val="20"/>
              </w:rPr>
            </w:pPr>
            <w:r w:rsidRPr="007F3DAA">
              <w:rPr>
                <w:rFonts w:ascii="Palatino Linotype" w:hAnsi="Palatino Linotype"/>
                <w:sz w:val="20"/>
              </w:rPr>
              <w:t>Developed High Intensity</w:t>
            </w:r>
          </w:p>
        </w:tc>
        <w:tc>
          <w:tcPr>
            <w:tcW w:w="4530" w:type="dxa"/>
            <w:shd w:val="clear" w:color="auto" w:fill="auto"/>
          </w:tcPr>
          <w:p w14:paraId="4ADFC5F2" w14:textId="77777777" w:rsidR="00F906F6" w:rsidRDefault="00F906F6" w:rsidP="00EF4F42">
            <w:pPr>
              <w:jc w:val="center"/>
            </w:pPr>
            <w:r>
              <w:t>7</w:t>
            </w:r>
          </w:p>
        </w:tc>
      </w:tr>
      <w:tr w:rsidR="00F906F6" w14:paraId="3A77C68D" w14:textId="77777777" w:rsidTr="00F906F6">
        <w:trPr>
          <w:jc w:val="center"/>
        </w:trPr>
        <w:tc>
          <w:tcPr>
            <w:tcW w:w="4530" w:type="dxa"/>
            <w:shd w:val="clear" w:color="auto" w:fill="auto"/>
          </w:tcPr>
          <w:p w14:paraId="429C8F51" w14:textId="77777777" w:rsidR="00F906F6" w:rsidRPr="00CF02B9" w:rsidRDefault="00F906F6" w:rsidP="00EF4F42">
            <w:pPr>
              <w:jc w:val="center"/>
              <w:rPr>
                <w:rFonts w:ascii="Palatino Linotype" w:hAnsi="Palatino Linotype"/>
                <w:sz w:val="20"/>
              </w:rPr>
            </w:pPr>
            <w:r w:rsidRPr="00E003FA">
              <w:rPr>
                <w:rFonts w:ascii="Palatino Linotype" w:hAnsi="Palatino Linotype"/>
                <w:sz w:val="20"/>
              </w:rPr>
              <w:t>Deciduous Forest</w:t>
            </w:r>
          </w:p>
        </w:tc>
        <w:tc>
          <w:tcPr>
            <w:tcW w:w="4530" w:type="dxa"/>
            <w:shd w:val="clear" w:color="auto" w:fill="auto"/>
          </w:tcPr>
          <w:p w14:paraId="0B32E494" w14:textId="77777777" w:rsidR="00F906F6" w:rsidRDefault="00F906F6" w:rsidP="00EF4F42">
            <w:pPr>
              <w:jc w:val="center"/>
            </w:pPr>
            <w:r>
              <w:t>414</w:t>
            </w:r>
          </w:p>
        </w:tc>
      </w:tr>
      <w:tr w:rsidR="00F906F6" w14:paraId="441294A6" w14:textId="77777777" w:rsidTr="00F906F6">
        <w:trPr>
          <w:jc w:val="center"/>
        </w:trPr>
        <w:tc>
          <w:tcPr>
            <w:tcW w:w="4530" w:type="dxa"/>
            <w:shd w:val="clear" w:color="auto" w:fill="auto"/>
          </w:tcPr>
          <w:p w14:paraId="2008DF53" w14:textId="77777777" w:rsidR="00F906F6" w:rsidRPr="00CF02B9" w:rsidRDefault="00F906F6" w:rsidP="00EF4F42">
            <w:pPr>
              <w:jc w:val="center"/>
              <w:rPr>
                <w:rFonts w:ascii="Palatino Linotype" w:hAnsi="Palatino Linotype"/>
                <w:sz w:val="20"/>
              </w:rPr>
            </w:pPr>
            <w:r w:rsidRPr="00E003FA">
              <w:rPr>
                <w:rFonts w:ascii="Palatino Linotype" w:hAnsi="Palatino Linotype"/>
                <w:sz w:val="20"/>
              </w:rPr>
              <w:t>Evergreen Forest</w:t>
            </w:r>
          </w:p>
        </w:tc>
        <w:tc>
          <w:tcPr>
            <w:tcW w:w="4530" w:type="dxa"/>
            <w:shd w:val="clear" w:color="auto" w:fill="auto"/>
          </w:tcPr>
          <w:p w14:paraId="0F6C2D4D" w14:textId="77777777" w:rsidR="00F906F6" w:rsidRDefault="00F906F6" w:rsidP="00EF4F42">
            <w:pPr>
              <w:jc w:val="center"/>
            </w:pPr>
            <w:r>
              <w:t>74</w:t>
            </w:r>
          </w:p>
        </w:tc>
      </w:tr>
      <w:tr w:rsidR="00F906F6" w14:paraId="45B57EFB" w14:textId="77777777" w:rsidTr="00F906F6">
        <w:trPr>
          <w:jc w:val="center"/>
        </w:trPr>
        <w:tc>
          <w:tcPr>
            <w:tcW w:w="4530" w:type="dxa"/>
            <w:shd w:val="clear" w:color="auto" w:fill="auto"/>
          </w:tcPr>
          <w:p w14:paraId="17DD8E8E" w14:textId="77777777" w:rsidR="00F906F6" w:rsidRPr="00CF02B9" w:rsidRDefault="00F906F6" w:rsidP="00EF4F42">
            <w:pPr>
              <w:jc w:val="center"/>
              <w:rPr>
                <w:rFonts w:ascii="Palatino Linotype" w:hAnsi="Palatino Linotype"/>
                <w:sz w:val="20"/>
              </w:rPr>
            </w:pPr>
            <w:r w:rsidRPr="00E003FA">
              <w:rPr>
                <w:rFonts w:ascii="Palatino Linotype" w:hAnsi="Palatino Linotype"/>
                <w:sz w:val="20"/>
              </w:rPr>
              <w:t>Mixed Forest</w:t>
            </w:r>
          </w:p>
        </w:tc>
        <w:tc>
          <w:tcPr>
            <w:tcW w:w="4530" w:type="dxa"/>
            <w:shd w:val="clear" w:color="auto" w:fill="auto"/>
          </w:tcPr>
          <w:p w14:paraId="29B2A6CB" w14:textId="77777777" w:rsidR="00F906F6" w:rsidRDefault="00F906F6" w:rsidP="00EF4F42">
            <w:pPr>
              <w:jc w:val="center"/>
            </w:pPr>
            <w:r>
              <w:t>43</w:t>
            </w:r>
          </w:p>
        </w:tc>
      </w:tr>
      <w:tr w:rsidR="00F906F6" w14:paraId="2FAE25C5" w14:textId="77777777" w:rsidTr="00F906F6">
        <w:trPr>
          <w:jc w:val="center"/>
        </w:trPr>
        <w:tc>
          <w:tcPr>
            <w:tcW w:w="4530" w:type="dxa"/>
            <w:shd w:val="clear" w:color="auto" w:fill="auto"/>
          </w:tcPr>
          <w:p w14:paraId="5ED536BA" w14:textId="77777777" w:rsidR="00F906F6" w:rsidRPr="00CF02B9" w:rsidRDefault="00F906F6" w:rsidP="00EF4F42">
            <w:pPr>
              <w:jc w:val="center"/>
              <w:rPr>
                <w:rFonts w:ascii="Palatino Linotype" w:hAnsi="Palatino Linotype"/>
                <w:sz w:val="20"/>
              </w:rPr>
            </w:pPr>
            <w:r w:rsidRPr="00EB58F2">
              <w:rPr>
                <w:rFonts w:ascii="Palatino Linotype" w:hAnsi="Palatino Linotype"/>
                <w:sz w:val="20"/>
              </w:rPr>
              <w:t>Shrub/Scrub</w:t>
            </w:r>
          </w:p>
        </w:tc>
        <w:tc>
          <w:tcPr>
            <w:tcW w:w="4530" w:type="dxa"/>
            <w:shd w:val="clear" w:color="auto" w:fill="auto"/>
          </w:tcPr>
          <w:p w14:paraId="34A16BB7" w14:textId="77777777" w:rsidR="00F906F6" w:rsidRDefault="00F906F6" w:rsidP="00EF4F42">
            <w:pPr>
              <w:jc w:val="center"/>
            </w:pPr>
            <w:r>
              <w:t>124</w:t>
            </w:r>
          </w:p>
        </w:tc>
      </w:tr>
      <w:tr w:rsidR="00F906F6" w14:paraId="001BE76C" w14:textId="77777777" w:rsidTr="00F906F6">
        <w:trPr>
          <w:jc w:val="center"/>
        </w:trPr>
        <w:tc>
          <w:tcPr>
            <w:tcW w:w="4530" w:type="dxa"/>
            <w:shd w:val="clear" w:color="auto" w:fill="auto"/>
          </w:tcPr>
          <w:p w14:paraId="46EBCBAF" w14:textId="77777777" w:rsidR="00F906F6" w:rsidRPr="00CF02B9" w:rsidRDefault="00F906F6" w:rsidP="00EF4F42">
            <w:pPr>
              <w:jc w:val="center"/>
              <w:rPr>
                <w:rFonts w:ascii="Palatino Linotype" w:hAnsi="Palatino Linotype"/>
                <w:sz w:val="20"/>
              </w:rPr>
            </w:pPr>
            <w:r w:rsidRPr="00EB58F2">
              <w:rPr>
                <w:rFonts w:ascii="Palatino Linotype" w:hAnsi="Palatino Linotype"/>
                <w:sz w:val="20"/>
              </w:rPr>
              <w:t>Grassland/Herbaceous</w:t>
            </w:r>
          </w:p>
        </w:tc>
        <w:tc>
          <w:tcPr>
            <w:tcW w:w="4530" w:type="dxa"/>
            <w:shd w:val="clear" w:color="auto" w:fill="auto"/>
          </w:tcPr>
          <w:p w14:paraId="5EF1DF99" w14:textId="77777777" w:rsidR="00F906F6" w:rsidRDefault="00F906F6" w:rsidP="00EF4F42">
            <w:pPr>
              <w:jc w:val="center"/>
            </w:pPr>
            <w:r>
              <w:t>744</w:t>
            </w:r>
          </w:p>
        </w:tc>
      </w:tr>
      <w:tr w:rsidR="00F906F6" w14:paraId="703DDC90" w14:textId="77777777" w:rsidTr="00F906F6">
        <w:trPr>
          <w:jc w:val="center"/>
        </w:trPr>
        <w:tc>
          <w:tcPr>
            <w:tcW w:w="4530" w:type="dxa"/>
            <w:shd w:val="clear" w:color="auto" w:fill="auto"/>
          </w:tcPr>
          <w:p w14:paraId="4989D0DB" w14:textId="77777777" w:rsidR="00F906F6" w:rsidRPr="00CF02B9" w:rsidRDefault="00F906F6" w:rsidP="00EF4F42">
            <w:pPr>
              <w:jc w:val="center"/>
              <w:rPr>
                <w:rFonts w:ascii="Palatino Linotype" w:hAnsi="Palatino Linotype"/>
                <w:sz w:val="20"/>
              </w:rPr>
            </w:pPr>
            <w:r w:rsidRPr="00EB58F2">
              <w:rPr>
                <w:rFonts w:ascii="Palatino Linotype" w:hAnsi="Palatino Linotype"/>
                <w:sz w:val="20"/>
              </w:rPr>
              <w:t>Hay/Pasture</w:t>
            </w:r>
          </w:p>
        </w:tc>
        <w:tc>
          <w:tcPr>
            <w:tcW w:w="4530" w:type="dxa"/>
            <w:shd w:val="clear" w:color="auto" w:fill="auto"/>
          </w:tcPr>
          <w:p w14:paraId="471E4B5C" w14:textId="77777777" w:rsidR="00F906F6" w:rsidRDefault="00F906F6" w:rsidP="00EF4F42">
            <w:pPr>
              <w:jc w:val="center"/>
            </w:pPr>
            <w:r>
              <w:t>229</w:t>
            </w:r>
          </w:p>
        </w:tc>
      </w:tr>
      <w:tr w:rsidR="00F906F6" w14:paraId="06BDEF3E" w14:textId="77777777" w:rsidTr="00F906F6">
        <w:trPr>
          <w:jc w:val="center"/>
        </w:trPr>
        <w:tc>
          <w:tcPr>
            <w:tcW w:w="4530" w:type="dxa"/>
            <w:shd w:val="clear" w:color="auto" w:fill="auto"/>
          </w:tcPr>
          <w:p w14:paraId="10437FD8" w14:textId="77777777" w:rsidR="00F906F6" w:rsidRPr="00CF02B9" w:rsidRDefault="00F906F6" w:rsidP="00EF4F42">
            <w:pPr>
              <w:jc w:val="center"/>
              <w:rPr>
                <w:rFonts w:ascii="Palatino Linotype" w:hAnsi="Palatino Linotype"/>
                <w:sz w:val="20"/>
              </w:rPr>
            </w:pPr>
            <w:r w:rsidRPr="00EB58F2">
              <w:rPr>
                <w:rFonts w:ascii="Palatino Linotype" w:hAnsi="Palatino Linotype"/>
                <w:sz w:val="20"/>
              </w:rPr>
              <w:t>Cultivated Crops</w:t>
            </w:r>
          </w:p>
        </w:tc>
        <w:tc>
          <w:tcPr>
            <w:tcW w:w="4530" w:type="dxa"/>
            <w:shd w:val="clear" w:color="auto" w:fill="auto"/>
          </w:tcPr>
          <w:p w14:paraId="088C3AF1" w14:textId="77777777" w:rsidR="00F906F6" w:rsidRPr="00F422B9" w:rsidRDefault="00F906F6" w:rsidP="00EF4F42">
            <w:pPr>
              <w:jc w:val="center"/>
              <w:rPr>
                <w:rFonts w:eastAsiaTheme="minorEastAsia"/>
                <w:lang w:eastAsia="zh-CN"/>
              </w:rPr>
            </w:pPr>
            <w:r>
              <w:t>338</w:t>
            </w:r>
          </w:p>
        </w:tc>
      </w:tr>
      <w:tr w:rsidR="00F906F6" w14:paraId="5D9C33C9" w14:textId="77777777" w:rsidTr="00F906F6">
        <w:trPr>
          <w:jc w:val="center"/>
        </w:trPr>
        <w:tc>
          <w:tcPr>
            <w:tcW w:w="4530" w:type="dxa"/>
            <w:tcBorders>
              <w:bottom w:val="single" w:sz="4" w:space="0" w:color="auto"/>
            </w:tcBorders>
            <w:shd w:val="clear" w:color="auto" w:fill="auto"/>
          </w:tcPr>
          <w:p w14:paraId="3F8FE023" w14:textId="77777777" w:rsidR="00F906F6" w:rsidRPr="00CF02B9" w:rsidRDefault="00F906F6" w:rsidP="00EF4F42">
            <w:pPr>
              <w:jc w:val="center"/>
              <w:rPr>
                <w:rFonts w:ascii="Palatino Linotype" w:hAnsi="Palatino Linotype"/>
                <w:sz w:val="20"/>
              </w:rPr>
            </w:pPr>
            <w:r w:rsidRPr="00224BC3">
              <w:rPr>
                <w:rFonts w:ascii="Palatino Linotype" w:hAnsi="Palatino Linotype"/>
                <w:sz w:val="20"/>
              </w:rPr>
              <w:tab/>
              <w:t>Barren Land (Rock/Sand/Clay)</w:t>
            </w:r>
          </w:p>
        </w:tc>
        <w:tc>
          <w:tcPr>
            <w:tcW w:w="4530" w:type="dxa"/>
            <w:tcBorders>
              <w:bottom w:val="single" w:sz="4" w:space="0" w:color="auto"/>
            </w:tcBorders>
            <w:shd w:val="clear" w:color="auto" w:fill="auto"/>
          </w:tcPr>
          <w:p w14:paraId="0D96648D" w14:textId="77777777" w:rsidR="00F906F6" w:rsidRDefault="00F906F6" w:rsidP="00EF4F42">
            <w:pPr>
              <w:jc w:val="center"/>
            </w:pPr>
            <w:r>
              <w:t>7</w:t>
            </w:r>
          </w:p>
        </w:tc>
      </w:tr>
    </w:tbl>
    <w:p w14:paraId="2C692E6A" w14:textId="324E7024" w:rsidR="00C758D0" w:rsidRDefault="00C758D0" w:rsidP="00C758D0"/>
    <w:p w14:paraId="0630E76C" w14:textId="0DD48A57" w:rsidR="0007025F" w:rsidRDefault="007E4EBF" w:rsidP="007E4EBF">
      <w:pPr>
        <w:pStyle w:val="2"/>
      </w:pPr>
      <w:bookmarkStart w:id="112" w:name="_Toc75939854"/>
      <w:r>
        <w:lastRenderedPageBreak/>
        <w:t xml:space="preserve">3.4 </w:t>
      </w:r>
      <w:r w:rsidRPr="007E4EBF">
        <w:t>Results</w:t>
      </w:r>
      <w:bookmarkEnd w:id="112"/>
    </w:p>
    <w:p w14:paraId="2DCBF629" w14:textId="0EF27BE5" w:rsidR="007E4EBF" w:rsidRDefault="00C32CE0" w:rsidP="00C32CE0">
      <w:pPr>
        <w:pStyle w:val="3"/>
      </w:pPr>
      <w:bookmarkStart w:id="113" w:name="_Toc75939855"/>
      <w:r>
        <w:t xml:space="preserve">3.4.1 </w:t>
      </w:r>
      <w:r w:rsidRPr="00C32CE0">
        <w:t>Sub-daily Product Inter-comparison of Soil Moisture Values</w:t>
      </w:r>
      <w:bookmarkEnd w:id="113"/>
    </w:p>
    <w:p w14:paraId="7F0C5559" w14:textId="34B9DFC7" w:rsidR="00AA48BF" w:rsidRDefault="00AA48BF" w:rsidP="00AA48BF">
      <w:r w:rsidRPr="00950EBD">
        <w:t xml:space="preserve">Figure </w:t>
      </w:r>
      <w:r w:rsidR="007349FA">
        <w:t>3.</w:t>
      </w:r>
      <w:r>
        <w:t>4</w:t>
      </w:r>
      <w:r w:rsidRPr="00950EBD">
        <w:t xml:space="preserve"> shows the </w:t>
      </w:r>
      <w:r>
        <w:t>CC</w:t>
      </w:r>
      <w:r w:rsidRPr="00950EBD">
        <w:t xml:space="preserve"> and </w:t>
      </w:r>
      <w:r>
        <w:t>RMSE</w:t>
      </w:r>
      <w:r w:rsidRPr="00950EBD">
        <w:t xml:space="preserve"> statistics </w:t>
      </w:r>
      <w:bookmarkStart w:id="114" w:name="_Hlk69658550"/>
      <w:r w:rsidRPr="00950EBD">
        <w:t xml:space="preserve">obtained </w:t>
      </w:r>
      <w:r>
        <w:t>for</w:t>
      </w:r>
      <w:r w:rsidRPr="00950EBD">
        <w:t xml:space="preserve"> </w:t>
      </w:r>
      <w:r>
        <w:t xml:space="preserve">simultaneous </w:t>
      </w:r>
      <w:r w:rsidRPr="00950EBD">
        <w:t>diurnal 6:00 AM</w:t>
      </w:r>
      <w:r>
        <w:t xml:space="preserve"> observations</w:t>
      </w:r>
      <w:r w:rsidRPr="00950EBD">
        <w:t xml:space="preserve"> at a daily time scale over Oklahoma.</w:t>
      </w:r>
      <w:bookmarkEnd w:id="114"/>
      <w:r w:rsidRPr="00950EBD">
        <w:t xml:space="preserve"> Overall, Mesonet provides the highest spatio-temporal, integrated averaged CC (</w:t>
      </w:r>
      <m:oMath>
        <m:sSub>
          <m:sSubPr>
            <m:ctrlPr>
              <w:rPr>
                <w:rFonts w:ascii="Cambria Math" w:hAnsi="Cambria Math"/>
              </w:rPr>
            </m:ctrlPr>
          </m:sSubPr>
          <m:e>
            <m:r>
              <w:rPr>
                <w:rFonts w:ascii="Cambria Math" w:hAnsi="Cambria Math"/>
              </w:rPr>
              <m:t>CC</m:t>
            </m:r>
          </m:e>
          <m:sub>
            <m:r>
              <w:rPr>
                <w:rFonts w:ascii="Cambria Math" w:hAnsi="Cambria Math"/>
              </w:rPr>
              <m:t>mean</m:t>
            </m:r>
          </m:sub>
        </m:sSub>
      </m:oMath>
      <w:r w:rsidRPr="00950EBD">
        <w:t xml:space="preserve">) of 0.805, followed by Noah with an </w:t>
      </w:r>
      <m:oMath>
        <m:sSub>
          <m:sSubPr>
            <m:ctrlPr>
              <w:rPr>
                <w:rFonts w:ascii="Cambria Math" w:hAnsi="Cambria Math"/>
              </w:rPr>
            </m:ctrlPr>
          </m:sSubPr>
          <m:e>
            <m:r>
              <w:rPr>
                <w:rFonts w:ascii="Cambria Math" w:hAnsi="Cambria Math"/>
              </w:rPr>
              <m:t>CC</m:t>
            </m:r>
          </m:e>
          <m:sub>
            <m:r>
              <w:rPr>
                <w:rFonts w:ascii="Cambria Math" w:hAnsi="Cambria Math"/>
              </w:rPr>
              <m:t>mean</m:t>
            </m:r>
          </m:sub>
        </m:sSub>
      </m:oMath>
      <w:r w:rsidRPr="00950EBD">
        <w:t xml:space="preserve"> of 0.747. SMAP has the lowest </w:t>
      </w:r>
      <m:oMath>
        <m:sSub>
          <m:sSubPr>
            <m:ctrlPr>
              <w:rPr>
                <w:rFonts w:ascii="Cambria Math" w:hAnsi="Cambria Math"/>
              </w:rPr>
            </m:ctrlPr>
          </m:sSubPr>
          <m:e>
            <m:r>
              <w:rPr>
                <w:rFonts w:ascii="Cambria Math" w:hAnsi="Cambria Math"/>
              </w:rPr>
              <m:t>CC</m:t>
            </m:r>
          </m:e>
          <m:sub>
            <m:r>
              <w:rPr>
                <w:rFonts w:ascii="Cambria Math" w:hAnsi="Cambria Math"/>
              </w:rPr>
              <m:t>mean</m:t>
            </m:r>
          </m:sub>
        </m:sSub>
      </m:oMath>
      <w:r w:rsidRPr="00950EBD">
        <w:t xml:space="preserve"> of 0.314</w:t>
      </w:r>
      <w:r w:rsidRPr="5E4FB5CC">
        <w:rPr>
          <w:rFonts w:eastAsiaTheme="minorEastAsia"/>
        </w:rPr>
        <w:t xml:space="preserve"> at the state level</w:t>
      </w:r>
      <w:r w:rsidRPr="00950EBD">
        <w:t xml:space="preserve">. However, </w:t>
      </w:r>
      <w:bookmarkStart w:id="115" w:name="_Hlk69417518"/>
      <w:r w:rsidRPr="00950EBD">
        <w:t xml:space="preserve">the correlation varies with different locations and </w:t>
      </w:r>
      <w:r>
        <w:t>products</w:t>
      </w:r>
      <w:bookmarkEnd w:id="115"/>
      <w:r w:rsidRPr="00950EBD">
        <w:t xml:space="preserve"> (Figure </w:t>
      </w:r>
      <w:r w:rsidR="007349FA">
        <w:t>3.</w:t>
      </w:r>
      <w:r>
        <w:t>4</w:t>
      </w:r>
      <w:r w:rsidRPr="00950EBD">
        <w:t xml:space="preserve">, Table </w:t>
      </w:r>
      <w:r w:rsidR="007349FA">
        <w:t>3.</w:t>
      </w:r>
      <w:r w:rsidRPr="00950EBD">
        <w:t xml:space="preserve">4). Based on the Climate Divisions from NOAA's Climate Divisional Database </w:t>
      </w:r>
      <w:sdt>
        <w:sdtPr>
          <w:id w:val="2103754618"/>
          <w:placeholder>
            <w:docPart w:val="DefaultPlaceholder_1081868574"/>
          </w:placeholder>
          <w:citation/>
        </w:sdtPr>
        <w:sdtEndPr/>
        <w:sdtContent>
          <w:r w:rsidRPr="00950EBD">
            <w:fldChar w:fldCharType="begin"/>
          </w:r>
          <w:r w:rsidRPr="00950EBD">
            <w:instrText xml:space="preserve"> CITATION Vos14 \l 1033 </w:instrText>
          </w:r>
          <w:r w:rsidRPr="00950EBD">
            <w:fldChar w:fldCharType="separate"/>
          </w:r>
          <w:r>
            <w:rPr>
              <w:noProof/>
            </w:rPr>
            <w:t>(Vose, et al. 2014)</w:t>
          </w:r>
          <w:r w:rsidRPr="00950EBD">
            <w:fldChar w:fldCharType="end"/>
          </w:r>
        </w:sdtContent>
      </w:sdt>
      <w:r w:rsidRPr="00950EBD">
        <w:t xml:space="preserve">, Mesonet provides high averaged CC values in </w:t>
      </w:r>
      <w:r>
        <w:t xml:space="preserve">the </w:t>
      </w:r>
      <w:r w:rsidRPr="00950EBD">
        <w:t>Southwest, West Central, South Central and Panhandle (0.92, 0.9, 0.88, 0.88 respectively)</w:t>
      </w:r>
      <w:r>
        <w:t xml:space="preserve"> regions,</w:t>
      </w:r>
      <w:r w:rsidRPr="00950EBD">
        <w:t xml:space="preserve"> </w:t>
      </w:r>
      <w:r>
        <w:t>w</w:t>
      </w:r>
      <w:r w:rsidRPr="00950EBD">
        <w:t>hile low</w:t>
      </w:r>
      <w:r>
        <w:t>er</w:t>
      </w:r>
      <w:r w:rsidRPr="00950EBD">
        <w:t xml:space="preserve"> averaged correlation is shown in </w:t>
      </w:r>
      <w:r>
        <w:t xml:space="preserve">the </w:t>
      </w:r>
      <w:r w:rsidRPr="00950EBD">
        <w:t>Northeast (</w:t>
      </w:r>
      <w:r>
        <w:t>CC=</w:t>
      </w:r>
      <w:r w:rsidRPr="00950EBD">
        <w:t xml:space="preserve">0.58). Noah exhibits high averaged CC in </w:t>
      </w:r>
      <w:r>
        <w:t xml:space="preserve">the </w:t>
      </w:r>
      <w:r w:rsidRPr="00950EBD">
        <w:t>Panhandle and South Central (</w:t>
      </w:r>
      <w:r>
        <w:t xml:space="preserve">CC = </w:t>
      </w:r>
      <w:r w:rsidRPr="00950EBD">
        <w:t>0.79, 0.86 respectively)</w:t>
      </w:r>
      <w:r>
        <w:t xml:space="preserve"> regions but </w:t>
      </w:r>
      <w:r w:rsidRPr="00950EBD">
        <w:t>low</w:t>
      </w:r>
      <w:r>
        <w:t>er</w:t>
      </w:r>
      <w:r w:rsidRPr="00950EBD">
        <w:t xml:space="preserve"> </w:t>
      </w:r>
      <w:r>
        <w:t>values</w:t>
      </w:r>
      <w:r w:rsidRPr="00950EBD">
        <w:t xml:space="preserve"> in </w:t>
      </w:r>
      <w:r>
        <w:t xml:space="preserve">the </w:t>
      </w:r>
      <w:r w:rsidRPr="00950EBD">
        <w:t xml:space="preserve">Northeast and West Central </w:t>
      </w:r>
      <w:r>
        <w:t xml:space="preserve">divisions </w:t>
      </w:r>
      <w:r w:rsidRPr="00950EBD">
        <w:t>(</w:t>
      </w:r>
      <w:r>
        <w:t xml:space="preserve">CC = </w:t>
      </w:r>
      <w:r w:rsidRPr="00950EBD">
        <w:t>0.66</w:t>
      </w:r>
      <w:r>
        <w:t xml:space="preserve"> and</w:t>
      </w:r>
      <w:r w:rsidRPr="00950EBD">
        <w:t xml:space="preserve"> 0.67 respectively). The </w:t>
      </w:r>
      <w:r>
        <w:t xml:space="preserve">regional mean </w:t>
      </w:r>
      <w:r w:rsidRPr="00950EBD">
        <w:t xml:space="preserve">CC values of SMAP are generally higher in </w:t>
      </w:r>
      <w:r>
        <w:t xml:space="preserve">the </w:t>
      </w:r>
      <w:r w:rsidRPr="00950EBD">
        <w:t xml:space="preserve">Panhandle, Southwest, and West Central </w:t>
      </w:r>
      <w:r>
        <w:t xml:space="preserve">divisions </w:t>
      </w:r>
      <w:r w:rsidRPr="00950EBD">
        <w:t>(</w:t>
      </w:r>
      <w:r>
        <w:t xml:space="preserve">CC= </w:t>
      </w:r>
      <w:r w:rsidRPr="00950EBD">
        <w:t xml:space="preserve">0.49, 0.47, 0.39 respectively) than those in </w:t>
      </w:r>
      <w:r>
        <w:t xml:space="preserve">the </w:t>
      </w:r>
      <w:r w:rsidRPr="00950EBD">
        <w:t xml:space="preserve">other six climate divisions. </w:t>
      </w:r>
      <w:r>
        <w:t>In terms of</w:t>
      </w:r>
      <w:r w:rsidRPr="00950EBD">
        <w:t xml:space="preserve"> the RMSE, Noah provi</w:t>
      </w:r>
      <w:r w:rsidRPr="5E4FB5CC">
        <w:rPr>
          <w:rFonts w:eastAsiaTheme="minorEastAsia"/>
        </w:rPr>
        <w:t xml:space="preserve">des the smallest state-wide </w:t>
      </w:r>
      <m:oMath>
        <m:sSub>
          <m:sSubPr>
            <m:ctrlPr>
              <w:rPr>
                <w:rFonts w:ascii="Cambria Math" w:eastAsiaTheme="minorEastAsia" w:hAnsi="Cambria Math"/>
              </w:rPr>
            </m:ctrlPr>
          </m:sSubPr>
          <m:e>
            <m:r>
              <w:rPr>
                <w:rFonts w:ascii="Cambria Math" w:eastAsiaTheme="minorEastAsia" w:hAnsi="Cambria Math"/>
              </w:rPr>
              <m:t>RMSE</m:t>
            </m:r>
          </m:e>
          <m:sub>
            <m:r>
              <w:rPr>
                <w:rFonts w:ascii="Cambria Math" w:eastAsiaTheme="minorEastAsia" w:hAnsi="Cambria Math"/>
              </w:rPr>
              <m:t>mean</m:t>
            </m:r>
          </m:sub>
        </m:sSub>
      </m:oMath>
      <w:r w:rsidRPr="5E4FB5CC">
        <w:rPr>
          <w:rFonts w:eastAsiaTheme="minorEastAsia"/>
        </w:rPr>
        <w:t xml:space="preserve"> of 0.026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5E4FB5CC">
        <w:rPr>
          <w:rFonts w:eastAsiaTheme="minorEastAsia"/>
        </w:rPr>
        <w:t>, followed by Mesonet (</w:t>
      </w:r>
      <m:oMath>
        <m:sSub>
          <m:sSubPr>
            <m:ctrlPr>
              <w:rPr>
                <w:rFonts w:ascii="Cambria Math" w:eastAsiaTheme="minorEastAsia" w:hAnsi="Cambria Math"/>
              </w:rPr>
            </m:ctrlPr>
          </m:sSubPr>
          <m:e>
            <m:r>
              <w:rPr>
                <w:rFonts w:ascii="Cambria Math" w:eastAsiaTheme="minorEastAsia" w:hAnsi="Cambria Math"/>
              </w:rPr>
              <m:t>RMSE</m:t>
            </m:r>
          </m:e>
          <m:sub>
            <m:r>
              <w:rPr>
                <w:rFonts w:ascii="Cambria Math" w:eastAsiaTheme="minorEastAsia" w:hAnsi="Cambria Math"/>
              </w:rPr>
              <m:t>mean</m:t>
            </m:r>
          </m:sub>
        </m:sSub>
        <m:r>
          <m:rPr>
            <m:sty m:val="p"/>
          </m:rPr>
          <w:rPr>
            <w:rFonts w:ascii="Cambria Math" w:eastAsiaTheme="minorEastAsia" w:hAnsi="Cambria Math"/>
          </w:rPr>
          <m:t>=0.054</m:t>
        </m:r>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5E4FB5CC">
        <w:rPr>
          <w:rFonts w:eastAsiaTheme="minorEastAsia"/>
        </w:rPr>
        <w:t>) and SMAP (</w:t>
      </w:r>
      <m:oMath>
        <m:sSub>
          <m:sSubPr>
            <m:ctrlPr>
              <w:rPr>
                <w:rFonts w:ascii="Cambria Math" w:eastAsiaTheme="minorEastAsia" w:hAnsi="Cambria Math"/>
              </w:rPr>
            </m:ctrlPr>
          </m:sSubPr>
          <m:e>
            <m:r>
              <w:rPr>
                <w:rFonts w:ascii="Cambria Math" w:eastAsiaTheme="minorEastAsia" w:hAnsi="Cambria Math"/>
              </w:rPr>
              <m:t>RMSE</m:t>
            </m:r>
          </m:e>
          <m:sub>
            <m:r>
              <w:rPr>
                <w:rFonts w:ascii="Cambria Math" w:eastAsiaTheme="minorEastAsia" w:hAnsi="Cambria Math"/>
              </w:rPr>
              <m:t>mean</m:t>
            </m:r>
          </m:sub>
        </m:sSub>
        <m:r>
          <m:rPr>
            <m:sty m:val="p"/>
          </m:rPr>
          <w:rPr>
            <w:rFonts w:ascii="Cambria Math" w:eastAsiaTheme="minorEastAsia" w:hAnsi="Cambria Math"/>
          </w:rPr>
          <m:t>=0.107</m:t>
        </m:r>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5E4FB5CC">
        <w:rPr>
          <w:rFonts w:eastAsiaTheme="minorEastAsia"/>
        </w:rPr>
        <w:t xml:space="preserve">) at the state level. But the error varies across different locations and products </w:t>
      </w:r>
      <w:r w:rsidRPr="00950EBD">
        <w:t xml:space="preserve">(Figure </w:t>
      </w:r>
      <w:r>
        <w:t>4</w:t>
      </w:r>
      <w:r w:rsidRPr="00950EBD">
        <w:t>, Table 4)</w:t>
      </w:r>
      <w:r w:rsidRPr="5E4FB5CC">
        <w:rPr>
          <w:rFonts w:eastAsiaTheme="minorEastAsia"/>
        </w:rPr>
        <w:t xml:space="preserve">. </w:t>
      </w:r>
      <w:r w:rsidRPr="00950EBD">
        <w:t>Mesonet shows l</w:t>
      </w:r>
      <w:r>
        <w:t>ow</w:t>
      </w:r>
      <w:r w:rsidRPr="00950EBD">
        <w:t xml:space="preserve"> </w:t>
      </w:r>
      <w:r>
        <w:t xml:space="preserve">RMSE values </w:t>
      </w:r>
      <w:r w:rsidRPr="00950EBD">
        <w:t>(</w:t>
      </w:r>
      <w:r>
        <w:t>0.0</w:t>
      </w:r>
      <w:r w:rsidRPr="00950EBD">
        <w:t>4</w:t>
      </w:r>
      <m:oMath>
        <m:r>
          <m:rPr>
            <m:sty m:val="p"/>
          </m:rPr>
          <w:rPr>
            <w:rFonts w:ascii="Cambria Math" w:hAnsi="Cambria Math"/>
          </w:rPr>
          <m:t xml:space="preserve"> </m:t>
        </m:r>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00950EBD">
        <w:t xml:space="preserve">) in Southwest, South Central, West Central, and Panhandle </w:t>
      </w:r>
      <w:r>
        <w:t xml:space="preserve">but </w:t>
      </w:r>
      <w:r w:rsidRPr="00950EBD">
        <w:t>high values in</w:t>
      </w:r>
      <w:r>
        <w:t xml:space="preserve"> the</w:t>
      </w:r>
      <w:r w:rsidRPr="00950EBD">
        <w:t xml:space="preserve"> Northeast (0.09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00950EBD">
        <w:t xml:space="preserve">). Noah exhibits small RMSE mean values in all nine divisions (equal or less than 0.04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00950EBD">
        <w:t>). SMAP exhibits low mean RMSE values (0.</w:t>
      </w:r>
      <w:r>
        <w:t>0</w:t>
      </w:r>
      <w:r w:rsidRPr="00950EBD">
        <w:t xml:space="preserve">6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00950EBD">
        <w:t>) in the Panhandle and Southwest</w:t>
      </w:r>
      <w:r>
        <w:t xml:space="preserve"> but higher in </w:t>
      </w:r>
      <w:r w:rsidRPr="00950EBD">
        <w:t xml:space="preserve">Northeast, East Central, Southeast (0.18, 0.15, 0.16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rsidRPr="00950EBD">
        <w:t>respectively).</w:t>
      </w:r>
      <w:r w:rsidRPr="00950EBD" w:rsidDel="00A25241">
        <w:t xml:space="preserve"> </w:t>
      </w:r>
      <w:bookmarkStart w:id="116" w:name="_Hlk72334912"/>
      <w:r w:rsidRPr="00950EBD">
        <w:t xml:space="preserve">In summary, </w:t>
      </w:r>
      <w:bookmarkStart w:id="117" w:name="_Hlk69719106"/>
      <w:r>
        <w:t xml:space="preserve">among the nine climate divisions, Noah has best performance in Central (CC=0.75, RMSE=0.03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Northeast </w:t>
      </w:r>
      <w:r>
        <w:lastRenderedPageBreak/>
        <w:t xml:space="preserve">(CC=0.66, RMSE=0.04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and East Central (CC=0.76, RMSE=0.02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followed by Mesonet. In the other six climate divisions, Mesonet has higher mean CC values than Noah, while Noah provides lower averaged RMSE values than Mesonet. </w:t>
      </w:r>
      <w:bookmarkEnd w:id="117"/>
      <w:r>
        <w:t xml:space="preserve">Meanwhile, </w:t>
      </w:r>
      <w:r w:rsidRPr="00FC0FFD">
        <w:t>SMAP illustrates</w:t>
      </w:r>
      <w:r>
        <w:t xml:space="preserve"> </w:t>
      </w:r>
      <w:r w:rsidRPr="00FC0FFD">
        <w:t>consistently</w:t>
      </w:r>
      <w:r>
        <w:t xml:space="preserve"> </w:t>
      </w:r>
      <w:r w:rsidRPr="00FC0FFD">
        <w:t xml:space="preserve">lower-than-Mesonet (or Noah) </w:t>
      </w:r>
      <w:r>
        <w:t>averaged CC and higher</w:t>
      </w:r>
      <w:r w:rsidRPr="00FC0FFD">
        <w:t xml:space="preserve">-than-Mesonet (or Noah) </w:t>
      </w:r>
      <w:r>
        <w:t>averaged RMSE</w:t>
      </w:r>
      <w:r w:rsidRPr="00FC0FFD">
        <w:t xml:space="preserve"> values over all </w:t>
      </w:r>
      <w:r>
        <w:t>nine climate divisions.</w:t>
      </w:r>
      <w:r w:rsidRPr="00FC0FFD">
        <w:t xml:space="preserve"> </w:t>
      </w:r>
      <w:r>
        <w:t xml:space="preserve">Summarizing on the strengths of each product, Mesonet has better performance in the Panhandle, </w:t>
      </w:r>
      <w:r w:rsidRPr="00950EBD">
        <w:t>Southwest, West Central, and South Central</w:t>
      </w:r>
      <w:r>
        <w:t xml:space="preserve"> and worse performance in North Central and Northeast. Noah has better performance in the Panhandle and </w:t>
      </w:r>
      <w:r w:rsidRPr="00950EBD">
        <w:t>South Central</w:t>
      </w:r>
      <w:r>
        <w:t xml:space="preserve"> but worse in the North Central, Northeast and West Central. SMAP has better performance in the Panhandle</w:t>
      </w:r>
      <w:r w:rsidRPr="00950EBD">
        <w:t>,</w:t>
      </w:r>
      <w:r>
        <w:t xml:space="preserve"> </w:t>
      </w:r>
      <w:r w:rsidRPr="00950EBD">
        <w:t>Southwest, West Central, South Central</w:t>
      </w:r>
      <w:r>
        <w:t xml:space="preserve"> but less value in the Northeast, East Central, and Southeast divisions. A</w:t>
      </w:r>
      <w:r w:rsidRPr="00950EBD">
        <w:t xml:space="preserve">ll </w:t>
      </w:r>
      <w:r>
        <w:t>three products</w:t>
      </w:r>
      <w:r w:rsidRPr="00950EBD">
        <w:t xml:space="preserve"> exhibit worst performances in</w:t>
      </w:r>
      <w:r>
        <w:t xml:space="preserve"> the</w:t>
      </w:r>
      <w:r w:rsidRPr="00950EBD">
        <w:t xml:space="preserve"> </w:t>
      </w:r>
      <w:r>
        <w:t xml:space="preserve">Oklahoma </w:t>
      </w:r>
      <w:r w:rsidRPr="00950EBD">
        <w:t>Northeast.</w:t>
      </w:r>
      <w:r>
        <w:t xml:space="preserve"> </w:t>
      </w:r>
      <w:bookmarkEnd w:id="116"/>
    </w:p>
    <w:p w14:paraId="737603F6" w14:textId="77777777" w:rsidR="003112D3" w:rsidRDefault="003112D3" w:rsidP="00015BD9">
      <w:pPr>
        <w:keepNext/>
        <w:ind w:left="-432"/>
      </w:pPr>
      <w:r>
        <w:rPr>
          <w:noProof/>
        </w:rPr>
        <w:drawing>
          <wp:inline distT="0" distB="0" distL="0" distR="0" wp14:anchorId="6A7481BD" wp14:editId="56B36DC7">
            <wp:extent cx="5943600" cy="2991485"/>
            <wp:effectExtent l="0" t="0" r="0" b="0"/>
            <wp:docPr id="13" name="图片 13" descr="日历&#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pic:nvPicPr>
                  <pic:blipFill>
                    <a:blip r:embed="rId64">
                      <a:extLst>
                        <a:ext uri="{28A0092B-C50C-407E-A947-70E740481C1C}">
                          <a14:useLocalDpi xmlns:a14="http://schemas.microsoft.com/office/drawing/2010/main" val="0"/>
                        </a:ext>
                      </a:extLst>
                    </a:blip>
                    <a:stretch>
                      <a:fillRect/>
                    </a:stretch>
                  </pic:blipFill>
                  <pic:spPr>
                    <a:xfrm>
                      <a:off x="0" y="0"/>
                      <a:ext cx="5943600" cy="2991485"/>
                    </a:xfrm>
                    <a:prstGeom prst="rect">
                      <a:avLst/>
                    </a:prstGeom>
                  </pic:spPr>
                </pic:pic>
              </a:graphicData>
            </a:graphic>
          </wp:inline>
        </w:drawing>
      </w:r>
    </w:p>
    <w:p w14:paraId="13859001" w14:textId="2B6750A5" w:rsidR="006264A0" w:rsidRDefault="003112D3" w:rsidP="003112D3">
      <w:pPr>
        <w:pStyle w:val="a3"/>
        <w:ind w:firstLine="0"/>
      </w:pPr>
      <w:bookmarkStart w:id="118" w:name="_Toc75360570"/>
      <w:bookmarkStart w:id="119" w:name="_Toc75361838"/>
      <w:bookmarkStart w:id="120" w:name="_Toc75361893"/>
      <w:r>
        <w:t xml:space="preserve">Figure </w:t>
      </w:r>
      <w:r w:rsidR="00DB3F1A">
        <w:t>3</w:t>
      </w:r>
      <w:r w:rsidR="00764D25">
        <w:t>.</w:t>
      </w:r>
      <w:r>
        <w:fldChar w:fldCharType="begin"/>
      </w:r>
      <w:r>
        <w:instrText>SEQ Figure \* ARABIC \s 1</w:instrText>
      </w:r>
      <w:r>
        <w:fldChar w:fldCharType="separate"/>
      </w:r>
      <w:r w:rsidR="00492676">
        <w:rPr>
          <w:noProof/>
        </w:rPr>
        <w:t>4</w:t>
      </w:r>
      <w:r>
        <w:fldChar w:fldCharType="end"/>
      </w:r>
      <w:r>
        <w:t>.</w:t>
      </w:r>
      <w:r w:rsidRPr="003112D3">
        <w:t xml:space="preserve"> </w:t>
      </w:r>
      <w:r w:rsidRPr="003112D3">
        <w:rPr>
          <w:b w:val="0"/>
          <w:bCs w:val="0"/>
        </w:rPr>
        <w:t>Product inter-comparison assessment through CC (left column) and RMSE (right column) after applying the TC method for Mesonet (first row), Noah (second row) and SMAP (third row). surface soil moisture products based on morning 6 AM soil moisture values from April 2015 through July 2019.</w:t>
      </w:r>
      <w:bookmarkEnd w:id="118"/>
      <w:bookmarkEnd w:id="119"/>
      <w:bookmarkEnd w:id="120"/>
      <w:r w:rsidRPr="003112D3">
        <w:t xml:space="preserve"> </w:t>
      </w:r>
      <w:r>
        <w:t xml:space="preserve"> </w:t>
      </w:r>
    </w:p>
    <w:p w14:paraId="3E21DD3C" w14:textId="62601536" w:rsidR="004104BE" w:rsidRDefault="004104BE" w:rsidP="004104BE"/>
    <w:p w14:paraId="5BB9F0CB" w14:textId="05760671" w:rsidR="002E3AA1" w:rsidRDefault="002E3AA1" w:rsidP="002E3AA1">
      <w:pPr>
        <w:rPr>
          <w:snapToGrid w:val="0"/>
        </w:rPr>
      </w:pPr>
      <w:r w:rsidRPr="00E35826">
        <w:rPr>
          <w:snapToGrid w:val="0"/>
        </w:rPr>
        <w:lastRenderedPageBreak/>
        <w:t xml:space="preserve">Figure </w:t>
      </w:r>
      <w:r w:rsidR="0080784A">
        <w:rPr>
          <w:snapToGrid w:val="0"/>
        </w:rPr>
        <w:t>3.</w:t>
      </w:r>
      <w:r w:rsidRPr="00E35826">
        <w:rPr>
          <w:snapToGrid w:val="0"/>
        </w:rPr>
        <w:t xml:space="preserve">5 shows the </w:t>
      </w:r>
      <w:r>
        <w:rPr>
          <w:snapToGrid w:val="0"/>
        </w:rPr>
        <w:t xml:space="preserve">spatial distribution of </w:t>
      </w:r>
      <w:r w:rsidRPr="00E35826">
        <w:rPr>
          <w:snapToGrid w:val="0"/>
        </w:rPr>
        <w:t>correlation and error statistics obtained from the TC triplet</w:t>
      </w:r>
      <w:r>
        <w:rPr>
          <w:snapToGrid w:val="0"/>
        </w:rPr>
        <w:t>s</w:t>
      </w:r>
      <w:r w:rsidRPr="00E35826">
        <w:rPr>
          <w:snapToGrid w:val="0"/>
        </w:rPr>
        <w:t xml:space="preserve"> </w:t>
      </w:r>
      <w:r>
        <w:rPr>
          <w:snapToGrid w:val="0"/>
        </w:rPr>
        <w:t>at local</w:t>
      </w:r>
      <w:r w:rsidRPr="00E35826">
        <w:rPr>
          <w:snapToGrid w:val="0"/>
        </w:rPr>
        <w:t xml:space="preserve"> 6:00 PM </w:t>
      </w:r>
      <w:r>
        <w:rPr>
          <w:snapToGrid w:val="0"/>
        </w:rPr>
        <w:t>standard time</w:t>
      </w:r>
      <w:r w:rsidRPr="00E35826">
        <w:rPr>
          <w:snapToGrid w:val="0"/>
        </w:rPr>
        <w:t xml:space="preserve"> over </w:t>
      </w:r>
      <w:r>
        <w:rPr>
          <w:snapToGrid w:val="0"/>
        </w:rPr>
        <w:t>Oklahoma</w:t>
      </w:r>
      <w:r w:rsidRPr="00E35826">
        <w:rPr>
          <w:snapToGrid w:val="0"/>
        </w:rPr>
        <w:t xml:space="preserve">. </w:t>
      </w:r>
      <w:r>
        <w:rPr>
          <w:snapToGrid w:val="0"/>
        </w:rPr>
        <w:t>A</w:t>
      </w:r>
      <w:r w:rsidRPr="00E35826">
        <w:rPr>
          <w:snapToGrid w:val="0"/>
        </w:rPr>
        <w:t>t the state scale, Mesonet provides the highest spatio-temporal, integrated averaged CC (</w:t>
      </w:r>
      <m:oMath>
        <m:sSub>
          <m:sSubPr>
            <m:ctrlPr>
              <w:rPr>
                <w:rFonts w:ascii="Cambria Math" w:hAnsi="Cambria Math"/>
                <w:snapToGrid w:val="0"/>
              </w:rPr>
            </m:ctrlPr>
          </m:sSubPr>
          <m:e>
            <m:r>
              <w:rPr>
                <w:rFonts w:ascii="Cambria Math" w:hAnsi="Cambria Math"/>
                <w:snapToGrid w:val="0"/>
              </w:rPr>
              <m:t>CC</m:t>
            </m:r>
          </m:e>
          <m:sub>
            <m:r>
              <w:rPr>
                <w:rFonts w:ascii="Cambria Math" w:hAnsi="Cambria Math"/>
                <w:snapToGrid w:val="0"/>
              </w:rPr>
              <m:t>mean</m:t>
            </m:r>
          </m:sub>
        </m:sSub>
      </m:oMath>
      <w:r w:rsidRPr="00E35826">
        <w:rPr>
          <w:snapToGrid w:val="0"/>
        </w:rPr>
        <w:t xml:space="preserve">) of 0.806, followed by Noah with a </w:t>
      </w:r>
      <m:oMath>
        <m:sSub>
          <m:sSubPr>
            <m:ctrlPr>
              <w:rPr>
                <w:rFonts w:ascii="Cambria Math" w:hAnsi="Cambria Math"/>
                <w:snapToGrid w:val="0"/>
              </w:rPr>
            </m:ctrlPr>
          </m:sSubPr>
          <m:e>
            <m:r>
              <w:rPr>
                <w:rFonts w:ascii="Cambria Math" w:hAnsi="Cambria Math"/>
                <w:snapToGrid w:val="0"/>
              </w:rPr>
              <m:t>CC</m:t>
            </m:r>
          </m:e>
          <m:sub>
            <m:r>
              <w:rPr>
                <w:rFonts w:ascii="Cambria Math" w:hAnsi="Cambria Math"/>
                <w:snapToGrid w:val="0"/>
              </w:rPr>
              <m:t>mean</m:t>
            </m:r>
          </m:sub>
        </m:sSub>
      </m:oMath>
      <w:r w:rsidRPr="00E35826">
        <w:rPr>
          <w:snapToGrid w:val="0"/>
        </w:rPr>
        <w:t xml:space="preserve"> of 0.740. SMAP has the lowest </w:t>
      </w:r>
      <m:oMath>
        <m:sSub>
          <m:sSubPr>
            <m:ctrlPr>
              <w:rPr>
                <w:rFonts w:ascii="Cambria Math" w:hAnsi="Cambria Math"/>
                <w:snapToGrid w:val="0"/>
              </w:rPr>
            </m:ctrlPr>
          </m:sSubPr>
          <m:e>
            <m:r>
              <w:rPr>
                <w:rFonts w:ascii="Cambria Math" w:hAnsi="Cambria Math"/>
                <w:snapToGrid w:val="0"/>
              </w:rPr>
              <m:t>CC</m:t>
            </m:r>
          </m:e>
          <m:sub>
            <m:r>
              <w:rPr>
                <w:rFonts w:ascii="Cambria Math" w:hAnsi="Cambria Math"/>
                <w:snapToGrid w:val="0"/>
              </w:rPr>
              <m:t>mean</m:t>
            </m:r>
          </m:sub>
        </m:sSub>
      </m:oMath>
      <w:r w:rsidRPr="00E35826">
        <w:rPr>
          <w:snapToGrid w:val="0"/>
        </w:rPr>
        <w:t xml:space="preserve"> of 0.316. </w:t>
      </w:r>
      <w:r>
        <w:rPr>
          <w:snapToGrid w:val="0"/>
        </w:rPr>
        <w:t xml:space="preserve">Error-wise, </w:t>
      </w:r>
      <w:r w:rsidRPr="00E35826">
        <w:rPr>
          <w:snapToGrid w:val="0"/>
        </w:rPr>
        <w:t xml:space="preserve">Noah provides the smallest </w:t>
      </w:r>
      <m:oMath>
        <m:sSub>
          <m:sSubPr>
            <m:ctrlPr>
              <w:rPr>
                <w:rFonts w:ascii="Cambria Math" w:hAnsi="Cambria Math"/>
                <w:snapToGrid w:val="0"/>
              </w:rPr>
            </m:ctrlPr>
          </m:sSubPr>
          <m:e>
            <m:r>
              <w:rPr>
                <w:rFonts w:ascii="Cambria Math" w:hAnsi="Cambria Math"/>
                <w:snapToGrid w:val="0"/>
              </w:rPr>
              <m:t>RMSE</m:t>
            </m:r>
          </m:e>
          <m:sub>
            <m:r>
              <w:rPr>
                <w:rFonts w:ascii="Cambria Math" w:hAnsi="Cambria Math"/>
                <w:snapToGrid w:val="0"/>
              </w:rPr>
              <m:t>mean</m:t>
            </m:r>
          </m:sub>
        </m:sSub>
      </m:oMath>
      <w:r w:rsidRPr="00E35826">
        <w:rPr>
          <w:snapToGrid w:val="0"/>
        </w:rPr>
        <w:t xml:space="preserve"> of 0.026 </w:t>
      </w:r>
      <m:oMath>
        <m:f>
          <m:fPr>
            <m:type m:val="lin"/>
            <m:ctrlPr>
              <w:rPr>
                <w:rFonts w:ascii="Cambria Math" w:hAnsi="Cambria Math"/>
                <w:snapToGrid w:val="0"/>
              </w:rPr>
            </m:ctrlPr>
          </m:fPr>
          <m:num>
            <m:sSup>
              <m:sSupPr>
                <m:ctrlPr>
                  <w:rPr>
                    <w:rFonts w:ascii="Cambria Math" w:hAnsi="Cambria Math"/>
                    <w:snapToGrid w:val="0"/>
                  </w:rPr>
                </m:ctrlPr>
              </m:sSupPr>
              <m:e>
                <m:r>
                  <w:rPr>
                    <w:rFonts w:ascii="Cambria Math" w:hAnsi="Cambria Math"/>
                    <w:snapToGrid w:val="0"/>
                  </w:rPr>
                  <m:t>m</m:t>
                </m:r>
              </m:e>
              <m:sup>
                <m:r>
                  <m:rPr>
                    <m:sty m:val="p"/>
                  </m:rPr>
                  <w:rPr>
                    <w:rFonts w:ascii="Cambria Math" w:hAnsi="Cambria Math"/>
                    <w:snapToGrid w:val="0"/>
                  </w:rPr>
                  <m:t>3</m:t>
                </m:r>
              </m:sup>
            </m:sSup>
          </m:num>
          <m:den>
            <m:sSup>
              <m:sSupPr>
                <m:ctrlPr>
                  <w:rPr>
                    <w:rFonts w:ascii="Cambria Math" w:hAnsi="Cambria Math"/>
                    <w:snapToGrid w:val="0"/>
                  </w:rPr>
                </m:ctrlPr>
              </m:sSupPr>
              <m:e>
                <m:r>
                  <w:rPr>
                    <w:rFonts w:ascii="Cambria Math" w:hAnsi="Cambria Math"/>
                    <w:snapToGrid w:val="0"/>
                  </w:rPr>
                  <m:t>m</m:t>
                </m:r>
              </m:e>
              <m:sup>
                <m:r>
                  <m:rPr>
                    <m:sty m:val="p"/>
                  </m:rPr>
                  <w:rPr>
                    <w:rFonts w:ascii="Cambria Math" w:hAnsi="Cambria Math"/>
                    <w:snapToGrid w:val="0"/>
                  </w:rPr>
                  <m:t>3</m:t>
                </m:r>
              </m:sup>
            </m:sSup>
          </m:den>
        </m:f>
      </m:oMath>
      <w:r w:rsidRPr="00E35826">
        <w:rPr>
          <w:snapToGrid w:val="0"/>
        </w:rPr>
        <w:t>, followed by Mesonet (</w:t>
      </w:r>
      <m:oMath>
        <m:sSub>
          <m:sSubPr>
            <m:ctrlPr>
              <w:rPr>
                <w:rFonts w:ascii="Cambria Math" w:hAnsi="Cambria Math"/>
                <w:snapToGrid w:val="0"/>
              </w:rPr>
            </m:ctrlPr>
          </m:sSubPr>
          <m:e>
            <m:r>
              <w:rPr>
                <w:rFonts w:ascii="Cambria Math" w:hAnsi="Cambria Math"/>
                <w:snapToGrid w:val="0"/>
              </w:rPr>
              <m:t>RMSE</m:t>
            </m:r>
          </m:e>
          <m:sub>
            <m:r>
              <w:rPr>
                <w:rFonts w:ascii="Cambria Math" w:hAnsi="Cambria Math"/>
                <w:snapToGrid w:val="0"/>
              </w:rPr>
              <m:t>mean</m:t>
            </m:r>
          </m:sub>
        </m:sSub>
        <m:r>
          <m:rPr>
            <m:sty m:val="p"/>
          </m:rPr>
          <w:rPr>
            <w:rFonts w:ascii="Cambria Math" w:hAnsi="Cambria Math"/>
            <w:snapToGrid w:val="0"/>
          </w:rPr>
          <m:t>=0.054</m:t>
        </m:r>
        <m:f>
          <m:fPr>
            <m:type m:val="lin"/>
            <m:ctrlPr>
              <w:rPr>
                <w:rFonts w:ascii="Cambria Math" w:hAnsi="Cambria Math"/>
                <w:snapToGrid w:val="0"/>
              </w:rPr>
            </m:ctrlPr>
          </m:fPr>
          <m:num>
            <m:sSup>
              <m:sSupPr>
                <m:ctrlPr>
                  <w:rPr>
                    <w:rFonts w:ascii="Cambria Math" w:hAnsi="Cambria Math"/>
                    <w:snapToGrid w:val="0"/>
                  </w:rPr>
                </m:ctrlPr>
              </m:sSupPr>
              <m:e>
                <m:r>
                  <w:rPr>
                    <w:rFonts w:ascii="Cambria Math" w:hAnsi="Cambria Math"/>
                    <w:snapToGrid w:val="0"/>
                  </w:rPr>
                  <m:t>m</m:t>
                </m:r>
              </m:e>
              <m:sup>
                <m:r>
                  <m:rPr>
                    <m:sty m:val="p"/>
                  </m:rPr>
                  <w:rPr>
                    <w:rFonts w:ascii="Cambria Math" w:hAnsi="Cambria Math"/>
                    <w:snapToGrid w:val="0"/>
                  </w:rPr>
                  <m:t>3</m:t>
                </m:r>
              </m:sup>
            </m:sSup>
          </m:num>
          <m:den>
            <m:sSup>
              <m:sSupPr>
                <m:ctrlPr>
                  <w:rPr>
                    <w:rFonts w:ascii="Cambria Math" w:hAnsi="Cambria Math"/>
                    <w:snapToGrid w:val="0"/>
                  </w:rPr>
                </m:ctrlPr>
              </m:sSupPr>
              <m:e>
                <m:r>
                  <w:rPr>
                    <w:rFonts w:ascii="Cambria Math" w:hAnsi="Cambria Math"/>
                    <w:snapToGrid w:val="0"/>
                  </w:rPr>
                  <m:t>m</m:t>
                </m:r>
              </m:e>
              <m:sup>
                <m:r>
                  <m:rPr>
                    <m:sty m:val="p"/>
                  </m:rPr>
                  <w:rPr>
                    <w:rFonts w:ascii="Cambria Math" w:hAnsi="Cambria Math"/>
                    <w:snapToGrid w:val="0"/>
                  </w:rPr>
                  <m:t>3</m:t>
                </m:r>
              </m:sup>
            </m:sSup>
          </m:den>
        </m:f>
      </m:oMath>
      <w:r w:rsidRPr="00D268DC">
        <w:rPr>
          <w:snapToGrid w:val="0"/>
        </w:rPr>
        <w:t>) and SMAP (</w:t>
      </w:r>
      <m:oMath>
        <m:sSub>
          <m:sSubPr>
            <m:ctrlPr>
              <w:rPr>
                <w:rFonts w:ascii="Cambria Math" w:hAnsi="Cambria Math"/>
                <w:snapToGrid w:val="0"/>
              </w:rPr>
            </m:ctrlPr>
          </m:sSubPr>
          <m:e>
            <m:r>
              <w:rPr>
                <w:rFonts w:ascii="Cambria Math" w:hAnsi="Cambria Math"/>
                <w:snapToGrid w:val="0"/>
              </w:rPr>
              <m:t>RMSE</m:t>
            </m:r>
          </m:e>
          <m:sub>
            <m:r>
              <w:rPr>
                <w:rFonts w:ascii="Cambria Math" w:hAnsi="Cambria Math"/>
                <w:snapToGrid w:val="0"/>
              </w:rPr>
              <m:t>mean</m:t>
            </m:r>
          </m:sub>
        </m:sSub>
        <m:r>
          <m:rPr>
            <m:sty m:val="p"/>
          </m:rPr>
          <w:rPr>
            <w:rFonts w:ascii="Cambria Math" w:hAnsi="Cambria Math"/>
            <w:snapToGrid w:val="0"/>
          </w:rPr>
          <m:t>=0.107</m:t>
        </m:r>
        <m:f>
          <m:fPr>
            <m:type m:val="lin"/>
            <m:ctrlPr>
              <w:rPr>
                <w:rFonts w:ascii="Cambria Math" w:hAnsi="Cambria Math"/>
                <w:snapToGrid w:val="0"/>
              </w:rPr>
            </m:ctrlPr>
          </m:fPr>
          <m:num>
            <m:sSup>
              <m:sSupPr>
                <m:ctrlPr>
                  <w:rPr>
                    <w:rFonts w:ascii="Cambria Math" w:hAnsi="Cambria Math"/>
                    <w:snapToGrid w:val="0"/>
                  </w:rPr>
                </m:ctrlPr>
              </m:sSupPr>
              <m:e>
                <m:r>
                  <w:rPr>
                    <w:rFonts w:ascii="Cambria Math" w:hAnsi="Cambria Math"/>
                    <w:snapToGrid w:val="0"/>
                  </w:rPr>
                  <m:t>m</m:t>
                </m:r>
              </m:e>
              <m:sup>
                <m:r>
                  <m:rPr>
                    <m:sty m:val="p"/>
                  </m:rPr>
                  <w:rPr>
                    <w:rFonts w:ascii="Cambria Math" w:hAnsi="Cambria Math"/>
                    <w:snapToGrid w:val="0"/>
                  </w:rPr>
                  <m:t>3</m:t>
                </m:r>
              </m:sup>
            </m:sSup>
          </m:num>
          <m:den>
            <m:sSup>
              <m:sSupPr>
                <m:ctrlPr>
                  <w:rPr>
                    <w:rFonts w:ascii="Cambria Math" w:hAnsi="Cambria Math"/>
                    <w:snapToGrid w:val="0"/>
                  </w:rPr>
                </m:ctrlPr>
              </m:sSupPr>
              <m:e>
                <m:r>
                  <w:rPr>
                    <w:rFonts w:ascii="Cambria Math" w:hAnsi="Cambria Math"/>
                    <w:snapToGrid w:val="0"/>
                  </w:rPr>
                  <m:t>m</m:t>
                </m:r>
              </m:e>
              <m:sup>
                <m:r>
                  <m:rPr>
                    <m:sty m:val="p"/>
                  </m:rPr>
                  <w:rPr>
                    <w:rFonts w:ascii="Cambria Math" w:hAnsi="Cambria Math"/>
                    <w:snapToGrid w:val="0"/>
                  </w:rPr>
                  <m:t>3</m:t>
                </m:r>
              </m:sup>
            </m:sSup>
          </m:den>
        </m:f>
      </m:oMath>
      <w:r w:rsidRPr="00D268DC">
        <w:rPr>
          <w:snapToGrid w:val="0"/>
        </w:rPr>
        <w:t xml:space="preserve">). </w:t>
      </w:r>
      <w:r>
        <w:rPr>
          <w:snapToGrid w:val="0"/>
        </w:rPr>
        <w:t>The</w:t>
      </w:r>
      <w:r w:rsidRPr="00D268DC">
        <w:rPr>
          <w:snapToGrid w:val="0"/>
        </w:rPr>
        <w:t xml:space="preserve"> geographical distributions of CC and RMSE of </w:t>
      </w:r>
      <w:r>
        <w:rPr>
          <w:snapToGrid w:val="0"/>
        </w:rPr>
        <w:t>local 6</w:t>
      </w:r>
      <w:r w:rsidRPr="00D268DC">
        <w:rPr>
          <w:snapToGrid w:val="0"/>
        </w:rPr>
        <w:t xml:space="preserve"> </w:t>
      </w:r>
      <w:r>
        <w:rPr>
          <w:snapToGrid w:val="0"/>
        </w:rPr>
        <w:t>A</w:t>
      </w:r>
      <w:r w:rsidRPr="00D268DC">
        <w:rPr>
          <w:snapToGrid w:val="0"/>
        </w:rPr>
        <w:t>M TC triplet</w:t>
      </w:r>
      <w:r>
        <w:rPr>
          <w:snapToGrid w:val="0"/>
        </w:rPr>
        <w:t>s (not shown here)</w:t>
      </w:r>
      <w:r w:rsidRPr="00D268DC">
        <w:rPr>
          <w:snapToGrid w:val="0"/>
        </w:rPr>
        <w:t xml:space="preserve"> </w:t>
      </w:r>
      <w:r>
        <w:rPr>
          <w:snapToGrid w:val="0"/>
        </w:rPr>
        <w:t>resemble those at</w:t>
      </w:r>
      <w:r w:rsidRPr="00D268DC">
        <w:rPr>
          <w:snapToGrid w:val="0"/>
        </w:rPr>
        <w:t xml:space="preserve"> </w:t>
      </w:r>
      <w:r>
        <w:rPr>
          <w:snapToGrid w:val="0"/>
        </w:rPr>
        <w:t>local 6</w:t>
      </w:r>
      <w:r w:rsidRPr="00D268DC">
        <w:rPr>
          <w:snapToGrid w:val="0"/>
        </w:rPr>
        <w:t xml:space="preserve"> </w:t>
      </w:r>
      <w:r>
        <w:rPr>
          <w:snapToGrid w:val="0"/>
        </w:rPr>
        <w:t>P</w:t>
      </w:r>
      <w:r w:rsidRPr="00D268DC">
        <w:rPr>
          <w:snapToGrid w:val="0"/>
        </w:rPr>
        <w:t>M</w:t>
      </w:r>
      <w:r>
        <w:rPr>
          <w:snapToGrid w:val="0"/>
        </w:rPr>
        <w:t xml:space="preserve"> (Figure </w:t>
      </w:r>
      <w:r w:rsidR="0080784A">
        <w:rPr>
          <w:snapToGrid w:val="0"/>
        </w:rPr>
        <w:t>3.</w:t>
      </w:r>
      <w:r>
        <w:rPr>
          <w:snapToGrid w:val="0"/>
        </w:rPr>
        <w:t>5).</w:t>
      </w:r>
    </w:p>
    <w:p w14:paraId="22223DC9" w14:textId="77777777" w:rsidR="000C7D16" w:rsidRDefault="000C7D16" w:rsidP="00A926A3">
      <w:pPr>
        <w:keepNext/>
        <w:ind w:left="-432"/>
      </w:pPr>
      <w:r>
        <w:rPr>
          <w:noProof/>
        </w:rPr>
        <w:drawing>
          <wp:inline distT="0" distB="0" distL="0" distR="0" wp14:anchorId="07C291BE" wp14:editId="74B710C4">
            <wp:extent cx="5943600" cy="2976245"/>
            <wp:effectExtent l="0" t="0" r="0" b="0"/>
            <wp:docPr id="14" name="图片 14" descr="图表&#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pic:nvPicPr>
                  <pic:blipFill>
                    <a:blip r:embed="rId65">
                      <a:extLst>
                        <a:ext uri="{28A0092B-C50C-407E-A947-70E740481C1C}">
                          <a14:useLocalDpi xmlns:a14="http://schemas.microsoft.com/office/drawing/2010/main" val="0"/>
                        </a:ext>
                      </a:extLst>
                    </a:blip>
                    <a:stretch>
                      <a:fillRect/>
                    </a:stretch>
                  </pic:blipFill>
                  <pic:spPr>
                    <a:xfrm>
                      <a:off x="0" y="0"/>
                      <a:ext cx="5943600" cy="2976245"/>
                    </a:xfrm>
                    <a:prstGeom prst="rect">
                      <a:avLst/>
                    </a:prstGeom>
                  </pic:spPr>
                </pic:pic>
              </a:graphicData>
            </a:graphic>
          </wp:inline>
        </w:drawing>
      </w:r>
    </w:p>
    <w:p w14:paraId="2B88B903" w14:textId="1A21DDA8" w:rsidR="002E3AA1" w:rsidRDefault="000C7D16" w:rsidP="000C7D16">
      <w:pPr>
        <w:pStyle w:val="a3"/>
        <w:ind w:firstLine="0"/>
        <w:rPr>
          <w:b w:val="0"/>
          <w:bCs w:val="0"/>
        </w:rPr>
      </w:pPr>
      <w:bookmarkStart w:id="121" w:name="_Toc75360571"/>
      <w:bookmarkStart w:id="122" w:name="_Toc75361839"/>
      <w:bookmarkStart w:id="123" w:name="_Toc75361894"/>
      <w:r>
        <w:t xml:space="preserve">Figure </w:t>
      </w:r>
      <w:r w:rsidR="00DB3F1A">
        <w:t>3</w:t>
      </w:r>
      <w:r w:rsidR="00764D25">
        <w:t>.</w:t>
      </w:r>
      <w:r>
        <w:fldChar w:fldCharType="begin"/>
      </w:r>
      <w:r>
        <w:instrText>SEQ Figure \* ARABIC \s 1</w:instrText>
      </w:r>
      <w:r>
        <w:fldChar w:fldCharType="separate"/>
      </w:r>
      <w:r w:rsidR="00492676">
        <w:rPr>
          <w:noProof/>
        </w:rPr>
        <w:t>5</w:t>
      </w:r>
      <w:r>
        <w:fldChar w:fldCharType="end"/>
      </w:r>
      <w:r>
        <w:t xml:space="preserve">. </w:t>
      </w:r>
      <w:r w:rsidRPr="000C7D16">
        <w:rPr>
          <w:b w:val="0"/>
          <w:bCs w:val="0"/>
        </w:rPr>
        <w:t>Product inter-comparison assessment through CC (left column) and RMSE (right column) after applying the TC method for Mesonet (first row), Noah (second row) and SMAP (third row) surface soil moisture products based on local 6 PM soil moisture values from April 2015 through July 2019.</w:t>
      </w:r>
      <w:bookmarkEnd w:id="121"/>
      <w:bookmarkEnd w:id="122"/>
      <w:bookmarkEnd w:id="123"/>
    </w:p>
    <w:p w14:paraId="1197BFF3" w14:textId="580D38C4" w:rsidR="00791780" w:rsidRDefault="00791780" w:rsidP="00791780"/>
    <w:p w14:paraId="564B687D" w14:textId="36BF286E" w:rsidR="00D54451" w:rsidRDefault="00D54451" w:rsidP="003F14F5">
      <w:pPr>
        <w:pStyle w:val="a3"/>
        <w:keepNext/>
        <w:ind w:firstLine="0"/>
      </w:pPr>
      <w:bookmarkStart w:id="124" w:name="_Toc75361146"/>
      <w:r>
        <w:t xml:space="preserve">Table </w:t>
      </w:r>
      <w:r w:rsidR="003F4A69">
        <w:t>3</w:t>
      </w:r>
      <w:r w:rsidR="00685F41">
        <w:t>.</w:t>
      </w:r>
      <w:r>
        <w:fldChar w:fldCharType="begin"/>
      </w:r>
      <w:r>
        <w:instrText>SEQ Table \* ARABIC \s 1</w:instrText>
      </w:r>
      <w:r>
        <w:fldChar w:fldCharType="separate"/>
      </w:r>
      <w:r w:rsidR="00492676">
        <w:rPr>
          <w:noProof/>
        </w:rPr>
        <w:t>4</w:t>
      </w:r>
      <w:r>
        <w:fldChar w:fldCharType="end"/>
      </w:r>
      <w:r>
        <w:t xml:space="preserve">. </w:t>
      </w:r>
      <w:r w:rsidRPr="00D54451">
        <w:rPr>
          <w:b w:val="0"/>
          <w:bCs w:val="0"/>
        </w:rPr>
        <w:t>Average CC and RMSE values obtained from the TC triplets at local 6:00 PM for Mesonet, Noah and SMAP over nine climate divisions of Oklahoma.</w:t>
      </w:r>
      <w:bookmarkEnd w:id="124"/>
    </w:p>
    <w:tbl>
      <w:tblPr>
        <w:tblStyle w:val="af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11"/>
        <w:gridCol w:w="1748"/>
        <w:gridCol w:w="1650"/>
        <w:gridCol w:w="1680"/>
      </w:tblGrid>
      <w:tr w:rsidR="00D54451" w:rsidRPr="00982B89" w14:paraId="596DB944" w14:textId="77777777" w:rsidTr="00344F98">
        <w:trPr>
          <w:jc w:val="center"/>
        </w:trPr>
        <w:tc>
          <w:tcPr>
            <w:tcW w:w="1820" w:type="dxa"/>
            <w:tcBorders>
              <w:top w:val="single" w:sz="4" w:space="0" w:color="auto"/>
              <w:bottom w:val="single" w:sz="4" w:space="0" w:color="auto"/>
            </w:tcBorders>
          </w:tcPr>
          <w:p w14:paraId="2C5BF0D0" w14:textId="77777777" w:rsidR="00D54451" w:rsidRPr="00982B89" w:rsidRDefault="00D54451" w:rsidP="00EF4F42">
            <w:pPr>
              <w:pStyle w:val="MDPI42tablebody"/>
            </w:pPr>
            <w:r>
              <w:t>Division</w:t>
            </w:r>
          </w:p>
        </w:tc>
        <w:tc>
          <w:tcPr>
            <w:tcW w:w="1511" w:type="dxa"/>
            <w:tcBorders>
              <w:top w:val="single" w:sz="4" w:space="0" w:color="auto"/>
              <w:bottom w:val="single" w:sz="4" w:space="0" w:color="auto"/>
            </w:tcBorders>
          </w:tcPr>
          <w:p w14:paraId="5E322165" w14:textId="77777777" w:rsidR="00D54451" w:rsidRPr="00982B89" w:rsidRDefault="00D54451" w:rsidP="00EF4F42">
            <w:pPr>
              <w:pStyle w:val="MDPI42tablebody"/>
            </w:pPr>
            <w:r>
              <w:t>Metric</w:t>
            </w:r>
          </w:p>
        </w:tc>
        <w:tc>
          <w:tcPr>
            <w:tcW w:w="1748" w:type="dxa"/>
            <w:tcBorders>
              <w:top w:val="single" w:sz="4" w:space="0" w:color="auto"/>
              <w:bottom w:val="single" w:sz="4" w:space="0" w:color="auto"/>
            </w:tcBorders>
          </w:tcPr>
          <w:p w14:paraId="4438049F" w14:textId="77777777" w:rsidR="00D54451" w:rsidRPr="00982B89" w:rsidRDefault="00D54451" w:rsidP="00EF4F42">
            <w:pPr>
              <w:pStyle w:val="MDPI42tablebody"/>
            </w:pPr>
            <w:r w:rsidRPr="00982B89">
              <w:t>Mesonet</w:t>
            </w:r>
          </w:p>
        </w:tc>
        <w:tc>
          <w:tcPr>
            <w:tcW w:w="1650" w:type="dxa"/>
            <w:tcBorders>
              <w:top w:val="single" w:sz="4" w:space="0" w:color="auto"/>
              <w:bottom w:val="single" w:sz="4" w:space="0" w:color="auto"/>
            </w:tcBorders>
          </w:tcPr>
          <w:p w14:paraId="341614F0" w14:textId="77777777" w:rsidR="00D54451" w:rsidRPr="00982B89" w:rsidRDefault="00D54451" w:rsidP="00EF4F42">
            <w:pPr>
              <w:pStyle w:val="MDPI42tablebody"/>
            </w:pPr>
            <w:r w:rsidRPr="00982B89">
              <w:t>Noah</w:t>
            </w:r>
          </w:p>
        </w:tc>
        <w:tc>
          <w:tcPr>
            <w:tcW w:w="1680" w:type="dxa"/>
            <w:tcBorders>
              <w:top w:val="single" w:sz="4" w:space="0" w:color="auto"/>
              <w:bottom w:val="single" w:sz="4" w:space="0" w:color="auto"/>
            </w:tcBorders>
          </w:tcPr>
          <w:p w14:paraId="4E2E1879" w14:textId="77777777" w:rsidR="00D54451" w:rsidRPr="00982B89" w:rsidRDefault="00D54451" w:rsidP="00EF4F42">
            <w:pPr>
              <w:pStyle w:val="MDPI42tablebody"/>
            </w:pPr>
            <w:r w:rsidRPr="00982B89">
              <w:t>SMAP</w:t>
            </w:r>
          </w:p>
        </w:tc>
      </w:tr>
      <w:tr w:rsidR="00D54451" w:rsidRPr="00982B89" w14:paraId="1B862272" w14:textId="77777777" w:rsidTr="00344F98">
        <w:trPr>
          <w:trHeight w:val="74"/>
          <w:jc w:val="center"/>
        </w:trPr>
        <w:tc>
          <w:tcPr>
            <w:tcW w:w="1820" w:type="dxa"/>
            <w:vMerge w:val="restart"/>
            <w:tcBorders>
              <w:top w:val="single" w:sz="4" w:space="0" w:color="auto"/>
            </w:tcBorders>
          </w:tcPr>
          <w:p w14:paraId="61694157" w14:textId="77777777" w:rsidR="00D54451" w:rsidRPr="00982B89" w:rsidRDefault="00D54451" w:rsidP="00EF4F42">
            <w:pPr>
              <w:pStyle w:val="MDPI42tablebody"/>
            </w:pPr>
            <w:r w:rsidRPr="00982B89">
              <w:t>Panhandle</w:t>
            </w:r>
          </w:p>
        </w:tc>
        <w:tc>
          <w:tcPr>
            <w:tcW w:w="1511" w:type="dxa"/>
            <w:tcBorders>
              <w:top w:val="single" w:sz="4" w:space="0" w:color="auto"/>
            </w:tcBorders>
          </w:tcPr>
          <w:p w14:paraId="1DFC8611"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Borders>
              <w:top w:val="single" w:sz="4" w:space="0" w:color="auto"/>
            </w:tcBorders>
          </w:tcPr>
          <w:p w14:paraId="7BAFFD62" w14:textId="77777777" w:rsidR="00D54451" w:rsidRPr="00982B89" w:rsidRDefault="00D54451" w:rsidP="00EF4F42">
            <w:pPr>
              <w:pStyle w:val="MDPI42tablebody"/>
            </w:pPr>
            <w:r w:rsidRPr="00982B89">
              <w:t>0.8</w:t>
            </w:r>
            <w:r>
              <w:t>8</w:t>
            </w:r>
          </w:p>
        </w:tc>
        <w:tc>
          <w:tcPr>
            <w:tcW w:w="1650" w:type="dxa"/>
            <w:tcBorders>
              <w:top w:val="single" w:sz="4" w:space="0" w:color="auto"/>
            </w:tcBorders>
          </w:tcPr>
          <w:p w14:paraId="2998962F" w14:textId="77777777" w:rsidR="00D54451" w:rsidRPr="00982B89" w:rsidRDefault="00D54451" w:rsidP="00EF4F42">
            <w:pPr>
              <w:pStyle w:val="MDPI42tablebody"/>
            </w:pPr>
            <w:r w:rsidRPr="00982B89">
              <w:t>0.7</w:t>
            </w:r>
            <w:r>
              <w:t>9</w:t>
            </w:r>
          </w:p>
        </w:tc>
        <w:tc>
          <w:tcPr>
            <w:tcW w:w="1680" w:type="dxa"/>
            <w:tcBorders>
              <w:top w:val="single" w:sz="4" w:space="0" w:color="auto"/>
            </w:tcBorders>
          </w:tcPr>
          <w:p w14:paraId="5DC64D08" w14:textId="77777777" w:rsidR="00D54451" w:rsidRPr="00982B89" w:rsidRDefault="00D54451" w:rsidP="00EF4F42">
            <w:pPr>
              <w:pStyle w:val="MDPI42tablebody"/>
            </w:pPr>
            <w:r w:rsidRPr="00982B89">
              <w:t>0.</w:t>
            </w:r>
            <w:r>
              <w:t>49</w:t>
            </w:r>
          </w:p>
        </w:tc>
      </w:tr>
      <w:tr w:rsidR="00D54451" w:rsidRPr="00982B89" w14:paraId="14DB4322" w14:textId="77777777" w:rsidTr="00344F98">
        <w:trPr>
          <w:trHeight w:val="73"/>
          <w:jc w:val="center"/>
        </w:trPr>
        <w:tc>
          <w:tcPr>
            <w:tcW w:w="1820" w:type="dxa"/>
            <w:vMerge/>
          </w:tcPr>
          <w:p w14:paraId="03E43088" w14:textId="77777777" w:rsidR="00D54451" w:rsidRPr="00982B89" w:rsidRDefault="00D54451" w:rsidP="00EF4F42">
            <w:pPr>
              <w:pStyle w:val="MDPI42tablebody"/>
            </w:pPr>
          </w:p>
        </w:tc>
        <w:tc>
          <w:tcPr>
            <w:tcW w:w="1511" w:type="dxa"/>
          </w:tcPr>
          <w:p w14:paraId="64267EF6"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33E18DFE" w14:textId="77777777" w:rsidR="00D54451" w:rsidRPr="00982B89" w:rsidRDefault="00D54451" w:rsidP="00EF4F42">
            <w:pPr>
              <w:pStyle w:val="MDPI42tablebody"/>
            </w:pPr>
            <w:r w:rsidRPr="00982B89">
              <w:t>0.0</w:t>
            </w:r>
            <w:r>
              <w:t>4</w:t>
            </w:r>
          </w:p>
        </w:tc>
        <w:tc>
          <w:tcPr>
            <w:tcW w:w="1650" w:type="dxa"/>
          </w:tcPr>
          <w:p w14:paraId="6F110EF4" w14:textId="77777777" w:rsidR="00D54451" w:rsidRPr="00982B89" w:rsidRDefault="00D54451" w:rsidP="00EF4F42">
            <w:pPr>
              <w:pStyle w:val="MDPI42tablebody"/>
            </w:pPr>
            <w:r w:rsidRPr="00982B89">
              <w:t>0.02</w:t>
            </w:r>
          </w:p>
        </w:tc>
        <w:tc>
          <w:tcPr>
            <w:tcW w:w="1680" w:type="dxa"/>
          </w:tcPr>
          <w:p w14:paraId="7C77A3FE" w14:textId="77777777" w:rsidR="00D54451" w:rsidRPr="00982B89" w:rsidRDefault="00D54451" w:rsidP="00EF4F42">
            <w:pPr>
              <w:pStyle w:val="MDPI42tablebody"/>
            </w:pPr>
            <w:r w:rsidRPr="00982B89">
              <w:t>0.</w:t>
            </w:r>
            <w:r>
              <w:t>06</w:t>
            </w:r>
          </w:p>
        </w:tc>
      </w:tr>
      <w:tr w:rsidR="00D54451" w:rsidRPr="00982B89" w14:paraId="1F64DD1D" w14:textId="77777777" w:rsidTr="00344F98">
        <w:trPr>
          <w:trHeight w:val="74"/>
          <w:jc w:val="center"/>
        </w:trPr>
        <w:tc>
          <w:tcPr>
            <w:tcW w:w="1820" w:type="dxa"/>
            <w:vMerge w:val="restart"/>
          </w:tcPr>
          <w:p w14:paraId="3AAB2C92" w14:textId="77777777" w:rsidR="00D54451" w:rsidRPr="00982B89" w:rsidRDefault="00D54451" w:rsidP="00EF4F42">
            <w:pPr>
              <w:pStyle w:val="MDPI42tablebody"/>
            </w:pPr>
            <w:r w:rsidRPr="00982B89">
              <w:t>West Central</w:t>
            </w:r>
          </w:p>
        </w:tc>
        <w:tc>
          <w:tcPr>
            <w:tcW w:w="1511" w:type="dxa"/>
          </w:tcPr>
          <w:p w14:paraId="53D99FE0"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5ED72F1D" w14:textId="77777777" w:rsidR="00D54451" w:rsidRPr="00982B89" w:rsidRDefault="00D54451" w:rsidP="00EF4F42">
            <w:pPr>
              <w:pStyle w:val="MDPI42tablebody"/>
            </w:pPr>
            <w:r w:rsidRPr="00982B89">
              <w:t>0.</w:t>
            </w:r>
            <w:r>
              <w:t>9</w:t>
            </w:r>
          </w:p>
        </w:tc>
        <w:tc>
          <w:tcPr>
            <w:tcW w:w="1650" w:type="dxa"/>
          </w:tcPr>
          <w:p w14:paraId="0037441B" w14:textId="77777777" w:rsidR="00D54451" w:rsidRPr="00982B89" w:rsidRDefault="00D54451" w:rsidP="00EF4F42">
            <w:pPr>
              <w:pStyle w:val="MDPI42tablebody"/>
            </w:pPr>
            <w:r w:rsidRPr="00982B89">
              <w:t>0.</w:t>
            </w:r>
            <w:r>
              <w:t>67</w:t>
            </w:r>
          </w:p>
        </w:tc>
        <w:tc>
          <w:tcPr>
            <w:tcW w:w="1680" w:type="dxa"/>
          </w:tcPr>
          <w:p w14:paraId="633C67BE" w14:textId="77777777" w:rsidR="00D54451" w:rsidRPr="00982B89" w:rsidRDefault="00D54451" w:rsidP="00EF4F42">
            <w:pPr>
              <w:pStyle w:val="MDPI42tablebody"/>
            </w:pPr>
            <w:r w:rsidRPr="00982B89">
              <w:t>0.3</w:t>
            </w:r>
            <w:r>
              <w:t>9</w:t>
            </w:r>
          </w:p>
        </w:tc>
      </w:tr>
      <w:tr w:rsidR="00D54451" w:rsidRPr="00982B89" w14:paraId="151C5BB9" w14:textId="77777777" w:rsidTr="00344F98">
        <w:trPr>
          <w:trHeight w:val="73"/>
          <w:jc w:val="center"/>
        </w:trPr>
        <w:tc>
          <w:tcPr>
            <w:tcW w:w="1820" w:type="dxa"/>
            <w:vMerge/>
          </w:tcPr>
          <w:p w14:paraId="7B835169" w14:textId="77777777" w:rsidR="00D54451" w:rsidRPr="00982B89" w:rsidRDefault="00D54451" w:rsidP="00EF4F42">
            <w:pPr>
              <w:pStyle w:val="MDPI42tablebody"/>
            </w:pPr>
          </w:p>
        </w:tc>
        <w:tc>
          <w:tcPr>
            <w:tcW w:w="1511" w:type="dxa"/>
          </w:tcPr>
          <w:p w14:paraId="77D72BF7"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4BEA8A1" w14:textId="77777777" w:rsidR="00D54451" w:rsidRPr="00982B89" w:rsidRDefault="00D54451" w:rsidP="00EF4F42">
            <w:pPr>
              <w:pStyle w:val="MDPI42tablebody"/>
            </w:pPr>
            <w:r w:rsidRPr="00982B89">
              <w:t>0.04</w:t>
            </w:r>
          </w:p>
        </w:tc>
        <w:tc>
          <w:tcPr>
            <w:tcW w:w="1650" w:type="dxa"/>
          </w:tcPr>
          <w:p w14:paraId="7157F2BD" w14:textId="77777777" w:rsidR="00D54451" w:rsidRPr="00982B89" w:rsidRDefault="00D54451" w:rsidP="00EF4F42">
            <w:pPr>
              <w:pStyle w:val="MDPI42tablebody"/>
            </w:pPr>
            <w:r w:rsidRPr="00982B89">
              <w:t>0.0</w:t>
            </w:r>
            <w:r>
              <w:t>3</w:t>
            </w:r>
          </w:p>
        </w:tc>
        <w:tc>
          <w:tcPr>
            <w:tcW w:w="1680" w:type="dxa"/>
          </w:tcPr>
          <w:p w14:paraId="56083D16" w14:textId="77777777" w:rsidR="00D54451" w:rsidRPr="00982B89" w:rsidRDefault="00D54451" w:rsidP="00EF4F42">
            <w:pPr>
              <w:pStyle w:val="MDPI42tablebody"/>
            </w:pPr>
            <w:r w:rsidRPr="00982B89">
              <w:t>0.0</w:t>
            </w:r>
            <w:r>
              <w:t>7</w:t>
            </w:r>
          </w:p>
        </w:tc>
      </w:tr>
      <w:tr w:rsidR="00D54451" w:rsidRPr="00982B89" w14:paraId="218A35E5" w14:textId="77777777" w:rsidTr="00344F98">
        <w:trPr>
          <w:trHeight w:val="74"/>
          <w:jc w:val="center"/>
        </w:trPr>
        <w:tc>
          <w:tcPr>
            <w:tcW w:w="1820" w:type="dxa"/>
            <w:vMerge w:val="restart"/>
          </w:tcPr>
          <w:p w14:paraId="7BF77CCE" w14:textId="77777777" w:rsidR="00D54451" w:rsidRPr="00982B89" w:rsidRDefault="00D54451" w:rsidP="00EF4F42">
            <w:pPr>
              <w:pStyle w:val="MDPI42tablebody"/>
            </w:pPr>
            <w:r w:rsidRPr="00982B89">
              <w:t>Southwest</w:t>
            </w:r>
          </w:p>
        </w:tc>
        <w:tc>
          <w:tcPr>
            <w:tcW w:w="1511" w:type="dxa"/>
          </w:tcPr>
          <w:p w14:paraId="607BD84E"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A2610B7" w14:textId="77777777" w:rsidR="00D54451" w:rsidRPr="00982B89" w:rsidRDefault="00D54451" w:rsidP="00EF4F42">
            <w:pPr>
              <w:pStyle w:val="MDPI42tablebody"/>
            </w:pPr>
            <w:r w:rsidRPr="00982B89">
              <w:t>0.</w:t>
            </w:r>
            <w:r>
              <w:t>92</w:t>
            </w:r>
          </w:p>
        </w:tc>
        <w:tc>
          <w:tcPr>
            <w:tcW w:w="1650" w:type="dxa"/>
          </w:tcPr>
          <w:p w14:paraId="715BF0ED" w14:textId="77777777" w:rsidR="00D54451" w:rsidRPr="00982B89" w:rsidRDefault="00D54451" w:rsidP="00EF4F42">
            <w:pPr>
              <w:pStyle w:val="MDPI42tablebody"/>
            </w:pPr>
            <w:r w:rsidRPr="00982B89">
              <w:t>0.7</w:t>
            </w:r>
            <w:r>
              <w:t>5</w:t>
            </w:r>
          </w:p>
        </w:tc>
        <w:tc>
          <w:tcPr>
            <w:tcW w:w="1680" w:type="dxa"/>
          </w:tcPr>
          <w:p w14:paraId="6F36B9FE" w14:textId="77777777" w:rsidR="00D54451" w:rsidRPr="00982B89" w:rsidRDefault="00D54451" w:rsidP="00EF4F42">
            <w:pPr>
              <w:pStyle w:val="MDPI42tablebody"/>
            </w:pPr>
            <w:r w:rsidRPr="00982B89">
              <w:t>0.4</w:t>
            </w:r>
            <w:r>
              <w:t>7</w:t>
            </w:r>
          </w:p>
        </w:tc>
      </w:tr>
      <w:tr w:rsidR="00D54451" w:rsidRPr="00982B89" w14:paraId="62B313F0" w14:textId="77777777" w:rsidTr="00344F98">
        <w:trPr>
          <w:trHeight w:val="73"/>
          <w:jc w:val="center"/>
        </w:trPr>
        <w:tc>
          <w:tcPr>
            <w:tcW w:w="1820" w:type="dxa"/>
            <w:vMerge/>
          </w:tcPr>
          <w:p w14:paraId="4E4245F7" w14:textId="77777777" w:rsidR="00D54451" w:rsidRPr="00982B89" w:rsidRDefault="00D54451" w:rsidP="00EF4F42">
            <w:pPr>
              <w:pStyle w:val="MDPI42tablebody"/>
            </w:pPr>
          </w:p>
        </w:tc>
        <w:tc>
          <w:tcPr>
            <w:tcW w:w="1511" w:type="dxa"/>
          </w:tcPr>
          <w:p w14:paraId="5F830246"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3FFB26B3" w14:textId="77777777" w:rsidR="00D54451" w:rsidRPr="00982B89" w:rsidRDefault="00D54451" w:rsidP="00EF4F42">
            <w:pPr>
              <w:pStyle w:val="MDPI42tablebody"/>
            </w:pPr>
            <w:r w:rsidRPr="00982B89">
              <w:t>0.04</w:t>
            </w:r>
          </w:p>
        </w:tc>
        <w:tc>
          <w:tcPr>
            <w:tcW w:w="1650" w:type="dxa"/>
          </w:tcPr>
          <w:p w14:paraId="210870C1" w14:textId="77777777" w:rsidR="00D54451" w:rsidRPr="00982B89" w:rsidRDefault="00D54451" w:rsidP="00EF4F42">
            <w:pPr>
              <w:pStyle w:val="MDPI42tablebody"/>
            </w:pPr>
            <w:r w:rsidRPr="00982B89">
              <w:t>0.02</w:t>
            </w:r>
          </w:p>
        </w:tc>
        <w:tc>
          <w:tcPr>
            <w:tcW w:w="1680" w:type="dxa"/>
          </w:tcPr>
          <w:p w14:paraId="5BDA59C7" w14:textId="77777777" w:rsidR="00D54451" w:rsidRPr="00982B89" w:rsidRDefault="00D54451" w:rsidP="00EF4F42">
            <w:pPr>
              <w:pStyle w:val="MDPI42tablebody"/>
            </w:pPr>
            <w:r w:rsidRPr="00982B89">
              <w:t>0.06</w:t>
            </w:r>
          </w:p>
        </w:tc>
      </w:tr>
      <w:tr w:rsidR="00D54451" w:rsidRPr="00982B89" w14:paraId="1C3C2B56" w14:textId="77777777" w:rsidTr="00344F98">
        <w:trPr>
          <w:trHeight w:val="74"/>
          <w:jc w:val="center"/>
        </w:trPr>
        <w:tc>
          <w:tcPr>
            <w:tcW w:w="1820" w:type="dxa"/>
            <w:vMerge w:val="restart"/>
          </w:tcPr>
          <w:p w14:paraId="0B10C691" w14:textId="77777777" w:rsidR="00D54451" w:rsidRPr="00982B89" w:rsidRDefault="00D54451" w:rsidP="00EF4F42">
            <w:pPr>
              <w:pStyle w:val="MDPI42tablebody"/>
            </w:pPr>
            <w:r w:rsidRPr="00982B89">
              <w:t>North Central</w:t>
            </w:r>
          </w:p>
        </w:tc>
        <w:tc>
          <w:tcPr>
            <w:tcW w:w="1511" w:type="dxa"/>
          </w:tcPr>
          <w:p w14:paraId="1D9E5D21"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5F677428" w14:textId="77777777" w:rsidR="00D54451" w:rsidRPr="00982B89" w:rsidRDefault="00D54451" w:rsidP="00EF4F42">
            <w:pPr>
              <w:pStyle w:val="MDPI42tablebody"/>
            </w:pPr>
            <w:r w:rsidRPr="00982B89">
              <w:t>0.8</w:t>
            </w:r>
          </w:p>
        </w:tc>
        <w:tc>
          <w:tcPr>
            <w:tcW w:w="1650" w:type="dxa"/>
          </w:tcPr>
          <w:p w14:paraId="1EE01313" w14:textId="77777777" w:rsidR="00D54451" w:rsidRPr="00982B89" w:rsidRDefault="00D54451" w:rsidP="00EF4F42">
            <w:pPr>
              <w:pStyle w:val="MDPI42tablebody"/>
            </w:pPr>
            <w:r w:rsidRPr="00982B89">
              <w:t>0.7</w:t>
            </w:r>
          </w:p>
        </w:tc>
        <w:tc>
          <w:tcPr>
            <w:tcW w:w="1680" w:type="dxa"/>
          </w:tcPr>
          <w:p w14:paraId="15489300" w14:textId="77777777" w:rsidR="00D54451" w:rsidRPr="00982B89" w:rsidRDefault="00D54451" w:rsidP="00EF4F42">
            <w:pPr>
              <w:pStyle w:val="MDPI42tablebody"/>
            </w:pPr>
            <w:r w:rsidRPr="00982B89">
              <w:t>0.32</w:t>
            </w:r>
          </w:p>
        </w:tc>
      </w:tr>
      <w:tr w:rsidR="00D54451" w:rsidRPr="00982B89" w14:paraId="581A0ACD" w14:textId="77777777" w:rsidTr="00344F98">
        <w:trPr>
          <w:trHeight w:val="73"/>
          <w:jc w:val="center"/>
        </w:trPr>
        <w:tc>
          <w:tcPr>
            <w:tcW w:w="1820" w:type="dxa"/>
            <w:vMerge/>
          </w:tcPr>
          <w:p w14:paraId="4B574EE5" w14:textId="77777777" w:rsidR="00D54451" w:rsidRPr="00982B89" w:rsidRDefault="00D54451" w:rsidP="00EF4F42">
            <w:pPr>
              <w:pStyle w:val="MDPI42tablebody"/>
            </w:pPr>
          </w:p>
        </w:tc>
        <w:tc>
          <w:tcPr>
            <w:tcW w:w="1511" w:type="dxa"/>
          </w:tcPr>
          <w:p w14:paraId="6F7A7A0F"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48A98D9B" w14:textId="77777777" w:rsidR="00D54451" w:rsidRPr="00982B89" w:rsidRDefault="00D54451" w:rsidP="00EF4F42">
            <w:pPr>
              <w:pStyle w:val="MDPI42tablebody"/>
            </w:pPr>
            <w:r w:rsidRPr="00982B89">
              <w:t>0.06</w:t>
            </w:r>
          </w:p>
        </w:tc>
        <w:tc>
          <w:tcPr>
            <w:tcW w:w="1650" w:type="dxa"/>
          </w:tcPr>
          <w:p w14:paraId="2BAA4C66" w14:textId="77777777" w:rsidR="00D54451" w:rsidRPr="00982B89" w:rsidRDefault="00D54451" w:rsidP="00EF4F42">
            <w:pPr>
              <w:pStyle w:val="MDPI42tablebody"/>
            </w:pPr>
            <w:r w:rsidRPr="00982B89">
              <w:t>0.03</w:t>
            </w:r>
          </w:p>
        </w:tc>
        <w:tc>
          <w:tcPr>
            <w:tcW w:w="1680" w:type="dxa"/>
          </w:tcPr>
          <w:p w14:paraId="3F41BDC5" w14:textId="77777777" w:rsidR="00D54451" w:rsidRPr="00982B89" w:rsidRDefault="00D54451" w:rsidP="00EF4F42">
            <w:pPr>
              <w:pStyle w:val="MDPI42tablebody"/>
            </w:pPr>
            <w:r w:rsidRPr="00982B89">
              <w:t>0.11</w:t>
            </w:r>
          </w:p>
        </w:tc>
      </w:tr>
      <w:tr w:rsidR="00D54451" w:rsidRPr="00982B89" w14:paraId="111EAF8D" w14:textId="77777777" w:rsidTr="00344F98">
        <w:trPr>
          <w:trHeight w:val="74"/>
          <w:jc w:val="center"/>
        </w:trPr>
        <w:tc>
          <w:tcPr>
            <w:tcW w:w="1820" w:type="dxa"/>
            <w:vMerge w:val="restart"/>
          </w:tcPr>
          <w:p w14:paraId="7A1D4B50" w14:textId="77777777" w:rsidR="00D54451" w:rsidRPr="00982B89" w:rsidRDefault="00D54451" w:rsidP="00EF4F42">
            <w:pPr>
              <w:pStyle w:val="MDPI42tablebody"/>
            </w:pPr>
            <w:r w:rsidRPr="00982B89">
              <w:t>Central</w:t>
            </w:r>
          </w:p>
        </w:tc>
        <w:tc>
          <w:tcPr>
            <w:tcW w:w="1511" w:type="dxa"/>
          </w:tcPr>
          <w:p w14:paraId="50DF2B08"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1C82AC33" w14:textId="77777777" w:rsidR="00D54451" w:rsidRPr="00982B89" w:rsidRDefault="00D54451" w:rsidP="00EF4F42">
            <w:pPr>
              <w:pStyle w:val="MDPI42tablebody"/>
            </w:pPr>
            <w:r w:rsidRPr="00982B89">
              <w:t>0.</w:t>
            </w:r>
            <w:r>
              <w:t>75</w:t>
            </w:r>
          </w:p>
        </w:tc>
        <w:tc>
          <w:tcPr>
            <w:tcW w:w="1650" w:type="dxa"/>
          </w:tcPr>
          <w:p w14:paraId="5C14CF48" w14:textId="77777777" w:rsidR="00D54451" w:rsidRPr="00982B89" w:rsidRDefault="00D54451" w:rsidP="00EF4F42">
            <w:pPr>
              <w:pStyle w:val="MDPI42tablebody"/>
            </w:pPr>
            <w:r w:rsidRPr="00982B89">
              <w:t>0.</w:t>
            </w:r>
            <w:r>
              <w:t>75</w:t>
            </w:r>
          </w:p>
        </w:tc>
        <w:tc>
          <w:tcPr>
            <w:tcW w:w="1680" w:type="dxa"/>
          </w:tcPr>
          <w:p w14:paraId="2560E42F" w14:textId="77777777" w:rsidR="00D54451" w:rsidRPr="00982B89" w:rsidRDefault="00D54451" w:rsidP="00EF4F42">
            <w:pPr>
              <w:pStyle w:val="MDPI42tablebody"/>
            </w:pPr>
            <w:r w:rsidRPr="00982B89">
              <w:t>0.</w:t>
            </w:r>
            <w:r>
              <w:t>28</w:t>
            </w:r>
          </w:p>
        </w:tc>
      </w:tr>
      <w:tr w:rsidR="00D54451" w:rsidRPr="00982B89" w14:paraId="3E872388" w14:textId="77777777" w:rsidTr="00344F98">
        <w:trPr>
          <w:trHeight w:val="73"/>
          <w:jc w:val="center"/>
        </w:trPr>
        <w:tc>
          <w:tcPr>
            <w:tcW w:w="1820" w:type="dxa"/>
            <w:vMerge/>
          </w:tcPr>
          <w:p w14:paraId="61416AD8" w14:textId="77777777" w:rsidR="00D54451" w:rsidRPr="00982B89" w:rsidRDefault="00D54451" w:rsidP="00EF4F42">
            <w:pPr>
              <w:pStyle w:val="MDPI42tablebody"/>
            </w:pPr>
          </w:p>
        </w:tc>
        <w:tc>
          <w:tcPr>
            <w:tcW w:w="1511" w:type="dxa"/>
          </w:tcPr>
          <w:p w14:paraId="25ACCA45"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0D87ED2" w14:textId="77777777" w:rsidR="00D54451" w:rsidRPr="00982B89" w:rsidRDefault="00D54451" w:rsidP="00EF4F42">
            <w:pPr>
              <w:pStyle w:val="MDPI42tablebody"/>
            </w:pPr>
            <w:r w:rsidRPr="00982B89">
              <w:t>0.0</w:t>
            </w:r>
            <w:r>
              <w:t>5</w:t>
            </w:r>
          </w:p>
        </w:tc>
        <w:tc>
          <w:tcPr>
            <w:tcW w:w="1650" w:type="dxa"/>
          </w:tcPr>
          <w:p w14:paraId="3C86429D" w14:textId="77777777" w:rsidR="00D54451" w:rsidRPr="00982B89" w:rsidRDefault="00D54451" w:rsidP="00EF4F42">
            <w:pPr>
              <w:pStyle w:val="MDPI42tablebody"/>
            </w:pPr>
            <w:r w:rsidRPr="00982B89">
              <w:t>0.0</w:t>
            </w:r>
            <w:r>
              <w:t>3</w:t>
            </w:r>
          </w:p>
        </w:tc>
        <w:tc>
          <w:tcPr>
            <w:tcW w:w="1680" w:type="dxa"/>
          </w:tcPr>
          <w:p w14:paraId="05B6527C" w14:textId="77777777" w:rsidR="00D54451" w:rsidRPr="00982B89" w:rsidRDefault="00D54451" w:rsidP="00EF4F42">
            <w:pPr>
              <w:pStyle w:val="MDPI42tablebody"/>
            </w:pPr>
            <w:r w:rsidRPr="00982B89">
              <w:t>0.</w:t>
            </w:r>
            <w:r>
              <w:t>09</w:t>
            </w:r>
          </w:p>
        </w:tc>
      </w:tr>
      <w:tr w:rsidR="00D54451" w:rsidRPr="00982B89" w14:paraId="11151A65" w14:textId="77777777" w:rsidTr="00344F98">
        <w:trPr>
          <w:trHeight w:val="74"/>
          <w:jc w:val="center"/>
        </w:trPr>
        <w:tc>
          <w:tcPr>
            <w:tcW w:w="1820" w:type="dxa"/>
            <w:vMerge w:val="restart"/>
          </w:tcPr>
          <w:p w14:paraId="616AF2FE" w14:textId="77777777" w:rsidR="00D54451" w:rsidRPr="00982B89" w:rsidRDefault="00D54451" w:rsidP="00EF4F42">
            <w:pPr>
              <w:pStyle w:val="MDPI42tablebody"/>
            </w:pPr>
            <w:r w:rsidRPr="00982B89">
              <w:t>South Central</w:t>
            </w:r>
          </w:p>
        </w:tc>
        <w:tc>
          <w:tcPr>
            <w:tcW w:w="1511" w:type="dxa"/>
          </w:tcPr>
          <w:p w14:paraId="5EF8EB44"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E666640" w14:textId="77777777" w:rsidR="00D54451" w:rsidRPr="00982B89" w:rsidRDefault="00D54451" w:rsidP="00EF4F42">
            <w:pPr>
              <w:pStyle w:val="MDPI42tablebody"/>
            </w:pPr>
            <w:r w:rsidRPr="00982B89">
              <w:t>0.</w:t>
            </w:r>
            <w:r>
              <w:t>88</w:t>
            </w:r>
          </w:p>
        </w:tc>
        <w:tc>
          <w:tcPr>
            <w:tcW w:w="1650" w:type="dxa"/>
          </w:tcPr>
          <w:p w14:paraId="096D50DD" w14:textId="77777777" w:rsidR="00D54451" w:rsidRPr="00982B89" w:rsidRDefault="00D54451" w:rsidP="00EF4F42">
            <w:pPr>
              <w:pStyle w:val="MDPI42tablebody"/>
            </w:pPr>
            <w:r w:rsidRPr="00982B89">
              <w:t>0.</w:t>
            </w:r>
            <w:r>
              <w:t>86</w:t>
            </w:r>
          </w:p>
        </w:tc>
        <w:tc>
          <w:tcPr>
            <w:tcW w:w="1680" w:type="dxa"/>
          </w:tcPr>
          <w:p w14:paraId="41C3D6D2" w14:textId="77777777" w:rsidR="00D54451" w:rsidRPr="00982B89" w:rsidRDefault="00D54451" w:rsidP="00EF4F42">
            <w:pPr>
              <w:pStyle w:val="MDPI42tablebody"/>
            </w:pPr>
            <w:r w:rsidRPr="00982B89">
              <w:t>0.</w:t>
            </w:r>
            <w:r>
              <w:t>33</w:t>
            </w:r>
          </w:p>
        </w:tc>
      </w:tr>
      <w:tr w:rsidR="00D54451" w:rsidRPr="00982B89" w14:paraId="741B4AEC" w14:textId="77777777" w:rsidTr="00344F98">
        <w:trPr>
          <w:trHeight w:val="73"/>
          <w:jc w:val="center"/>
        </w:trPr>
        <w:tc>
          <w:tcPr>
            <w:tcW w:w="1820" w:type="dxa"/>
            <w:vMerge/>
          </w:tcPr>
          <w:p w14:paraId="71A261F1" w14:textId="77777777" w:rsidR="00D54451" w:rsidRPr="00982B89" w:rsidRDefault="00D54451" w:rsidP="00EF4F42">
            <w:pPr>
              <w:pStyle w:val="MDPI42tablebody"/>
            </w:pPr>
          </w:p>
        </w:tc>
        <w:tc>
          <w:tcPr>
            <w:tcW w:w="1511" w:type="dxa"/>
          </w:tcPr>
          <w:p w14:paraId="7D943ECD"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3B3A402D" w14:textId="77777777" w:rsidR="00D54451" w:rsidRPr="00982B89" w:rsidRDefault="00D54451" w:rsidP="00EF4F42">
            <w:pPr>
              <w:pStyle w:val="MDPI42tablebody"/>
            </w:pPr>
            <w:r w:rsidRPr="00982B89">
              <w:t>0.0</w:t>
            </w:r>
            <w:r>
              <w:t>4</w:t>
            </w:r>
          </w:p>
        </w:tc>
        <w:tc>
          <w:tcPr>
            <w:tcW w:w="1650" w:type="dxa"/>
          </w:tcPr>
          <w:p w14:paraId="44BCC202" w14:textId="77777777" w:rsidR="00D54451" w:rsidRPr="00982B89" w:rsidRDefault="00D54451" w:rsidP="00EF4F42">
            <w:pPr>
              <w:pStyle w:val="MDPI42tablebody"/>
            </w:pPr>
            <w:r w:rsidRPr="00982B89">
              <w:t>0.0</w:t>
            </w:r>
            <w:r>
              <w:t>2</w:t>
            </w:r>
          </w:p>
        </w:tc>
        <w:tc>
          <w:tcPr>
            <w:tcW w:w="1680" w:type="dxa"/>
          </w:tcPr>
          <w:p w14:paraId="186BA164" w14:textId="77777777" w:rsidR="00D54451" w:rsidRPr="00982B89" w:rsidRDefault="00D54451" w:rsidP="00EF4F42">
            <w:pPr>
              <w:pStyle w:val="MDPI42tablebody"/>
            </w:pPr>
            <w:r w:rsidRPr="00982B89">
              <w:t>0.09</w:t>
            </w:r>
          </w:p>
        </w:tc>
      </w:tr>
      <w:tr w:rsidR="00D54451" w:rsidRPr="00982B89" w14:paraId="4C7D8674" w14:textId="77777777" w:rsidTr="00344F98">
        <w:trPr>
          <w:trHeight w:val="74"/>
          <w:jc w:val="center"/>
        </w:trPr>
        <w:tc>
          <w:tcPr>
            <w:tcW w:w="1820" w:type="dxa"/>
            <w:vMerge w:val="restart"/>
          </w:tcPr>
          <w:p w14:paraId="56163885" w14:textId="77777777" w:rsidR="00D54451" w:rsidRPr="00982B89" w:rsidRDefault="00D54451" w:rsidP="00EF4F42">
            <w:pPr>
              <w:pStyle w:val="MDPI42tablebody"/>
            </w:pPr>
            <w:r w:rsidRPr="00982B89">
              <w:t>Northeast</w:t>
            </w:r>
          </w:p>
        </w:tc>
        <w:tc>
          <w:tcPr>
            <w:tcW w:w="1511" w:type="dxa"/>
          </w:tcPr>
          <w:p w14:paraId="2D8318AA"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1955FD23" w14:textId="77777777" w:rsidR="00D54451" w:rsidRPr="00982B89" w:rsidRDefault="00D54451" w:rsidP="00EF4F42">
            <w:pPr>
              <w:pStyle w:val="MDPI42tablebody"/>
            </w:pPr>
            <w:r w:rsidRPr="00982B89">
              <w:t>0.</w:t>
            </w:r>
            <w:r>
              <w:t>58</w:t>
            </w:r>
          </w:p>
        </w:tc>
        <w:tc>
          <w:tcPr>
            <w:tcW w:w="1650" w:type="dxa"/>
          </w:tcPr>
          <w:p w14:paraId="12DCF738" w14:textId="77777777" w:rsidR="00D54451" w:rsidRPr="00982B89" w:rsidRDefault="00D54451" w:rsidP="00EF4F42">
            <w:pPr>
              <w:pStyle w:val="MDPI42tablebody"/>
            </w:pPr>
            <w:r w:rsidRPr="00982B89">
              <w:t>0.6</w:t>
            </w:r>
            <w:r>
              <w:t>6</w:t>
            </w:r>
          </w:p>
        </w:tc>
        <w:tc>
          <w:tcPr>
            <w:tcW w:w="1680" w:type="dxa"/>
          </w:tcPr>
          <w:p w14:paraId="4204C81B" w14:textId="77777777" w:rsidR="00D54451" w:rsidRPr="00982B89" w:rsidRDefault="00D54451" w:rsidP="00EF4F42">
            <w:pPr>
              <w:pStyle w:val="MDPI42tablebody"/>
            </w:pPr>
            <w:r w:rsidRPr="00982B89">
              <w:t>0.</w:t>
            </w:r>
            <w:r>
              <w:t>12</w:t>
            </w:r>
          </w:p>
        </w:tc>
      </w:tr>
      <w:tr w:rsidR="00D54451" w:rsidRPr="00982B89" w14:paraId="5EA2AEA1" w14:textId="77777777" w:rsidTr="00344F98">
        <w:trPr>
          <w:trHeight w:val="73"/>
          <w:jc w:val="center"/>
        </w:trPr>
        <w:tc>
          <w:tcPr>
            <w:tcW w:w="1820" w:type="dxa"/>
            <w:vMerge/>
          </w:tcPr>
          <w:p w14:paraId="069BF765" w14:textId="77777777" w:rsidR="00D54451" w:rsidRPr="00982B89" w:rsidRDefault="00D54451" w:rsidP="00EF4F42">
            <w:pPr>
              <w:pStyle w:val="MDPI42tablebody"/>
            </w:pPr>
          </w:p>
        </w:tc>
        <w:tc>
          <w:tcPr>
            <w:tcW w:w="1511" w:type="dxa"/>
          </w:tcPr>
          <w:p w14:paraId="286E9CB5"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367E9C61" w14:textId="77777777" w:rsidR="00D54451" w:rsidRPr="00982B89" w:rsidRDefault="00D54451" w:rsidP="00EF4F42">
            <w:pPr>
              <w:pStyle w:val="MDPI42tablebody"/>
            </w:pPr>
            <w:r w:rsidRPr="00982B89">
              <w:t>0.0</w:t>
            </w:r>
            <w:r>
              <w:t>9</w:t>
            </w:r>
          </w:p>
        </w:tc>
        <w:tc>
          <w:tcPr>
            <w:tcW w:w="1650" w:type="dxa"/>
          </w:tcPr>
          <w:p w14:paraId="3241F9CD" w14:textId="77777777" w:rsidR="00D54451" w:rsidRPr="00982B89" w:rsidRDefault="00D54451" w:rsidP="00EF4F42">
            <w:pPr>
              <w:pStyle w:val="MDPI42tablebody"/>
            </w:pPr>
            <w:r w:rsidRPr="00982B89">
              <w:t>0.0</w:t>
            </w:r>
            <w:r>
              <w:t>4</w:t>
            </w:r>
          </w:p>
        </w:tc>
        <w:tc>
          <w:tcPr>
            <w:tcW w:w="1680" w:type="dxa"/>
          </w:tcPr>
          <w:p w14:paraId="2818E8AB" w14:textId="77777777" w:rsidR="00D54451" w:rsidRPr="00982B89" w:rsidRDefault="00D54451" w:rsidP="00EF4F42">
            <w:pPr>
              <w:pStyle w:val="MDPI42tablebody"/>
            </w:pPr>
            <w:r w:rsidRPr="00982B89">
              <w:t>0.</w:t>
            </w:r>
            <w:r>
              <w:t>18</w:t>
            </w:r>
          </w:p>
        </w:tc>
      </w:tr>
      <w:tr w:rsidR="00D54451" w:rsidRPr="00982B89" w14:paraId="6934316B" w14:textId="77777777" w:rsidTr="00344F98">
        <w:trPr>
          <w:trHeight w:val="74"/>
          <w:jc w:val="center"/>
        </w:trPr>
        <w:tc>
          <w:tcPr>
            <w:tcW w:w="1820" w:type="dxa"/>
            <w:vMerge w:val="restart"/>
          </w:tcPr>
          <w:p w14:paraId="22122D68" w14:textId="77777777" w:rsidR="00D54451" w:rsidRPr="00982B89" w:rsidRDefault="00D54451" w:rsidP="00EF4F42">
            <w:pPr>
              <w:pStyle w:val="MDPI42tablebody"/>
            </w:pPr>
            <w:r w:rsidRPr="00982B89">
              <w:t>East Central</w:t>
            </w:r>
          </w:p>
        </w:tc>
        <w:tc>
          <w:tcPr>
            <w:tcW w:w="1511" w:type="dxa"/>
          </w:tcPr>
          <w:p w14:paraId="2E64BD3C"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9BC6117" w14:textId="77777777" w:rsidR="00D54451" w:rsidRPr="00982B89" w:rsidRDefault="00D54451" w:rsidP="00EF4F42">
            <w:pPr>
              <w:pStyle w:val="MDPI42tablebody"/>
            </w:pPr>
            <w:r w:rsidRPr="00982B89">
              <w:t>0.76</w:t>
            </w:r>
          </w:p>
        </w:tc>
        <w:tc>
          <w:tcPr>
            <w:tcW w:w="1650" w:type="dxa"/>
          </w:tcPr>
          <w:p w14:paraId="7AE59554" w14:textId="77777777" w:rsidR="00D54451" w:rsidRPr="00982B89" w:rsidRDefault="00D54451" w:rsidP="00EF4F42">
            <w:pPr>
              <w:pStyle w:val="MDPI42tablebody"/>
            </w:pPr>
            <w:r w:rsidRPr="00982B89">
              <w:t>0.76</w:t>
            </w:r>
          </w:p>
        </w:tc>
        <w:tc>
          <w:tcPr>
            <w:tcW w:w="1680" w:type="dxa"/>
          </w:tcPr>
          <w:p w14:paraId="549EBFE2" w14:textId="77777777" w:rsidR="00D54451" w:rsidRPr="00982B89" w:rsidRDefault="00D54451" w:rsidP="00EF4F42">
            <w:pPr>
              <w:pStyle w:val="MDPI42tablebody"/>
            </w:pPr>
            <w:r w:rsidRPr="00982B89">
              <w:t>0.23</w:t>
            </w:r>
          </w:p>
        </w:tc>
      </w:tr>
      <w:tr w:rsidR="00D54451" w:rsidRPr="00982B89" w14:paraId="0F5687FE" w14:textId="77777777" w:rsidTr="00344F98">
        <w:trPr>
          <w:trHeight w:val="73"/>
          <w:jc w:val="center"/>
        </w:trPr>
        <w:tc>
          <w:tcPr>
            <w:tcW w:w="1820" w:type="dxa"/>
            <w:vMerge/>
          </w:tcPr>
          <w:p w14:paraId="1258BA6E" w14:textId="77777777" w:rsidR="00D54451" w:rsidRPr="00982B89" w:rsidRDefault="00D54451" w:rsidP="00EF4F42">
            <w:pPr>
              <w:pStyle w:val="MDPI42tablebody"/>
            </w:pPr>
          </w:p>
        </w:tc>
        <w:tc>
          <w:tcPr>
            <w:tcW w:w="1511" w:type="dxa"/>
          </w:tcPr>
          <w:p w14:paraId="70F4B84B"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74F0722" w14:textId="77777777" w:rsidR="00D54451" w:rsidRPr="00982B89" w:rsidRDefault="00D54451" w:rsidP="00EF4F42">
            <w:pPr>
              <w:pStyle w:val="MDPI42tablebody"/>
            </w:pPr>
            <w:r w:rsidRPr="00982B89">
              <w:t>0.06</w:t>
            </w:r>
          </w:p>
        </w:tc>
        <w:tc>
          <w:tcPr>
            <w:tcW w:w="1650" w:type="dxa"/>
          </w:tcPr>
          <w:p w14:paraId="2DD1A727" w14:textId="77777777" w:rsidR="00D54451" w:rsidRPr="00982B89" w:rsidRDefault="00D54451" w:rsidP="00EF4F42">
            <w:pPr>
              <w:pStyle w:val="MDPI42tablebody"/>
            </w:pPr>
            <w:r w:rsidRPr="00982B89">
              <w:t>0.02</w:t>
            </w:r>
          </w:p>
        </w:tc>
        <w:tc>
          <w:tcPr>
            <w:tcW w:w="1680" w:type="dxa"/>
          </w:tcPr>
          <w:p w14:paraId="5F064A20" w14:textId="77777777" w:rsidR="00D54451" w:rsidRPr="00982B89" w:rsidRDefault="00D54451" w:rsidP="00EF4F42">
            <w:pPr>
              <w:pStyle w:val="MDPI42tablebody"/>
            </w:pPr>
            <w:r w:rsidRPr="00982B89">
              <w:t>0.15</w:t>
            </w:r>
          </w:p>
        </w:tc>
      </w:tr>
      <w:tr w:rsidR="00D54451" w:rsidRPr="00982B89" w14:paraId="0BBB3407" w14:textId="77777777" w:rsidTr="00344F98">
        <w:trPr>
          <w:trHeight w:val="74"/>
          <w:jc w:val="center"/>
        </w:trPr>
        <w:tc>
          <w:tcPr>
            <w:tcW w:w="1820" w:type="dxa"/>
            <w:vMerge w:val="restart"/>
          </w:tcPr>
          <w:p w14:paraId="05ABD100" w14:textId="77777777" w:rsidR="00D54451" w:rsidRPr="00982B89" w:rsidRDefault="00D54451" w:rsidP="00EF4F42">
            <w:pPr>
              <w:pStyle w:val="MDPI42tablebody"/>
            </w:pPr>
            <w:r w:rsidRPr="00982B89">
              <w:t>Southeast</w:t>
            </w:r>
          </w:p>
        </w:tc>
        <w:tc>
          <w:tcPr>
            <w:tcW w:w="1511" w:type="dxa"/>
          </w:tcPr>
          <w:p w14:paraId="2B7DA98B"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EDE0A59" w14:textId="77777777" w:rsidR="00D54451" w:rsidRPr="00982B89" w:rsidRDefault="00D54451" w:rsidP="00EF4F42">
            <w:pPr>
              <w:pStyle w:val="MDPI42tablebody"/>
            </w:pPr>
            <w:r w:rsidRPr="00982B89">
              <w:t>0.</w:t>
            </w:r>
            <w:r>
              <w:t>85</w:t>
            </w:r>
          </w:p>
        </w:tc>
        <w:tc>
          <w:tcPr>
            <w:tcW w:w="1650" w:type="dxa"/>
          </w:tcPr>
          <w:p w14:paraId="773FAB6E" w14:textId="77777777" w:rsidR="00D54451" w:rsidRPr="00982B89" w:rsidRDefault="00D54451" w:rsidP="00EF4F42">
            <w:pPr>
              <w:pStyle w:val="MDPI42tablebody"/>
            </w:pPr>
            <w:r w:rsidRPr="00982B89">
              <w:t>0.7</w:t>
            </w:r>
            <w:r>
              <w:t>6</w:t>
            </w:r>
          </w:p>
        </w:tc>
        <w:tc>
          <w:tcPr>
            <w:tcW w:w="1680" w:type="dxa"/>
          </w:tcPr>
          <w:p w14:paraId="60A09684" w14:textId="77777777" w:rsidR="00D54451" w:rsidRPr="00982B89" w:rsidRDefault="00D54451" w:rsidP="00EF4F42">
            <w:pPr>
              <w:pStyle w:val="MDPI42tablebody"/>
            </w:pPr>
            <w:r w:rsidRPr="00982B89">
              <w:t>0.</w:t>
            </w:r>
            <w:r>
              <w:t>25</w:t>
            </w:r>
          </w:p>
        </w:tc>
      </w:tr>
      <w:tr w:rsidR="00D54451" w:rsidRPr="00982B89" w14:paraId="734A9CA4" w14:textId="77777777" w:rsidTr="00344F98">
        <w:trPr>
          <w:trHeight w:val="73"/>
          <w:jc w:val="center"/>
        </w:trPr>
        <w:tc>
          <w:tcPr>
            <w:tcW w:w="1820" w:type="dxa"/>
            <w:vMerge/>
          </w:tcPr>
          <w:p w14:paraId="27C79D80" w14:textId="77777777" w:rsidR="00D54451" w:rsidRPr="00982B89" w:rsidRDefault="00D54451" w:rsidP="00EF4F42">
            <w:pPr>
              <w:pStyle w:val="MDPI42tablebody"/>
            </w:pPr>
          </w:p>
        </w:tc>
        <w:tc>
          <w:tcPr>
            <w:tcW w:w="1511" w:type="dxa"/>
          </w:tcPr>
          <w:p w14:paraId="2FF210BE" w14:textId="77777777" w:rsidR="00D54451" w:rsidRPr="00982B89"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479094F" w14:textId="77777777" w:rsidR="00D54451" w:rsidRPr="00982B89" w:rsidRDefault="00D54451" w:rsidP="00EF4F42">
            <w:pPr>
              <w:pStyle w:val="MDPI42tablebody"/>
            </w:pPr>
            <w:r w:rsidRPr="00982B89">
              <w:t>0.0</w:t>
            </w:r>
            <w:r>
              <w:t>5</w:t>
            </w:r>
          </w:p>
        </w:tc>
        <w:tc>
          <w:tcPr>
            <w:tcW w:w="1650" w:type="dxa"/>
          </w:tcPr>
          <w:p w14:paraId="6267160E" w14:textId="77777777" w:rsidR="00D54451" w:rsidRPr="00982B89" w:rsidRDefault="00D54451" w:rsidP="00EF4F42">
            <w:pPr>
              <w:pStyle w:val="MDPI42tablebody"/>
            </w:pPr>
            <w:r w:rsidRPr="00982B89">
              <w:t>0.02</w:t>
            </w:r>
          </w:p>
        </w:tc>
        <w:tc>
          <w:tcPr>
            <w:tcW w:w="1680" w:type="dxa"/>
          </w:tcPr>
          <w:p w14:paraId="27C608C1" w14:textId="77777777" w:rsidR="00D54451" w:rsidRPr="00982B89" w:rsidRDefault="00D54451" w:rsidP="00EF4F42">
            <w:pPr>
              <w:pStyle w:val="MDPI42tablebody"/>
            </w:pPr>
            <w:r w:rsidRPr="00982B89">
              <w:t>0.</w:t>
            </w:r>
            <w:r>
              <w:t>16</w:t>
            </w:r>
          </w:p>
        </w:tc>
      </w:tr>
    </w:tbl>
    <w:p w14:paraId="0E47ACB2" w14:textId="212F3214" w:rsidR="002C20EA" w:rsidRDefault="002C20EA" w:rsidP="00F70EA8">
      <w:pPr>
        <w:ind w:firstLine="0"/>
      </w:pPr>
    </w:p>
    <w:p w14:paraId="2AA0FB9D" w14:textId="3101337F" w:rsidR="006B72F6" w:rsidRDefault="00DA686F" w:rsidP="00DA686F">
      <w:pPr>
        <w:pStyle w:val="3"/>
      </w:pPr>
      <w:bookmarkStart w:id="125" w:name="_Toc75939856"/>
      <w:r>
        <w:t xml:space="preserve">3.4.2 </w:t>
      </w:r>
      <w:r w:rsidRPr="00DA686F">
        <w:t>Seasonally-integrated Product Intercomparison of Soil moisture Values</w:t>
      </w:r>
      <w:bookmarkEnd w:id="125"/>
    </w:p>
    <w:p w14:paraId="535E4648" w14:textId="28807910" w:rsidR="00F70EA8" w:rsidRDefault="00F70EA8" w:rsidP="00F70EA8">
      <w:r w:rsidRPr="0030057D">
        <w:t xml:space="preserve">Figure </w:t>
      </w:r>
      <w:r w:rsidR="0080784A">
        <w:t>3.</w:t>
      </w:r>
      <w:r>
        <w:t>6 (</w:t>
      </w:r>
      <w:r w:rsidR="005F44CD">
        <w:t>s</w:t>
      </w:r>
      <w:r>
        <w:t xml:space="preserve">pring), Figure </w:t>
      </w:r>
      <w:r w:rsidR="0080784A">
        <w:t>3.</w:t>
      </w:r>
      <w:r>
        <w:t>7 (</w:t>
      </w:r>
      <w:r w:rsidR="005F44CD">
        <w:t>s</w:t>
      </w:r>
      <w:r>
        <w:t xml:space="preserve">ummer), Figure </w:t>
      </w:r>
      <w:r w:rsidR="0080784A">
        <w:t>3.</w:t>
      </w:r>
      <w:r>
        <w:t>8 (</w:t>
      </w:r>
      <w:r w:rsidR="005F44CD">
        <w:t>f</w:t>
      </w:r>
      <w:r>
        <w:t xml:space="preserve">all), and Figure </w:t>
      </w:r>
      <w:r w:rsidR="0080784A">
        <w:t>3.</w:t>
      </w:r>
      <w:r>
        <w:t>9 (</w:t>
      </w:r>
      <w:r w:rsidR="005F44CD">
        <w:t>w</w:t>
      </w:r>
      <w:r>
        <w:t>inter)</w:t>
      </w:r>
      <w:r w:rsidRPr="0030057D">
        <w:t xml:space="preserve"> show th</w:t>
      </w:r>
      <w:r>
        <w:t xml:space="preserve">e spatial distribution of seasonally averaged </w:t>
      </w:r>
      <w:r w:rsidRPr="0030057D">
        <w:t xml:space="preserve">CC and RMSE values </w:t>
      </w:r>
      <w:r>
        <w:t>obtained from the TC triplets at local</w:t>
      </w:r>
      <w:r w:rsidRPr="009E1875">
        <w:t xml:space="preserve"> </w:t>
      </w:r>
      <w:r>
        <w:t xml:space="preserve">6:00 </w:t>
      </w:r>
      <w:r w:rsidRPr="009E1875">
        <w:t>AM</w:t>
      </w:r>
      <w:r>
        <w:t xml:space="preserve">. The results gathered for local 6:00 PM are highly similar and consistent with those for 6:00 AM. In </w:t>
      </w:r>
      <w:r w:rsidR="005F44CD">
        <w:t>s</w:t>
      </w:r>
      <w:r>
        <w:t xml:space="preserve">pring (Figure </w:t>
      </w:r>
      <w:r w:rsidR="0080784A">
        <w:t>3.</w:t>
      </w:r>
      <w:r>
        <w:t xml:space="preserve">6 and Table </w:t>
      </w:r>
      <w:r w:rsidR="0080784A">
        <w:t>3.</w:t>
      </w:r>
      <w:r>
        <w:t>5), at the state scale, Mesonet provides the highest spatio-temporal, integrated averaged CC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0.753, followed by Noah with a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0.680. SMAP has the lowest (among the three products)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0.463. However, t</w:t>
      </w:r>
      <w:r w:rsidRPr="00A62E84">
        <w:t>he correlation</w:t>
      </w:r>
      <w:r>
        <w:t xml:space="preserve"> values </w:t>
      </w:r>
      <w:r w:rsidRPr="00A62E84">
        <w:t>var</w:t>
      </w:r>
      <w:r>
        <w:t>y</w:t>
      </w:r>
      <w:r w:rsidRPr="00A62E84">
        <w:t xml:space="preserve"> </w:t>
      </w:r>
      <w:r>
        <w:t>geographically</w:t>
      </w:r>
      <w:r w:rsidRPr="00A62E84">
        <w:t xml:space="preserve">. </w:t>
      </w:r>
      <w:r w:rsidRPr="00494D1E">
        <w:t xml:space="preserve">Mesonet provides high averaged CC values in </w:t>
      </w:r>
      <w:r>
        <w:t xml:space="preserve">the Panhandle, West Central, and </w:t>
      </w:r>
      <w:r w:rsidRPr="00494D1E">
        <w:t>South Central</w:t>
      </w:r>
      <w:r>
        <w:t xml:space="preserve"> </w:t>
      </w:r>
      <w:r w:rsidRPr="00494D1E">
        <w:t>(0.</w:t>
      </w:r>
      <w:r>
        <w:t>89</w:t>
      </w:r>
      <w:r w:rsidRPr="00494D1E">
        <w:t>, 0.</w:t>
      </w:r>
      <w:r>
        <w:t>82</w:t>
      </w:r>
      <w:r w:rsidRPr="00494D1E">
        <w:t>, 0.8</w:t>
      </w:r>
      <w:r>
        <w:t>1</w:t>
      </w:r>
      <w:r w:rsidRPr="00494D1E">
        <w:t>, respectively)</w:t>
      </w:r>
      <w:r>
        <w:t xml:space="preserve"> divisions,</w:t>
      </w:r>
      <w:r w:rsidRPr="00494D1E">
        <w:t xml:space="preserve"> </w:t>
      </w:r>
      <w:r>
        <w:t>w</w:t>
      </w:r>
      <w:r w:rsidRPr="00494D1E">
        <w:t xml:space="preserve">hile low averaged correlation is shown in </w:t>
      </w:r>
      <w:r>
        <w:t xml:space="preserve">the </w:t>
      </w:r>
      <w:r w:rsidRPr="00494D1E">
        <w:t>Northeast</w:t>
      </w:r>
      <w:r>
        <w:t xml:space="preserve"> and Southeast</w:t>
      </w:r>
      <w:r w:rsidRPr="00494D1E">
        <w:t xml:space="preserve"> (0.</w:t>
      </w:r>
      <w:r>
        <w:t>66 and 0.65</w:t>
      </w:r>
      <w:r w:rsidRPr="00494D1E">
        <w:t xml:space="preserve">). Noah exhibits high averaged CC in </w:t>
      </w:r>
      <w:r>
        <w:t xml:space="preserve">the </w:t>
      </w:r>
      <w:r w:rsidRPr="00494D1E">
        <w:t>Panhandle</w:t>
      </w:r>
      <w:r>
        <w:t>, Southwest</w:t>
      </w:r>
      <w:r w:rsidRPr="00494D1E">
        <w:t xml:space="preserve"> and South Central (0.7</w:t>
      </w:r>
      <w:r>
        <w:t>5</w:t>
      </w:r>
      <w:r w:rsidRPr="00494D1E">
        <w:t>,</w:t>
      </w:r>
      <w:r>
        <w:t xml:space="preserve"> 0.77,</w:t>
      </w:r>
      <w:r w:rsidRPr="00494D1E">
        <w:t xml:space="preserve"> 0.</w:t>
      </w:r>
      <w:r>
        <w:t>79</w:t>
      </w:r>
      <w:r w:rsidRPr="00494D1E">
        <w:t xml:space="preserve"> respectively)</w:t>
      </w:r>
      <w:r>
        <w:t xml:space="preserve"> while </w:t>
      </w:r>
      <w:r w:rsidRPr="00494D1E">
        <w:t xml:space="preserve">low </w:t>
      </w:r>
      <w:r>
        <w:t>values</w:t>
      </w:r>
      <w:r w:rsidRPr="00494D1E">
        <w:t xml:space="preserve"> in</w:t>
      </w:r>
      <w:r>
        <w:t xml:space="preserve"> North Central</w:t>
      </w:r>
      <w:r w:rsidRPr="00494D1E">
        <w:t xml:space="preserve">, and </w:t>
      </w:r>
      <w:r>
        <w:t>Southeast</w:t>
      </w:r>
      <w:r w:rsidRPr="00494D1E">
        <w:t xml:space="preserve"> (0.</w:t>
      </w:r>
      <w:r>
        <w:t>59</w:t>
      </w:r>
      <w:r w:rsidRPr="00494D1E">
        <w:t>, 0.</w:t>
      </w:r>
      <w:r>
        <w:t>5</w:t>
      </w:r>
      <w:r w:rsidRPr="00494D1E">
        <w:t xml:space="preserve">7 respectively). The CC mean values of SMAP are generally higher in </w:t>
      </w:r>
      <w:r>
        <w:t>the North Central and Southwest</w:t>
      </w:r>
      <w:r w:rsidRPr="00494D1E">
        <w:t xml:space="preserve"> </w:t>
      </w:r>
      <w:r>
        <w:t xml:space="preserve">regions </w:t>
      </w:r>
      <w:r w:rsidRPr="00494D1E">
        <w:t>(0.</w:t>
      </w:r>
      <w:r>
        <w:t>61 and 0.58</w:t>
      </w:r>
      <w:r w:rsidRPr="00494D1E">
        <w:t xml:space="preserve"> respectively) than those in </w:t>
      </w:r>
      <w:r>
        <w:t xml:space="preserve">the </w:t>
      </w:r>
      <w:r w:rsidRPr="00494D1E">
        <w:t>other six climate divisions.</w:t>
      </w:r>
      <w:r>
        <w:t xml:space="preserve"> </w:t>
      </w:r>
      <w:r w:rsidRPr="006E63E9">
        <w:t xml:space="preserve">As for the </w:t>
      </w:r>
      <w:r>
        <w:t>RMSE</w:t>
      </w:r>
      <w:r w:rsidRPr="006E63E9">
        <w:t xml:space="preserve">, </w:t>
      </w:r>
      <w:r>
        <w:t>Noah provi</w:t>
      </w:r>
      <w:r>
        <w:rPr>
          <w:rFonts w:eastAsiaTheme="minorEastAsia"/>
          <w:lang w:eastAsia="zh-CN"/>
        </w:rPr>
        <w:t xml:space="preserve">des the smallest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oMath>
      <w:r>
        <w:rPr>
          <w:rFonts w:eastAsiaTheme="minorEastAsia"/>
          <w:lang w:eastAsia="zh-CN"/>
        </w:rPr>
        <w:t xml:space="preserve"> of </w:t>
      </w:r>
      <w:r>
        <w:t>0.0229</w:t>
      </w:r>
      <w:r>
        <w:rPr>
          <w:rFonts w:eastAsiaTheme="minorEastAsia"/>
          <w:lang w:eastAsia="zh-CN"/>
        </w:rPr>
        <w:t xml:space="preserve">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followed by Mesonet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0.0405</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and SMAP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0.0706</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at the state scale</w:t>
      </w:r>
      <w:r w:rsidRPr="006E63E9">
        <w:t>.</w:t>
      </w:r>
      <w:r>
        <w:t xml:space="preserve"> Mesonet has low RMSE mean </w:t>
      </w:r>
      <w:r>
        <w:lastRenderedPageBreak/>
        <w:t xml:space="preserve">values (ranging from 0.03 to 0.05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but</w:t>
      </w:r>
      <w:r w:rsidRPr="006E63E9">
        <w:t xml:space="preserve"> </w:t>
      </w:r>
      <w:r>
        <w:t xml:space="preserve">Noah also exhibits low averaged RMSEs (ranging from 0.02 to 0.03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in all nine climate divisions. SMAP</w:t>
      </w:r>
      <w:r w:rsidRPr="006E63E9">
        <w:t xml:space="preserve"> </w:t>
      </w:r>
      <w:r>
        <w:t xml:space="preserve">presents low RMSE mean values in the Northeast, East Central, and Southeast (0.09, 0.1, and 0.11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xml:space="preserve">, respectively) while relatively </w:t>
      </w:r>
      <w:r w:rsidRPr="006E63E9">
        <w:t>high</w:t>
      </w:r>
      <w:r>
        <w:t>er</w:t>
      </w:r>
      <w:r w:rsidRPr="006E63E9">
        <w:t xml:space="preserve"> </w:t>
      </w:r>
      <w:r>
        <w:t>averaged RMSE values</w:t>
      </w:r>
      <w:r w:rsidRPr="006E63E9">
        <w:t xml:space="preserve"> in</w:t>
      </w:r>
      <w:r>
        <w:t xml:space="preserve"> the Panhandle and West Central (0.04 and 0.05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Overall</w:t>
      </w:r>
      <w:r w:rsidRPr="00C21154">
        <w:t xml:space="preserve">, among the nine climate divisions, Mesonet has higher mean CC values than Noah, while Noah provides lower averaged RMSE values than Mesonet. </w:t>
      </w:r>
      <w:r w:rsidRPr="00BB0B8C">
        <w:t xml:space="preserve"> SMAP</w:t>
      </w:r>
      <w:r>
        <w:t xml:space="preserve"> values are </w:t>
      </w:r>
      <w:r w:rsidRPr="00BB0B8C">
        <w:t>consistently lower-than-Mesonet (or Noah) averaged CC and higher-than-Mesonet (or Noah) averaged RMSE values over all nine climate divisions</w:t>
      </w:r>
      <w:r w:rsidRPr="00C21154">
        <w:t xml:space="preserve">. </w:t>
      </w:r>
      <w:r>
        <w:t>Regionally</w:t>
      </w:r>
      <w:r w:rsidRPr="00C21154">
        <w:t xml:space="preserve">, Mesonet </w:t>
      </w:r>
      <w:r>
        <w:t>shows</w:t>
      </w:r>
      <w:r w:rsidRPr="00C21154">
        <w:t xml:space="preserve"> </w:t>
      </w:r>
      <w:r>
        <w:t>high averaged CC values in the Panhandle, West Central, and Southwest</w:t>
      </w:r>
      <w:r w:rsidRPr="00C21154">
        <w:t>.</w:t>
      </w:r>
      <w:r>
        <w:t xml:space="preserve"> However, the averaged RMSE values for this product in these divisions are large. </w:t>
      </w:r>
      <w:r w:rsidRPr="00C21154">
        <w:t>Noah</w:t>
      </w:r>
      <w:r>
        <w:t>, on the other hand,</w:t>
      </w:r>
      <w:r w:rsidRPr="00C21154">
        <w:t xml:space="preserve"> </w:t>
      </w:r>
      <w:r>
        <w:t>illustrates</w:t>
      </w:r>
      <w:r w:rsidRPr="00C21154">
        <w:t xml:space="preserve"> better performance in </w:t>
      </w:r>
      <w:r>
        <w:t xml:space="preserve">the </w:t>
      </w:r>
      <w:r w:rsidRPr="00C21154">
        <w:t>South Central</w:t>
      </w:r>
      <w:r>
        <w:t xml:space="preserve"> and Southwest divisions,</w:t>
      </w:r>
      <w:r w:rsidRPr="00C21154">
        <w:t xml:space="preserve"> </w:t>
      </w:r>
      <w:r>
        <w:t>that worsens</w:t>
      </w:r>
      <w:r w:rsidRPr="00C21154">
        <w:t xml:space="preserve"> in </w:t>
      </w:r>
      <w:r>
        <w:t xml:space="preserve">the </w:t>
      </w:r>
      <w:r w:rsidRPr="00C21154">
        <w:t>North Central</w:t>
      </w:r>
      <w:r>
        <w:t xml:space="preserve"> and </w:t>
      </w:r>
      <w:r w:rsidRPr="00C21154">
        <w:t>Northeast</w:t>
      </w:r>
      <w:r>
        <w:t xml:space="preserve"> climate divisions</w:t>
      </w:r>
      <w:r w:rsidRPr="00C21154">
        <w:t xml:space="preserve">. </w:t>
      </w:r>
      <w:r>
        <w:t xml:space="preserve">Finally, </w:t>
      </w:r>
      <w:r w:rsidRPr="00C21154">
        <w:t>SMAP perform</w:t>
      </w:r>
      <w:r>
        <w:t>s best</w:t>
      </w:r>
      <w:r w:rsidRPr="00C21154">
        <w:t xml:space="preserve"> in </w:t>
      </w:r>
      <w:r>
        <w:t xml:space="preserve">the </w:t>
      </w:r>
      <w:r w:rsidRPr="00C21154">
        <w:t xml:space="preserve">Panhandle, Southwest, West Central, </w:t>
      </w:r>
      <w:r>
        <w:t>and North</w:t>
      </w:r>
      <w:r w:rsidRPr="00C21154">
        <w:t xml:space="preserve"> Central </w:t>
      </w:r>
      <w:r>
        <w:t>but presents poor results</w:t>
      </w:r>
      <w:r w:rsidRPr="00C21154">
        <w:t xml:space="preserve"> in </w:t>
      </w:r>
      <w:r>
        <w:t xml:space="preserve">the </w:t>
      </w:r>
      <w:r w:rsidRPr="00C21154">
        <w:t xml:space="preserve">Northeast, East Central, </w:t>
      </w:r>
      <w:r>
        <w:t xml:space="preserve">and </w:t>
      </w:r>
      <w:r w:rsidRPr="00C21154">
        <w:t>Southeast</w:t>
      </w:r>
      <w:r>
        <w:t xml:space="preserve"> divisions</w:t>
      </w:r>
      <w:r w:rsidRPr="00C21154">
        <w:t xml:space="preserve">. </w:t>
      </w:r>
    </w:p>
    <w:p w14:paraId="62BB26AC" w14:textId="1E3573C0" w:rsidR="00F70EA8" w:rsidRDefault="00F70EA8" w:rsidP="00F70EA8">
      <w:r>
        <w:t xml:space="preserve">In summer (Figure </w:t>
      </w:r>
      <w:r w:rsidR="0080784A">
        <w:t>3.</w:t>
      </w:r>
      <w:r>
        <w:t xml:space="preserve">7 and Table </w:t>
      </w:r>
      <w:r w:rsidR="0080784A">
        <w:t>3.</w:t>
      </w:r>
      <w:r>
        <w:t>6), Mesonet provides the highest spatio-temporal, integrated averaged CC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Pr>
          <w:rFonts w:eastAsiaTheme="minorEastAsia"/>
          <w:lang w:eastAsia="zh-CN"/>
        </w:rPr>
        <w:t>0.807</w:t>
      </w:r>
      <w:r>
        <w:t xml:space="preserve">, followed by Noah with a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Pr>
          <w:rFonts w:eastAsiaTheme="minorEastAsia"/>
          <w:lang w:eastAsia="zh-CN"/>
        </w:rPr>
        <w:t>0.769</w:t>
      </w:r>
      <w:r>
        <w:t xml:space="preserve">. Among the three products, SMAP presents the lowest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sidRPr="00E01C3A">
        <w:rPr>
          <w:rFonts w:eastAsiaTheme="minorEastAsia"/>
          <w:lang w:eastAsia="zh-CN"/>
        </w:rPr>
        <w:t>0.285</w:t>
      </w:r>
      <w:r>
        <w:t>. However, t</w:t>
      </w:r>
      <w:r w:rsidRPr="00A62E84">
        <w:t>he</w:t>
      </w:r>
      <w:r>
        <w:t>se</w:t>
      </w:r>
      <w:r w:rsidRPr="00A62E84">
        <w:t xml:space="preserve"> correlation</w:t>
      </w:r>
      <w:r>
        <w:t xml:space="preserve">s </w:t>
      </w:r>
      <w:r w:rsidRPr="00A62E84">
        <w:t>var</w:t>
      </w:r>
      <w:r>
        <w:t>y</w:t>
      </w:r>
      <w:r w:rsidRPr="00A62E84">
        <w:t xml:space="preserve"> </w:t>
      </w:r>
      <w:r>
        <w:t>geographically</w:t>
      </w:r>
      <w:r w:rsidRPr="00A62E84">
        <w:t xml:space="preserve">. </w:t>
      </w:r>
      <w:r w:rsidRPr="00494D1E">
        <w:t xml:space="preserve">Mesonet provides high averaged CC values in </w:t>
      </w:r>
      <w:r>
        <w:t xml:space="preserve">the West Central, Southwest and Panhandle </w:t>
      </w:r>
      <w:r w:rsidRPr="00494D1E">
        <w:t>(0.</w:t>
      </w:r>
      <w:r>
        <w:t>96</w:t>
      </w:r>
      <w:r w:rsidRPr="00494D1E">
        <w:t>, 0.</w:t>
      </w:r>
      <w:r>
        <w:t>93</w:t>
      </w:r>
      <w:r w:rsidRPr="00494D1E">
        <w:t>, 0.8</w:t>
      </w:r>
      <w:r>
        <w:t>7</w:t>
      </w:r>
      <w:r w:rsidRPr="00494D1E">
        <w:t>, respectively)</w:t>
      </w:r>
      <w:r>
        <w:t>, w</w:t>
      </w:r>
      <w:r w:rsidRPr="00494D1E">
        <w:t>hile low</w:t>
      </w:r>
      <w:r>
        <w:t>er</w:t>
      </w:r>
      <w:r w:rsidRPr="00494D1E">
        <w:t xml:space="preserve"> </w:t>
      </w:r>
      <w:r>
        <w:t>values</w:t>
      </w:r>
      <w:r w:rsidRPr="00494D1E">
        <w:t xml:space="preserve"> </w:t>
      </w:r>
      <w:r>
        <w:t>are</w:t>
      </w:r>
      <w:r w:rsidRPr="00494D1E">
        <w:t xml:space="preserve"> shown in </w:t>
      </w:r>
      <w:r>
        <w:t xml:space="preserve">the </w:t>
      </w:r>
      <w:r w:rsidRPr="00494D1E">
        <w:t>Northeas</w:t>
      </w:r>
      <w:r>
        <w:t xml:space="preserve">t </w:t>
      </w:r>
      <w:r w:rsidRPr="00494D1E">
        <w:t>(0.</w:t>
      </w:r>
      <w:r>
        <w:t>68</w:t>
      </w:r>
      <w:r w:rsidRPr="00494D1E">
        <w:t xml:space="preserve">). Noah </w:t>
      </w:r>
      <w:r>
        <w:t xml:space="preserve">has the </w:t>
      </w:r>
      <w:r w:rsidRPr="00494D1E">
        <w:t>high</w:t>
      </w:r>
      <w:r>
        <w:t>est</w:t>
      </w:r>
      <w:r w:rsidRPr="00494D1E">
        <w:t xml:space="preserve"> averaged CC in </w:t>
      </w:r>
      <w:r>
        <w:t xml:space="preserve">the </w:t>
      </w:r>
      <w:r w:rsidRPr="00494D1E">
        <w:t>Panhandle (</w:t>
      </w:r>
      <w:r>
        <w:t>0.91</w:t>
      </w:r>
      <w:r w:rsidRPr="00494D1E">
        <w:t>)</w:t>
      </w:r>
      <w:r>
        <w:t xml:space="preserve"> but the lowest </w:t>
      </w:r>
      <w:r w:rsidRPr="00494D1E">
        <w:t>in</w:t>
      </w:r>
      <w:r>
        <w:t xml:space="preserve"> the Northeast</w:t>
      </w:r>
      <w:r w:rsidRPr="00494D1E">
        <w:t xml:space="preserve"> (</w:t>
      </w:r>
      <w:r>
        <w:t>0.65</w:t>
      </w:r>
      <w:r w:rsidRPr="00494D1E">
        <w:t xml:space="preserve">). The CC mean values of SMAP are generally higher in </w:t>
      </w:r>
      <w:r>
        <w:t>the Panhandle and Southwest</w:t>
      </w:r>
      <w:r w:rsidRPr="00494D1E">
        <w:t xml:space="preserve"> (0.</w:t>
      </w:r>
      <w:r>
        <w:t>56 and 0.45</w:t>
      </w:r>
      <w:r w:rsidRPr="00494D1E">
        <w:t xml:space="preserve"> respectively) than those in </w:t>
      </w:r>
      <w:r>
        <w:t xml:space="preserve">the </w:t>
      </w:r>
      <w:r w:rsidRPr="00494D1E">
        <w:t>other six climate divisions.</w:t>
      </w:r>
      <w:r>
        <w:t xml:space="preserve"> </w:t>
      </w:r>
      <w:r w:rsidRPr="006E63E9">
        <w:t xml:space="preserve">As for the </w:t>
      </w:r>
      <w:r>
        <w:t>RMSE</w:t>
      </w:r>
      <w:r w:rsidRPr="006E63E9">
        <w:t xml:space="preserve">, </w:t>
      </w:r>
      <w:r>
        <w:t>Noah provi</w:t>
      </w:r>
      <w:r>
        <w:rPr>
          <w:rFonts w:eastAsiaTheme="minorEastAsia"/>
          <w:lang w:eastAsia="zh-CN"/>
        </w:rPr>
        <w:t xml:space="preserve">des the smallest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oMath>
      <w:r>
        <w:rPr>
          <w:rFonts w:eastAsiaTheme="minorEastAsia"/>
          <w:lang w:eastAsia="zh-CN"/>
        </w:rPr>
        <w:t xml:space="preserve"> of </w:t>
      </w:r>
      <w:r>
        <w:t>0.0244</w:t>
      </w:r>
      <w:r>
        <w:rPr>
          <w:rFonts w:eastAsiaTheme="minorEastAsia"/>
          <w:lang w:eastAsia="zh-CN"/>
        </w:rPr>
        <w:t xml:space="preserve">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followed by Mesonet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0.0546</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and SMAP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0.1121</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at the state scale</w:t>
      </w:r>
      <w:r w:rsidRPr="006E63E9">
        <w:t>.</w:t>
      </w:r>
      <w:r>
        <w:t xml:space="preserve"> Climatic division-wise, Mesonet has </w:t>
      </w:r>
      <w:r>
        <w:lastRenderedPageBreak/>
        <w:t xml:space="preserve">low RMSE mean values, all of which are 0.03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xml:space="preserve"> in the West Central, Panhandle, and Southwest, while it presents high averaged RMSE in the Northeast (0.1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xml:space="preserve">). Noah exhibits low averaged RMSEs (ranging from 0.02 to 0.03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in all nine climate divisions. SMAP</w:t>
      </w:r>
      <w:r w:rsidRPr="006E63E9">
        <w:t xml:space="preserve"> exhibits </w:t>
      </w:r>
      <w:r>
        <w:t xml:space="preserve">low RMSE mean values in the Panhandle, Southwest, and West Central (0.06, 0.07, and 0.07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xml:space="preserve">, respectively) but </w:t>
      </w:r>
      <w:r w:rsidRPr="006E63E9">
        <w:t>high</w:t>
      </w:r>
      <w:r>
        <w:t>er</w:t>
      </w:r>
      <w:r w:rsidRPr="006E63E9">
        <w:t xml:space="preserve"> </w:t>
      </w:r>
      <w:r>
        <w:t>RMSE values</w:t>
      </w:r>
      <w:r w:rsidRPr="006E63E9">
        <w:t xml:space="preserve"> in</w:t>
      </w:r>
      <w:r>
        <w:t xml:space="preserve"> the Northeast, Southeast and East Central (0.19, 0.16, and 0.15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lang w:eastAsia="zh-CN"/>
        </w:rPr>
        <w:t>, respectively</w:t>
      </w:r>
      <w:r>
        <w:t>). Overall</w:t>
      </w:r>
      <w:r w:rsidRPr="00C21154">
        <w:t xml:space="preserve">, among the nine climate divisions, </w:t>
      </w:r>
      <w:r>
        <w:t xml:space="preserve">Noah performs best in the Panhandle (CC=0.91, RMSE=0.02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and South Central (CC=0.78, RMSE=0.03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divisions, followed by Mesonet. In the other six climate divisions, </w:t>
      </w:r>
      <w:r w:rsidRPr="00C21154">
        <w:t xml:space="preserve">Mesonet has higher mean CC values than Noah, while Noah provides lower averaged RMSE values than Mesonet. </w:t>
      </w:r>
      <w:r w:rsidRPr="003319B4">
        <w:t xml:space="preserve">SMAP </w:t>
      </w:r>
      <w:r>
        <w:t xml:space="preserve">values are </w:t>
      </w:r>
      <w:r w:rsidRPr="003319B4">
        <w:t>consistently lower-than-Mesonet (or Noah) averaged CC and higher-than-Mesonet (or Noah) averaged RMSE values over all nine climate divisions.</w:t>
      </w:r>
      <w:r w:rsidRPr="00C21154">
        <w:t xml:space="preserve"> </w:t>
      </w:r>
      <w:r>
        <w:t>Product-wise</w:t>
      </w:r>
      <w:r w:rsidRPr="00C21154">
        <w:t>, Mesonet has</w:t>
      </w:r>
      <w:r>
        <w:t xml:space="preserve"> </w:t>
      </w:r>
      <w:r w:rsidRPr="00C21154">
        <w:t xml:space="preserve">better performance in </w:t>
      </w:r>
      <w:r>
        <w:t>the West Central, Southwest,</w:t>
      </w:r>
      <w:r w:rsidRPr="00C21154">
        <w:t xml:space="preserve"> </w:t>
      </w:r>
      <w:r>
        <w:t>and Panhandle, but</w:t>
      </w:r>
      <w:r w:rsidRPr="00C21154">
        <w:t xml:space="preserve"> worse in </w:t>
      </w:r>
      <w:r>
        <w:t xml:space="preserve">the </w:t>
      </w:r>
      <w:r w:rsidRPr="00C21154">
        <w:t>Northeast</w:t>
      </w:r>
      <w:r>
        <w:t xml:space="preserve">, East Central, and Central. </w:t>
      </w:r>
      <w:r w:rsidRPr="00C21154">
        <w:t xml:space="preserve">Noah has better performance in </w:t>
      </w:r>
      <w:r>
        <w:t xml:space="preserve">the Panhandle </w:t>
      </w:r>
      <w:r w:rsidRPr="00C21154">
        <w:t xml:space="preserve">and worse in </w:t>
      </w:r>
      <w:r>
        <w:t xml:space="preserve">the </w:t>
      </w:r>
      <w:r w:rsidRPr="00C21154">
        <w:t>Northeast</w:t>
      </w:r>
      <w:r>
        <w:t xml:space="preserve"> and</w:t>
      </w:r>
      <w:r w:rsidRPr="00C21154">
        <w:t xml:space="preserve"> SMAP has better performance in </w:t>
      </w:r>
      <w:r>
        <w:t xml:space="preserve">the </w:t>
      </w:r>
      <w:r w:rsidRPr="00C21154">
        <w:t xml:space="preserve">Panhandle, Southwest, West Central, and worse in </w:t>
      </w:r>
      <w:r>
        <w:t xml:space="preserve">the </w:t>
      </w:r>
      <w:r w:rsidRPr="00C21154">
        <w:t xml:space="preserve">Northeast, East Central, </w:t>
      </w:r>
      <w:r>
        <w:t xml:space="preserve">and </w:t>
      </w:r>
      <w:r w:rsidRPr="00C21154">
        <w:t>Southeast.</w:t>
      </w:r>
      <w:r w:rsidRPr="007E1BCA">
        <w:t xml:space="preserve"> All </w:t>
      </w:r>
      <w:r>
        <w:t>three products</w:t>
      </w:r>
      <w:r w:rsidRPr="007E1BCA">
        <w:t xml:space="preserve"> </w:t>
      </w:r>
      <w:r>
        <w:t>show the</w:t>
      </w:r>
      <w:r w:rsidRPr="007E1BCA">
        <w:t xml:space="preserve"> worst performance in </w:t>
      </w:r>
      <w:r>
        <w:t xml:space="preserve">the </w:t>
      </w:r>
      <w:r w:rsidRPr="007E1BCA">
        <w:t>Northeast</w:t>
      </w:r>
      <w:r>
        <w:t xml:space="preserve"> Oklahoma division</w:t>
      </w:r>
      <w:r w:rsidRPr="007E1BCA">
        <w:t>.</w:t>
      </w:r>
    </w:p>
    <w:p w14:paraId="40C7919D" w14:textId="1E76062A" w:rsidR="00F70EA8" w:rsidRDefault="00F70EA8" w:rsidP="00F70EA8">
      <w:r>
        <w:t xml:space="preserve">During </w:t>
      </w:r>
      <w:r w:rsidR="00747F52">
        <w:t>f</w:t>
      </w:r>
      <w:r>
        <w:t xml:space="preserve">all (Figure </w:t>
      </w:r>
      <w:r w:rsidR="0080784A">
        <w:t>3.</w:t>
      </w:r>
      <w:r>
        <w:t xml:space="preserve">8 and Table </w:t>
      </w:r>
      <w:r w:rsidR="0080784A">
        <w:t>3.</w:t>
      </w:r>
      <w:r>
        <w:t>7), Mesonet provides the highest spatio-temporal, integrated, averaged CC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Pr>
          <w:rFonts w:eastAsiaTheme="minorEastAsia"/>
          <w:lang w:eastAsia="zh-CN"/>
        </w:rPr>
        <w:t>0.855</w:t>
      </w:r>
      <w:r>
        <w:t xml:space="preserve">, followed by Noah with a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Pr>
          <w:rFonts w:eastAsiaTheme="minorEastAsia"/>
          <w:lang w:eastAsia="zh-CN"/>
        </w:rPr>
        <w:t>0.831</w:t>
      </w:r>
      <w:r>
        <w:t xml:space="preserve">. SMAP has the lowest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sidRPr="00E01C3A">
        <w:rPr>
          <w:rFonts w:eastAsiaTheme="minorEastAsia"/>
          <w:lang w:eastAsia="zh-CN"/>
        </w:rPr>
        <w:t>0.335</w:t>
      </w:r>
      <w:r>
        <w:t>. However, t</w:t>
      </w:r>
      <w:r w:rsidRPr="00A62E84">
        <w:t>he correlation</w:t>
      </w:r>
      <w:r>
        <w:t xml:space="preserve"> </w:t>
      </w:r>
      <w:r w:rsidRPr="00A62E84">
        <w:t xml:space="preserve">varies </w:t>
      </w:r>
      <w:r>
        <w:t>spatially</w:t>
      </w:r>
      <w:r w:rsidRPr="00A62E84">
        <w:t xml:space="preserve"> and</w:t>
      </w:r>
      <w:r>
        <w:t xml:space="preserve"> between</w:t>
      </w:r>
      <w:r w:rsidRPr="00A62E84">
        <w:t xml:space="preserve"> </w:t>
      </w:r>
      <w:r>
        <w:t>products</w:t>
      </w:r>
      <w:r w:rsidRPr="00A62E84">
        <w:t xml:space="preserve">. </w:t>
      </w:r>
      <w:r w:rsidRPr="00494D1E">
        <w:t xml:space="preserve">Mesonet provides high averaged CC values in </w:t>
      </w:r>
      <w:r>
        <w:t xml:space="preserve">the Southwest, West Central, and South Central </w:t>
      </w:r>
      <w:r w:rsidRPr="00494D1E">
        <w:t>(0.</w:t>
      </w:r>
      <w:r>
        <w:t>98</w:t>
      </w:r>
      <w:r w:rsidRPr="00494D1E">
        <w:t>, 0.</w:t>
      </w:r>
      <w:r>
        <w:t>95</w:t>
      </w:r>
      <w:r w:rsidRPr="00494D1E">
        <w:t>, 0.</w:t>
      </w:r>
      <w:r>
        <w:t>94</w:t>
      </w:r>
      <w:r w:rsidRPr="00494D1E">
        <w:t xml:space="preserve">, respectively). While low averaged correlation is shown </w:t>
      </w:r>
      <w:r>
        <w:t xml:space="preserve">in the </w:t>
      </w:r>
      <w:r w:rsidRPr="00494D1E">
        <w:t>Northeas</w:t>
      </w:r>
      <w:r>
        <w:t xml:space="preserve">t </w:t>
      </w:r>
      <w:r w:rsidRPr="00494D1E">
        <w:t>(0.</w:t>
      </w:r>
      <w:r>
        <w:t>68</w:t>
      </w:r>
      <w:r w:rsidRPr="00494D1E">
        <w:t xml:space="preserve">). Noah </w:t>
      </w:r>
      <w:r>
        <w:t xml:space="preserve">also </w:t>
      </w:r>
      <w:r w:rsidRPr="00494D1E">
        <w:t xml:space="preserve">exhibits </w:t>
      </w:r>
      <w:r>
        <w:t xml:space="preserve">the </w:t>
      </w:r>
      <w:r w:rsidRPr="00494D1E">
        <w:t>high</w:t>
      </w:r>
      <w:r>
        <w:t>est</w:t>
      </w:r>
      <w:r w:rsidRPr="00494D1E">
        <w:t xml:space="preserve"> averaged CC in </w:t>
      </w:r>
      <w:r>
        <w:t xml:space="preserve">the South Central, </w:t>
      </w:r>
      <w:r w:rsidRPr="00494D1E">
        <w:t>Panhandle</w:t>
      </w:r>
      <w:r>
        <w:t xml:space="preserve">, Southeast, and Central, all of which are 0.87 and the lowest </w:t>
      </w:r>
      <w:r w:rsidRPr="00494D1E">
        <w:t>in</w:t>
      </w:r>
      <w:r>
        <w:t xml:space="preserve"> the Northeast</w:t>
      </w:r>
      <w:r w:rsidRPr="00494D1E">
        <w:t xml:space="preserve"> (</w:t>
      </w:r>
      <w:r>
        <w:t>0.73</w:t>
      </w:r>
      <w:r w:rsidRPr="00494D1E">
        <w:t xml:space="preserve">). The CC mean values of SMAP </w:t>
      </w:r>
      <w:r w:rsidRPr="00494D1E">
        <w:lastRenderedPageBreak/>
        <w:t xml:space="preserve">are generally higher in </w:t>
      </w:r>
      <w:r>
        <w:t>the Panhandle and Southwest</w:t>
      </w:r>
      <w:r w:rsidRPr="00494D1E">
        <w:t xml:space="preserve"> (0.</w:t>
      </w:r>
      <w:r>
        <w:t>51 and 0.5</w:t>
      </w:r>
      <w:r w:rsidRPr="00494D1E">
        <w:t xml:space="preserve"> respectively) than those in </w:t>
      </w:r>
      <w:r>
        <w:t xml:space="preserve">the </w:t>
      </w:r>
      <w:r w:rsidRPr="00494D1E">
        <w:t>other six climate divisions.</w:t>
      </w:r>
      <w:r>
        <w:t xml:space="preserve"> </w:t>
      </w:r>
      <w:r w:rsidRPr="006E63E9">
        <w:t xml:space="preserve">As for the </w:t>
      </w:r>
      <w:r>
        <w:t>RMSE</w:t>
      </w:r>
      <w:r w:rsidRPr="006E63E9">
        <w:t xml:space="preserve">, </w:t>
      </w:r>
      <w:r>
        <w:t>Noah provi</w:t>
      </w:r>
      <w:r>
        <w:rPr>
          <w:rFonts w:eastAsiaTheme="minorEastAsia"/>
          <w:lang w:eastAsia="zh-CN"/>
        </w:rPr>
        <w:t xml:space="preserve">des the smallest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oMath>
      <w:r>
        <w:rPr>
          <w:rFonts w:eastAsiaTheme="minorEastAsia"/>
          <w:lang w:eastAsia="zh-CN"/>
        </w:rPr>
        <w:t xml:space="preserve"> of </w:t>
      </w:r>
      <w:r>
        <w:t>0.0204</w:t>
      </w:r>
      <w:r>
        <w:rPr>
          <w:rFonts w:eastAsiaTheme="minorEastAsia"/>
          <w:lang w:eastAsia="zh-CN"/>
        </w:rPr>
        <w:t xml:space="preserve">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followed by Mesonet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0.0419</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and SMAP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0.112</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w:t>
      </w:r>
      <w:r w:rsidRPr="006E63E9">
        <w:t>.</w:t>
      </w:r>
      <w:r>
        <w:t xml:space="preserve"> Noah shows consistent low RMSE values across the state (ranges from 0.02 to 0.03</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w:t>
      </w:r>
      <w:r w:rsidRPr="006E63E9">
        <w:t xml:space="preserve"> </w:t>
      </w:r>
      <w:r>
        <w:t xml:space="preserve">Mesonet has low RMSE mean values in the Southwest, West Central, and Panhandle (0.02, 0.03, 0.03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lang w:eastAsia="zh-CN"/>
        </w:rPr>
        <w:t xml:space="preserve">, </w:t>
      </w:r>
      <w:r>
        <w:t xml:space="preserve">respectively), while it presents high averaged RMSE in the Northeast (0.08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SMAP</w:t>
      </w:r>
      <w:r w:rsidRPr="006E63E9">
        <w:t xml:space="preserve"> exhibits </w:t>
      </w:r>
      <w:r>
        <w:t xml:space="preserve">low RMSE mean values in the Panhandle, Southwest, and West Central (0.07, 0.06, and 0.07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respectively) but high</w:t>
      </w:r>
      <w:r w:rsidRPr="006E63E9">
        <w:t xml:space="preserve"> </w:t>
      </w:r>
      <w:r>
        <w:t>averaged RMSE values</w:t>
      </w:r>
      <w:r w:rsidRPr="006E63E9">
        <w:t xml:space="preserve"> in</w:t>
      </w:r>
      <w:r>
        <w:t xml:space="preserve"> the Northeast, Southeast and East Central (0.19, 0.18, and 0.15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lang w:eastAsia="zh-CN"/>
        </w:rPr>
        <w:t>, respectively</w:t>
      </w:r>
      <w:r>
        <w:t>). Overall</w:t>
      </w:r>
      <w:r w:rsidRPr="00C21154">
        <w:t xml:space="preserve">, among the nine climate divisions, </w:t>
      </w:r>
      <w:r>
        <w:t xml:space="preserve">Noah has best performance in the North Central (0.8, 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Central (0.87, 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Northeast (0.73, 0.03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East Central (0.83, 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and Southeast (0.87, 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followed by Mesonet. Mesonet has best performance in the Southwest (0.98, 0.02 </w:t>
      </w:r>
      <m:oMath>
        <m:f>
          <m:fPr>
            <m:type m:val="lin"/>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num>
          <m:den>
            <m:sSup>
              <m:sSupPr>
                <m:ctrlPr>
                  <w:rPr>
                    <w:rFonts w:ascii="Cambria Math" w:eastAsiaTheme="minorEastAsia" w:hAnsi="Cambria Math"/>
                  </w:rPr>
                </m:ctrlPr>
              </m:sSupPr>
              <m:e>
                <m:r>
                  <w:rPr>
                    <w:rFonts w:ascii="Cambria Math" w:eastAsiaTheme="minorEastAsia" w:hAnsi="Cambria Math"/>
                  </w:rPr>
                  <m:t>m</m:t>
                </m:r>
              </m:e>
              <m:sup>
                <m:r>
                  <m:rPr>
                    <m:sty m:val="p"/>
                  </m:rPr>
                  <w:rPr>
                    <w:rFonts w:ascii="Cambria Math" w:eastAsiaTheme="minorEastAsia" w:hAnsi="Cambria Math"/>
                  </w:rPr>
                  <m:t>3</m:t>
                </m:r>
              </m:sup>
            </m:sSup>
          </m:den>
        </m:f>
      </m:oMath>
      <w:r>
        <w:t xml:space="preserve">) followed by Noah. </w:t>
      </w:r>
      <w:r w:rsidRPr="00AC533A">
        <w:t xml:space="preserve">SMAP </w:t>
      </w:r>
      <w:r>
        <w:t xml:space="preserve">values are </w:t>
      </w:r>
      <w:r w:rsidRPr="00AC533A">
        <w:t>consistently lower-than-Mesonet (or Noah) averaged CC and higher-than-Mesonet (or Noah) averaged RMSE values over all nine climate divisions.</w:t>
      </w:r>
      <w:r>
        <w:t xml:space="preserve"> Among all three</w:t>
      </w:r>
      <w:r w:rsidRPr="00C21154">
        <w:t>, Mesonet has</w:t>
      </w:r>
      <w:r>
        <w:t xml:space="preserve"> </w:t>
      </w:r>
      <w:r w:rsidRPr="00C21154">
        <w:t xml:space="preserve">better performance in </w:t>
      </w:r>
      <w:r>
        <w:t>the West Central, Southwest,</w:t>
      </w:r>
      <w:r w:rsidRPr="00C21154">
        <w:t xml:space="preserve"> </w:t>
      </w:r>
      <w:r>
        <w:t xml:space="preserve">Panhandle, and South Central </w:t>
      </w:r>
      <w:r w:rsidRPr="00C21154">
        <w:t xml:space="preserve">and worse performance in </w:t>
      </w:r>
      <w:r>
        <w:t xml:space="preserve">the </w:t>
      </w:r>
      <w:r w:rsidRPr="00C21154">
        <w:t>Northeast</w:t>
      </w:r>
      <w:r>
        <w:t xml:space="preserve"> and East Central. On the other hand, </w:t>
      </w:r>
      <w:r w:rsidRPr="00C21154">
        <w:t xml:space="preserve">Noah </w:t>
      </w:r>
      <w:r>
        <w:t>shows</w:t>
      </w:r>
      <w:r w:rsidRPr="00C21154">
        <w:t xml:space="preserve"> better performance in </w:t>
      </w:r>
      <w:r>
        <w:t>the Panhandle but poorer</w:t>
      </w:r>
      <w:r w:rsidRPr="00C21154">
        <w:t xml:space="preserve"> in </w:t>
      </w:r>
      <w:r>
        <w:t xml:space="preserve">the </w:t>
      </w:r>
      <w:r w:rsidRPr="00C21154">
        <w:t xml:space="preserve">Northeast. SMAP has better performance in </w:t>
      </w:r>
      <w:r>
        <w:t xml:space="preserve">the </w:t>
      </w:r>
      <w:r w:rsidRPr="00C21154">
        <w:t xml:space="preserve">Panhandle, Southwest, West Central, </w:t>
      </w:r>
      <w:r>
        <w:t xml:space="preserve">and South Central, </w:t>
      </w:r>
      <w:r w:rsidRPr="00C21154">
        <w:t xml:space="preserve">and worse in </w:t>
      </w:r>
      <w:r>
        <w:t xml:space="preserve">the </w:t>
      </w:r>
      <w:r w:rsidRPr="00C21154">
        <w:t xml:space="preserve">Northeast, East Central, </w:t>
      </w:r>
      <w:r>
        <w:t xml:space="preserve">and </w:t>
      </w:r>
      <w:r w:rsidRPr="00C21154">
        <w:t>Southeast.</w:t>
      </w:r>
      <w:r w:rsidRPr="007E1BCA">
        <w:t xml:space="preserve"> All </w:t>
      </w:r>
      <w:r>
        <w:t>three products</w:t>
      </w:r>
      <w:r w:rsidRPr="007E1BCA">
        <w:t xml:space="preserve"> provide </w:t>
      </w:r>
      <w:r>
        <w:t xml:space="preserve">their </w:t>
      </w:r>
      <w:r w:rsidRPr="007E1BCA">
        <w:t>worst performance in Northeast.</w:t>
      </w:r>
      <w:r w:rsidRPr="00141545">
        <w:t xml:space="preserve"> </w:t>
      </w:r>
    </w:p>
    <w:p w14:paraId="432A1AE9" w14:textId="30D73640" w:rsidR="00F70EA8" w:rsidRDefault="00F70EA8" w:rsidP="00F70EA8">
      <w:r>
        <w:t xml:space="preserve">In winter (Figure </w:t>
      </w:r>
      <w:r w:rsidR="0080784A">
        <w:t>3.</w:t>
      </w:r>
      <w:r>
        <w:t xml:space="preserve">9 and Table </w:t>
      </w:r>
      <w:r w:rsidR="0080784A">
        <w:t>3.</w:t>
      </w:r>
      <w:r>
        <w:t>8), Mesonet provides the highest spatio-temporal, integrated averaged CC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Pr>
          <w:rFonts w:eastAsiaTheme="minorEastAsia"/>
          <w:lang w:eastAsia="zh-CN"/>
        </w:rPr>
        <w:t>0.811</w:t>
      </w:r>
      <w:r>
        <w:t xml:space="preserve">, followed by Noah with an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Pr>
          <w:rFonts w:eastAsiaTheme="minorEastAsia"/>
          <w:lang w:eastAsia="zh-CN"/>
        </w:rPr>
        <w:t>0.667</w:t>
      </w:r>
      <w:r>
        <w:t xml:space="preserve">. SMAP has the lowest (of the three products) </w:t>
      </w:r>
      <m:oMath>
        <m:sSub>
          <m:sSubPr>
            <m:ctrlPr>
              <w:rPr>
                <w:rFonts w:ascii="Cambria Math" w:hAnsi="Cambria Math"/>
                <w:i/>
              </w:rPr>
            </m:ctrlPr>
          </m:sSubPr>
          <m:e>
            <m:r>
              <w:rPr>
                <w:rFonts w:ascii="Cambria Math" w:hAnsi="Cambria Math"/>
              </w:rPr>
              <m:t>CC</m:t>
            </m:r>
          </m:e>
          <m:sub>
            <m:r>
              <w:rPr>
                <w:rFonts w:ascii="Cambria Math" w:hAnsi="Cambria Math"/>
              </w:rPr>
              <m:t>mean</m:t>
            </m:r>
          </m:sub>
        </m:sSub>
      </m:oMath>
      <w:r>
        <w:t xml:space="preserve"> of </w:t>
      </w:r>
      <w:r w:rsidRPr="00E01C3A">
        <w:rPr>
          <w:rFonts w:eastAsiaTheme="minorEastAsia"/>
          <w:lang w:eastAsia="zh-CN"/>
        </w:rPr>
        <w:t>0.52</w:t>
      </w:r>
      <w:r>
        <w:t xml:space="preserve">. Geographically, Mesonet exhibits high mean CC </w:t>
      </w:r>
      <w:r>
        <w:lastRenderedPageBreak/>
        <w:t xml:space="preserve">values in all nine divisions (ranging from 0.78 to 0.89). </w:t>
      </w:r>
      <w:r w:rsidRPr="00494D1E">
        <w:t>Noah</w:t>
      </w:r>
      <w:r>
        <w:t xml:space="preserve"> </w:t>
      </w:r>
      <w:r w:rsidRPr="00494D1E">
        <w:t xml:space="preserve">exhibits </w:t>
      </w:r>
      <w:r>
        <w:t xml:space="preserve">the </w:t>
      </w:r>
      <w:r w:rsidRPr="00494D1E">
        <w:t>high</w:t>
      </w:r>
      <w:r>
        <w:t>est</w:t>
      </w:r>
      <w:r w:rsidRPr="00494D1E">
        <w:t xml:space="preserve"> averaged CC in</w:t>
      </w:r>
      <w:r>
        <w:t xml:space="preserve"> the Panhandle (0.78) but the </w:t>
      </w:r>
      <w:r w:rsidRPr="00494D1E">
        <w:t>low</w:t>
      </w:r>
      <w:r>
        <w:t>est</w:t>
      </w:r>
      <w:r w:rsidRPr="00494D1E">
        <w:t xml:space="preserve"> </w:t>
      </w:r>
      <w:r>
        <w:t>values</w:t>
      </w:r>
      <w:r w:rsidRPr="00494D1E">
        <w:t xml:space="preserve"> in</w:t>
      </w:r>
      <w:r>
        <w:t xml:space="preserve"> the Central</w:t>
      </w:r>
      <w:r w:rsidRPr="00494D1E">
        <w:t xml:space="preserve"> (</w:t>
      </w:r>
      <w:r>
        <w:t>0.55) division</w:t>
      </w:r>
      <w:r w:rsidRPr="00494D1E">
        <w:t xml:space="preserve">. The CC mean values of SMAP are generally higher in </w:t>
      </w:r>
      <w:r>
        <w:t>the East Central and Southwest</w:t>
      </w:r>
      <w:r w:rsidRPr="00494D1E">
        <w:t xml:space="preserve"> (0.</w:t>
      </w:r>
      <w:r>
        <w:t>6 and 0.61</w:t>
      </w:r>
      <w:r w:rsidRPr="00494D1E">
        <w:t xml:space="preserve"> respectively) than those in </w:t>
      </w:r>
      <w:r>
        <w:t xml:space="preserve">the </w:t>
      </w:r>
      <w:r w:rsidRPr="00494D1E">
        <w:t>other six climate divisions.</w:t>
      </w:r>
      <w:r>
        <w:t xml:space="preserve"> A look at the RMSE values reveals that</w:t>
      </w:r>
      <w:r w:rsidRPr="006E63E9">
        <w:t xml:space="preserve"> </w:t>
      </w:r>
      <w:r>
        <w:t>Noah provi</w:t>
      </w:r>
      <w:r>
        <w:rPr>
          <w:rFonts w:eastAsiaTheme="minorEastAsia"/>
          <w:lang w:eastAsia="zh-CN"/>
        </w:rPr>
        <w:t xml:space="preserve">des the smallest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oMath>
      <w:r>
        <w:rPr>
          <w:rFonts w:eastAsiaTheme="minorEastAsia"/>
          <w:lang w:eastAsia="zh-CN"/>
        </w:rPr>
        <w:t xml:space="preserve"> of </w:t>
      </w:r>
      <w:r>
        <w:t>0.0217</w:t>
      </w:r>
      <w:r>
        <w:rPr>
          <w:rFonts w:eastAsiaTheme="minorEastAsia"/>
          <w:lang w:eastAsia="zh-CN"/>
        </w:rPr>
        <w:t xml:space="preserve">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followed by Mesonet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0.0507</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 and SMAP (</w:t>
      </w:r>
      <m:oMath>
        <m:sSub>
          <m:sSubPr>
            <m:ctrlPr>
              <w:rPr>
                <w:rFonts w:ascii="Cambria Math" w:eastAsiaTheme="minorEastAsia" w:hAnsi="Cambria Math"/>
                <w:i/>
                <w:lang w:eastAsia="zh-CN"/>
              </w:rPr>
            </m:ctrlPr>
          </m:sSubPr>
          <m:e>
            <m:r>
              <w:rPr>
                <w:rFonts w:ascii="Cambria Math" w:eastAsiaTheme="minorEastAsia" w:hAnsi="Cambria Math"/>
                <w:lang w:eastAsia="zh-CN"/>
              </w:rPr>
              <m:t>RMSE</m:t>
            </m:r>
          </m:e>
          <m:sub>
            <m:r>
              <w:rPr>
                <w:rFonts w:ascii="Cambria Math" w:eastAsiaTheme="minorEastAsia" w:hAnsi="Cambria Math"/>
                <w:lang w:eastAsia="zh-CN"/>
              </w:rPr>
              <m:t>mean</m:t>
            </m:r>
          </m:sub>
        </m:sSub>
        <m:r>
          <w:rPr>
            <w:rFonts w:ascii="Cambria Math" w:eastAsiaTheme="minorEastAsia" w:hAnsi="Cambria Math"/>
            <w:lang w:eastAsia="zh-CN"/>
          </w:rPr>
          <m:t>=</m:t>
        </m:r>
        <m:r>
          <m:rPr>
            <m:sty m:val="p"/>
          </m:rPr>
          <w:rPr>
            <w:rFonts w:ascii="Cambria Math" w:hAnsi="Cambria Math"/>
          </w:rPr>
          <m:t>0.0663</m:t>
        </m:r>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rFonts w:eastAsiaTheme="minorEastAsia"/>
          <w:lang w:eastAsia="zh-CN"/>
        </w:rPr>
        <w:t>)</w:t>
      </w:r>
      <w:r w:rsidRPr="006E63E9">
        <w:t>.</w:t>
      </w:r>
      <w:r>
        <w:t xml:space="preserve"> Noah shows consistent low RMSE values across the state (ranges from 0.02 to 0.03</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w:t>
      </w:r>
      <w:r w:rsidRPr="006E63E9">
        <w:t xml:space="preserve"> </w:t>
      </w:r>
      <w:r>
        <w:t xml:space="preserve">Mesonet has low RMSE mean values in the Southeast, Southwest and West Central (0.03, 0.04, 0.04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lang w:eastAsia="zh-CN"/>
        </w:rPr>
        <w:t xml:space="preserve">, </w:t>
      </w:r>
      <w:r>
        <w:t xml:space="preserve">respectively), while it presents high averaged RMSE in the Central (0.08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climate division. SMAP</w:t>
      </w:r>
      <w:r w:rsidRPr="006E63E9">
        <w:t xml:space="preserve"> exhibits </w:t>
      </w:r>
      <w:r>
        <w:t xml:space="preserve">low RMSE mean values in the Panhandle, Southwest, and West Central (0.04, 0.05, and 0.05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t xml:space="preserve">, respectively) but </w:t>
      </w:r>
      <w:r w:rsidRPr="006E63E9">
        <w:t xml:space="preserve">high </w:t>
      </w:r>
      <w:r>
        <w:t>values</w:t>
      </w:r>
      <w:r w:rsidRPr="006E63E9">
        <w:t xml:space="preserve"> in</w:t>
      </w:r>
      <w:r>
        <w:t xml:space="preserve"> the Northeast, Southeast and East Central (0.09, 0.1, and 0.08 </w:t>
      </w:r>
      <m:oMath>
        <m:f>
          <m:fPr>
            <m:type m:val="lin"/>
            <m:ctrlPr>
              <w:rPr>
                <w:rFonts w:ascii="Cambria Math" w:eastAsiaTheme="minorEastAsia" w:hAnsi="Cambria Math"/>
                <w:i/>
                <w:lang w:eastAsia="zh-CN"/>
              </w:rPr>
            </m:ctrlPr>
          </m:fPr>
          <m:num>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num>
          <m:den>
            <m:sSup>
              <m:sSupPr>
                <m:ctrlPr>
                  <w:rPr>
                    <w:rFonts w:ascii="Cambria Math" w:eastAsiaTheme="minorEastAsia" w:hAnsi="Cambria Math"/>
                    <w:i/>
                    <w:lang w:eastAsia="zh-CN"/>
                  </w:rPr>
                </m:ctrlPr>
              </m:sSupPr>
              <m:e>
                <m:r>
                  <w:rPr>
                    <w:rFonts w:ascii="Cambria Math" w:eastAsiaTheme="minorEastAsia" w:hAnsi="Cambria Math"/>
                    <w:lang w:eastAsia="zh-CN"/>
                  </w:rPr>
                  <m:t>m</m:t>
                </m:r>
              </m:e>
              <m:sup>
                <m:r>
                  <w:rPr>
                    <w:rFonts w:ascii="Cambria Math" w:eastAsiaTheme="minorEastAsia" w:hAnsi="Cambria Math"/>
                    <w:lang w:eastAsia="zh-CN"/>
                  </w:rPr>
                  <m:t>3</m:t>
                </m:r>
              </m:sup>
            </m:sSup>
          </m:den>
        </m:f>
      </m:oMath>
      <w:r>
        <w:rPr>
          <w:lang w:eastAsia="zh-CN"/>
        </w:rPr>
        <w:t>, respectively</w:t>
      </w:r>
      <w:r>
        <w:t>). Overall</w:t>
      </w:r>
      <w:r w:rsidRPr="00C21154">
        <w:t xml:space="preserve">, among the nine climate divisions, </w:t>
      </w:r>
      <w:r w:rsidRPr="00221338">
        <w:t xml:space="preserve">Mesonet has higher mean CC values than Noah, while Noah provides lower averaged RMSE values than Mesonet. </w:t>
      </w:r>
      <w:r w:rsidRPr="001F1E63">
        <w:t xml:space="preserve">SMAP </w:t>
      </w:r>
      <w:r>
        <w:t xml:space="preserve">values are </w:t>
      </w:r>
      <w:r w:rsidRPr="001F1E63">
        <w:t>consistently lower-than-Mesonet (or Noah) averaged CC and higher-than-Mesonet (or Noah) averaged RMSE values over all nine climate divisions.</w:t>
      </w:r>
      <w:r w:rsidRPr="00C21154">
        <w:t xml:space="preserve"> For each product, Mesonet </w:t>
      </w:r>
      <w:r>
        <w:t xml:space="preserve">shows the </w:t>
      </w:r>
      <w:r w:rsidRPr="00C21154">
        <w:t>wors</w:t>
      </w:r>
      <w:r>
        <w:t>t</w:t>
      </w:r>
      <w:r w:rsidRPr="00C21154">
        <w:t xml:space="preserve"> performance in</w:t>
      </w:r>
      <w:r>
        <w:t xml:space="preserve"> the Central climate region. </w:t>
      </w:r>
      <w:r w:rsidRPr="00C21154">
        <w:t xml:space="preserve">Noah has better performance in </w:t>
      </w:r>
      <w:r>
        <w:t>the Panhandle and Southwest that worsens</w:t>
      </w:r>
      <w:r w:rsidRPr="00C21154">
        <w:t xml:space="preserve"> in </w:t>
      </w:r>
      <w:r>
        <w:t>the Central and North Central areas</w:t>
      </w:r>
      <w:r w:rsidRPr="00C21154">
        <w:t xml:space="preserve">. SMAP has better performance in </w:t>
      </w:r>
      <w:r>
        <w:t xml:space="preserve">the </w:t>
      </w:r>
      <w:r w:rsidRPr="00C21154">
        <w:t>Southwes</w:t>
      </w:r>
      <w:r>
        <w:t>t and Panhandle but worst</w:t>
      </w:r>
      <w:r w:rsidRPr="00C21154">
        <w:t xml:space="preserve"> in</w:t>
      </w:r>
      <w:r>
        <w:t xml:space="preserve"> the</w:t>
      </w:r>
      <w:r w:rsidRPr="00C21154">
        <w:t xml:space="preserve"> Northeast</w:t>
      </w:r>
      <w:r>
        <w:t xml:space="preserve"> division</w:t>
      </w:r>
      <w:r w:rsidRPr="00C21154">
        <w:t>.</w:t>
      </w:r>
    </w:p>
    <w:p w14:paraId="4157458B" w14:textId="6AA5B6F0" w:rsidR="00F70EA8" w:rsidRDefault="5E4FB5CC" w:rsidP="00F70EA8">
      <w:r w:rsidRPr="5E4FB5CC">
        <w:rPr>
          <w:rFonts w:eastAsia="DengXian"/>
          <w:lang w:eastAsia="zh-CN"/>
        </w:rPr>
        <w:t>In summary, the period-integrated TC intercomparison results for Mesonet, Noah, and SMAP over nine climate divisions (Figures 3.4 and 3.5 and Table 3.4) indicate that Noah provided the best performance (as defined by the highest averaged CC and lowest averaged RMSE values) in the Central, Northeast, and East Central regions. In the other six climate divisions, Mesonet presents the highest mean CC values, while Noah provides lowest averaged RMSE values.</w:t>
      </w:r>
      <w:r>
        <w:t xml:space="preserve"> </w:t>
      </w:r>
      <w:r w:rsidRPr="5E4FB5CC">
        <w:rPr>
          <w:rFonts w:eastAsia="DengXian"/>
          <w:lang w:eastAsia="zh-CN"/>
        </w:rPr>
        <w:t xml:space="preserve">The </w:t>
      </w:r>
      <w:r w:rsidRPr="5E4FB5CC">
        <w:rPr>
          <w:rFonts w:eastAsia="DengXian"/>
          <w:lang w:eastAsia="zh-CN"/>
        </w:rPr>
        <w:lastRenderedPageBreak/>
        <w:t>seasonal TC intercomparison results for Mesonet, Noah, and SMAP over the nine climate divisions (Figures 3.6, 3.7, 3.8 and 3.9 and Tables 3.5, 3.6, 3.7 and 3.8) indicate that in spring and winter, Mesonet has higher mean CC values than Noah, while Noah provides lower averaged RMSE values than Mesonet. In summer,</w:t>
      </w:r>
      <w:r>
        <w:t xml:space="preserve"> </w:t>
      </w:r>
      <w:r w:rsidRPr="5E4FB5CC">
        <w:rPr>
          <w:rFonts w:eastAsia="DengXian"/>
          <w:lang w:eastAsia="zh-CN"/>
        </w:rPr>
        <w:t xml:space="preserve">Noah has best performance in the Panhandle and South Central. While in the other seven climate divisions, Mesonet and Noah have comparable performances. In fall, Noah has best performance in the North Central, Central, Northeast, East Central, and Southeast. On the other hand, Mesonet best performs in the Southwest. </w:t>
      </w:r>
    </w:p>
    <w:p w14:paraId="10F39506" w14:textId="77777777" w:rsidR="009F419E" w:rsidRDefault="009F419E" w:rsidP="00574ED9">
      <w:pPr>
        <w:keepNext/>
        <w:ind w:left="-432"/>
      </w:pPr>
      <w:r>
        <w:rPr>
          <w:noProof/>
        </w:rPr>
        <w:drawing>
          <wp:inline distT="0" distB="0" distL="0" distR="0" wp14:anchorId="37F9C0AB" wp14:editId="7D83A485">
            <wp:extent cx="5943600" cy="2976245"/>
            <wp:effectExtent l="0" t="0" r="0" b="0"/>
            <wp:docPr id="15" name="图片 15"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pic:nvPicPr>
                  <pic:blipFill>
                    <a:blip r:embed="rId66">
                      <a:extLst>
                        <a:ext uri="{28A0092B-C50C-407E-A947-70E740481C1C}">
                          <a14:useLocalDpi xmlns:a14="http://schemas.microsoft.com/office/drawing/2010/main" val="0"/>
                        </a:ext>
                      </a:extLst>
                    </a:blip>
                    <a:stretch>
                      <a:fillRect/>
                    </a:stretch>
                  </pic:blipFill>
                  <pic:spPr>
                    <a:xfrm>
                      <a:off x="0" y="0"/>
                      <a:ext cx="5943600" cy="2976245"/>
                    </a:xfrm>
                    <a:prstGeom prst="rect">
                      <a:avLst/>
                    </a:prstGeom>
                  </pic:spPr>
                </pic:pic>
              </a:graphicData>
            </a:graphic>
          </wp:inline>
        </w:drawing>
      </w:r>
    </w:p>
    <w:p w14:paraId="162160BD" w14:textId="54B9A15E" w:rsidR="00DA686F" w:rsidRDefault="009F419E" w:rsidP="009F419E">
      <w:pPr>
        <w:pStyle w:val="a3"/>
        <w:ind w:firstLine="0"/>
        <w:rPr>
          <w:b w:val="0"/>
          <w:bCs w:val="0"/>
        </w:rPr>
      </w:pPr>
      <w:bookmarkStart w:id="126" w:name="_Toc75360572"/>
      <w:bookmarkStart w:id="127" w:name="_Toc75361840"/>
      <w:bookmarkStart w:id="128" w:name="_Toc75361895"/>
      <w:r>
        <w:t xml:space="preserve">Figure </w:t>
      </w:r>
      <w:r w:rsidR="003F4A69">
        <w:t>3</w:t>
      </w:r>
      <w:r w:rsidR="00764D25">
        <w:t>.</w:t>
      </w:r>
      <w:r>
        <w:fldChar w:fldCharType="begin"/>
      </w:r>
      <w:r>
        <w:instrText>SEQ Figure \* ARABIC \s 1</w:instrText>
      </w:r>
      <w:r>
        <w:fldChar w:fldCharType="separate"/>
      </w:r>
      <w:r w:rsidR="00492676">
        <w:rPr>
          <w:noProof/>
        </w:rPr>
        <w:t>6</w:t>
      </w:r>
      <w:r>
        <w:fldChar w:fldCharType="end"/>
      </w:r>
      <w:r>
        <w:t xml:space="preserve">. </w:t>
      </w:r>
      <w:r w:rsidRPr="009F419E">
        <w:rPr>
          <w:b w:val="0"/>
          <w:bCs w:val="0"/>
        </w:rPr>
        <w:t>Product inter-comparison assessment through CC (left column) and RMSE (right column) after applying the TC method for Mesonet (first row), Noah (second row) and SMAP (third row) surface soil moisture products based on morning 6 AM values from April 2015 through July 2019, integrated (averaged) only during the Spring season months (i.e., March, April and May).</w:t>
      </w:r>
      <w:bookmarkEnd w:id="126"/>
      <w:bookmarkEnd w:id="127"/>
      <w:bookmarkEnd w:id="128"/>
    </w:p>
    <w:p w14:paraId="230AD638" w14:textId="77777777" w:rsidR="005170FC" w:rsidRPr="005170FC" w:rsidRDefault="005170FC" w:rsidP="005170FC"/>
    <w:p w14:paraId="6F59F1AF" w14:textId="019B14F6" w:rsidR="00BC0D06" w:rsidRPr="00BC0D06" w:rsidRDefault="00BC0D06" w:rsidP="00BC0D06">
      <w:pPr>
        <w:pStyle w:val="a3"/>
        <w:keepNext/>
        <w:ind w:firstLine="0"/>
        <w:rPr>
          <w:b w:val="0"/>
          <w:bCs w:val="0"/>
        </w:rPr>
      </w:pPr>
      <w:bookmarkStart w:id="129" w:name="_Toc75361147"/>
      <w:r>
        <w:t xml:space="preserve">Table </w:t>
      </w:r>
      <w:r w:rsidR="003F4A69">
        <w:t>3</w:t>
      </w:r>
      <w:r w:rsidR="00685F41">
        <w:t>.</w:t>
      </w:r>
      <w:r>
        <w:fldChar w:fldCharType="begin"/>
      </w:r>
      <w:r>
        <w:instrText>SEQ Table \* ARABIC \s 1</w:instrText>
      </w:r>
      <w:r>
        <w:fldChar w:fldCharType="separate"/>
      </w:r>
      <w:r w:rsidR="00492676">
        <w:rPr>
          <w:noProof/>
        </w:rPr>
        <w:t>5</w:t>
      </w:r>
      <w:r>
        <w:fldChar w:fldCharType="end"/>
      </w:r>
      <w:r>
        <w:t xml:space="preserve">. </w:t>
      </w:r>
      <w:r w:rsidRPr="00BC0D06">
        <w:rPr>
          <w:b w:val="0"/>
          <w:bCs w:val="0"/>
        </w:rPr>
        <w:t>Climate-division averaged CC and RMSE from the TC triplets at local 6:00 AM for Mesonet, Noah and SMAP during the Spring over nine climate divisions of Oklahoma.</w:t>
      </w:r>
      <w:bookmarkEnd w:id="129"/>
    </w:p>
    <w:tbl>
      <w:tblPr>
        <w:tblStyle w:val="af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11"/>
        <w:gridCol w:w="1748"/>
        <w:gridCol w:w="1650"/>
        <w:gridCol w:w="1680"/>
      </w:tblGrid>
      <w:tr w:rsidR="005170FC" w:rsidRPr="00BC5365" w14:paraId="570D9247" w14:textId="77777777" w:rsidTr="00BC0D06">
        <w:trPr>
          <w:jc w:val="center"/>
        </w:trPr>
        <w:tc>
          <w:tcPr>
            <w:tcW w:w="1820" w:type="dxa"/>
            <w:tcBorders>
              <w:top w:val="single" w:sz="4" w:space="0" w:color="auto"/>
              <w:bottom w:val="single" w:sz="4" w:space="0" w:color="auto"/>
            </w:tcBorders>
          </w:tcPr>
          <w:p w14:paraId="0B85CE3F" w14:textId="77777777" w:rsidR="005170FC" w:rsidRPr="00BC5365" w:rsidRDefault="005170FC" w:rsidP="00EF4F42">
            <w:pPr>
              <w:pStyle w:val="MDPI42tablebody"/>
            </w:pPr>
            <w:bookmarkStart w:id="130" w:name="_Hlk69680282"/>
            <w:r>
              <w:t>Division</w:t>
            </w:r>
          </w:p>
        </w:tc>
        <w:tc>
          <w:tcPr>
            <w:tcW w:w="1511" w:type="dxa"/>
            <w:tcBorders>
              <w:top w:val="single" w:sz="4" w:space="0" w:color="auto"/>
              <w:bottom w:val="single" w:sz="4" w:space="0" w:color="auto"/>
            </w:tcBorders>
          </w:tcPr>
          <w:p w14:paraId="27460B26" w14:textId="77777777" w:rsidR="005170FC" w:rsidRPr="00BC5365" w:rsidRDefault="005170FC" w:rsidP="00EF4F42">
            <w:pPr>
              <w:pStyle w:val="MDPI42tablebody"/>
            </w:pPr>
            <w:r>
              <w:t>Metric</w:t>
            </w:r>
          </w:p>
        </w:tc>
        <w:tc>
          <w:tcPr>
            <w:tcW w:w="1748" w:type="dxa"/>
            <w:tcBorders>
              <w:top w:val="single" w:sz="4" w:space="0" w:color="auto"/>
              <w:bottom w:val="single" w:sz="4" w:space="0" w:color="auto"/>
            </w:tcBorders>
          </w:tcPr>
          <w:p w14:paraId="4526767D" w14:textId="77777777" w:rsidR="005170FC" w:rsidRPr="00BC5365" w:rsidRDefault="005170FC" w:rsidP="00EF4F42">
            <w:pPr>
              <w:pStyle w:val="MDPI42tablebody"/>
            </w:pPr>
            <w:r w:rsidRPr="00BC5365">
              <w:t>Mesonet</w:t>
            </w:r>
          </w:p>
        </w:tc>
        <w:tc>
          <w:tcPr>
            <w:tcW w:w="1650" w:type="dxa"/>
            <w:tcBorders>
              <w:top w:val="single" w:sz="4" w:space="0" w:color="auto"/>
              <w:bottom w:val="single" w:sz="4" w:space="0" w:color="auto"/>
            </w:tcBorders>
          </w:tcPr>
          <w:p w14:paraId="6F9C7066" w14:textId="77777777" w:rsidR="005170FC" w:rsidRPr="00BC5365" w:rsidRDefault="005170FC" w:rsidP="00EF4F42">
            <w:pPr>
              <w:pStyle w:val="MDPI42tablebody"/>
            </w:pPr>
            <w:r w:rsidRPr="00BC5365">
              <w:t>Noah</w:t>
            </w:r>
          </w:p>
        </w:tc>
        <w:tc>
          <w:tcPr>
            <w:tcW w:w="1680" w:type="dxa"/>
            <w:tcBorders>
              <w:top w:val="single" w:sz="4" w:space="0" w:color="auto"/>
              <w:bottom w:val="single" w:sz="4" w:space="0" w:color="auto"/>
            </w:tcBorders>
          </w:tcPr>
          <w:p w14:paraId="5F90F4D6" w14:textId="77777777" w:rsidR="005170FC" w:rsidRPr="00BC5365" w:rsidRDefault="005170FC" w:rsidP="00EF4F42">
            <w:pPr>
              <w:pStyle w:val="MDPI42tablebody"/>
            </w:pPr>
            <w:r w:rsidRPr="00BC5365">
              <w:t>SMAP</w:t>
            </w:r>
          </w:p>
        </w:tc>
      </w:tr>
      <w:tr w:rsidR="005170FC" w:rsidRPr="00BC5365" w14:paraId="5426033A" w14:textId="77777777" w:rsidTr="00BC0D06">
        <w:trPr>
          <w:trHeight w:val="74"/>
          <w:jc w:val="center"/>
        </w:trPr>
        <w:tc>
          <w:tcPr>
            <w:tcW w:w="1820" w:type="dxa"/>
            <w:vMerge w:val="restart"/>
            <w:tcBorders>
              <w:top w:val="single" w:sz="4" w:space="0" w:color="auto"/>
            </w:tcBorders>
          </w:tcPr>
          <w:p w14:paraId="3EB19425" w14:textId="77777777" w:rsidR="005170FC" w:rsidRPr="00BC5365" w:rsidRDefault="005170FC" w:rsidP="00EF4F42">
            <w:pPr>
              <w:pStyle w:val="MDPI42tablebody"/>
            </w:pPr>
            <w:r w:rsidRPr="00BC5365">
              <w:t>Panhandle</w:t>
            </w:r>
          </w:p>
        </w:tc>
        <w:tc>
          <w:tcPr>
            <w:tcW w:w="1511" w:type="dxa"/>
            <w:tcBorders>
              <w:top w:val="single" w:sz="4" w:space="0" w:color="auto"/>
            </w:tcBorders>
          </w:tcPr>
          <w:p w14:paraId="3D8D2DED"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Borders>
              <w:top w:val="single" w:sz="4" w:space="0" w:color="auto"/>
            </w:tcBorders>
          </w:tcPr>
          <w:p w14:paraId="6C27B8CF" w14:textId="77777777" w:rsidR="005170FC" w:rsidRPr="00BC5365" w:rsidRDefault="005170FC" w:rsidP="00EF4F42">
            <w:pPr>
              <w:pStyle w:val="MDPI42tablebody"/>
            </w:pPr>
            <w:r w:rsidRPr="00BC5365">
              <w:t>0.8</w:t>
            </w:r>
            <w:r>
              <w:t>9</w:t>
            </w:r>
          </w:p>
        </w:tc>
        <w:tc>
          <w:tcPr>
            <w:tcW w:w="1650" w:type="dxa"/>
            <w:tcBorders>
              <w:top w:val="single" w:sz="4" w:space="0" w:color="auto"/>
            </w:tcBorders>
          </w:tcPr>
          <w:p w14:paraId="4AE9C3A0" w14:textId="77777777" w:rsidR="005170FC" w:rsidRPr="00BC5365" w:rsidRDefault="005170FC" w:rsidP="00EF4F42">
            <w:pPr>
              <w:pStyle w:val="MDPI42tablebody"/>
            </w:pPr>
            <w:r w:rsidRPr="00BC5365">
              <w:t>0.7</w:t>
            </w:r>
            <w:r>
              <w:t>5</w:t>
            </w:r>
          </w:p>
        </w:tc>
        <w:tc>
          <w:tcPr>
            <w:tcW w:w="1680" w:type="dxa"/>
            <w:tcBorders>
              <w:top w:val="single" w:sz="4" w:space="0" w:color="auto"/>
            </w:tcBorders>
          </w:tcPr>
          <w:p w14:paraId="0502B6A8" w14:textId="77777777" w:rsidR="005170FC" w:rsidRPr="00BC5365" w:rsidRDefault="005170FC" w:rsidP="00EF4F42">
            <w:pPr>
              <w:pStyle w:val="MDPI42tablebody"/>
            </w:pPr>
            <w:r w:rsidRPr="00BC5365">
              <w:t>0.</w:t>
            </w:r>
            <w:r>
              <w:t>51</w:t>
            </w:r>
          </w:p>
        </w:tc>
      </w:tr>
      <w:tr w:rsidR="005170FC" w:rsidRPr="00BC5365" w14:paraId="5DF7CCBF" w14:textId="77777777" w:rsidTr="00BC0D06">
        <w:trPr>
          <w:trHeight w:val="73"/>
          <w:jc w:val="center"/>
        </w:trPr>
        <w:tc>
          <w:tcPr>
            <w:tcW w:w="1820" w:type="dxa"/>
            <w:vMerge/>
          </w:tcPr>
          <w:p w14:paraId="5156AAC0" w14:textId="77777777" w:rsidR="005170FC" w:rsidRPr="00BC5365" w:rsidRDefault="005170FC" w:rsidP="00EF4F42">
            <w:pPr>
              <w:pStyle w:val="MDPI42tablebody"/>
            </w:pPr>
          </w:p>
        </w:tc>
        <w:tc>
          <w:tcPr>
            <w:tcW w:w="1511" w:type="dxa"/>
          </w:tcPr>
          <w:p w14:paraId="04E16A0F"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6AE80EA" w14:textId="77777777" w:rsidR="005170FC" w:rsidRPr="00BC5365" w:rsidRDefault="005170FC" w:rsidP="00EF4F42">
            <w:pPr>
              <w:pStyle w:val="MDPI42tablebody"/>
            </w:pPr>
            <w:r w:rsidRPr="00BC5365">
              <w:t>0.04</w:t>
            </w:r>
          </w:p>
        </w:tc>
        <w:tc>
          <w:tcPr>
            <w:tcW w:w="1650" w:type="dxa"/>
          </w:tcPr>
          <w:p w14:paraId="7F946513" w14:textId="77777777" w:rsidR="005170FC" w:rsidRPr="00BC5365" w:rsidRDefault="005170FC" w:rsidP="00EF4F42">
            <w:pPr>
              <w:pStyle w:val="MDPI42tablebody"/>
            </w:pPr>
            <w:r w:rsidRPr="00BC5365">
              <w:t>0.02</w:t>
            </w:r>
          </w:p>
        </w:tc>
        <w:tc>
          <w:tcPr>
            <w:tcW w:w="1680" w:type="dxa"/>
          </w:tcPr>
          <w:p w14:paraId="7AF68275" w14:textId="77777777" w:rsidR="005170FC" w:rsidRPr="00BC5365" w:rsidRDefault="005170FC" w:rsidP="00EF4F42">
            <w:pPr>
              <w:pStyle w:val="MDPI42tablebody"/>
            </w:pPr>
            <w:r w:rsidRPr="00BC5365">
              <w:t>0.0</w:t>
            </w:r>
            <w:r>
              <w:t>4</w:t>
            </w:r>
          </w:p>
        </w:tc>
      </w:tr>
      <w:tr w:rsidR="005170FC" w:rsidRPr="00BC5365" w14:paraId="4083F386" w14:textId="77777777" w:rsidTr="00BC0D06">
        <w:trPr>
          <w:trHeight w:val="74"/>
          <w:jc w:val="center"/>
        </w:trPr>
        <w:tc>
          <w:tcPr>
            <w:tcW w:w="1820" w:type="dxa"/>
            <w:vMerge w:val="restart"/>
          </w:tcPr>
          <w:p w14:paraId="06769A2D" w14:textId="77777777" w:rsidR="005170FC" w:rsidRPr="00BC5365" w:rsidRDefault="005170FC" w:rsidP="00EF4F42">
            <w:pPr>
              <w:pStyle w:val="MDPI42tablebody"/>
            </w:pPr>
            <w:r w:rsidRPr="00BC5365">
              <w:t>West Central</w:t>
            </w:r>
          </w:p>
        </w:tc>
        <w:tc>
          <w:tcPr>
            <w:tcW w:w="1511" w:type="dxa"/>
          </w:tcPr>
          <w:p w14:paraId="0F055B36"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5B88D632" w14:textId="77777777" w:rsidR="005170FC" w:rsidRPr="00BC5365" w:rsidRDefault="005170FC" w:rsidP="00EF4F42">
            <w:pPr>
              <w:pStyle w:val="MDPI42tablebody"/>
            </w:pPr>
            <w:r w:rsidRPr="00BC5365">
              <w:t>0.</w:t>
            </w:r>
            <w:r>
              <w:t>82</w:t>
            </w:r>
          </w:p>
        </w:tc>
        <w:tc>
          <w:tcPr>
            <w:tcW w:w="1650" w:type="dxa"/>
          </w:tcPr>
          <w:p w14:paraId="2B8E231E" w14:textId="77777777" w:rsidR="005170FC" w:rsidRPr="00BC5365" w:rsidRDefault="005170FC" w:rsidP="00EF4F42">
            <w:pPr>
              <w:pStyle w:val="MDPI42tablebody"/>
            </w:pPr>
            <w:r w:rsidRPr="00BC5365">
              <w:t>0.6</w:t>
            </w:r>
            <w:r>
              <w:t>6</w:t>
            </w:r>
          </w:p>
        </w:tc>
        <w:tc>
          <w:tcPr>
            <w:tcW w:w="1680" w:type="dxa"/>
          </w:tcPr>
          <w:p w14:paraId="06E5FF68" w14:textId="77777777" w:rsidR="005170FC" w:rsidRPr="00BC5365" w:rsidRDefault="005170FC" w:rsidP="00EF4F42">
            <w:pPr>
              <w:pStyle w:val="MDPI42tablebody"/>
            </w:pPr>
            <w:r w:rsidRPr="00BC5365">
              <w:t>0.</w:t>
            </w:r>
            <w:r>
              <w:t>54</w:t>
            </w:r>
          </w:p>
        </w:tc>
      </w:tr>
      <w:tr w:rsidR="005170FC" w:rsidRPr="00BC5365" w14:paraId="21D189AD" w14:textId="77777777" w:rsidTr="00BC0D06">
        <w:trPr>
          <w:trHeight w:val="73"/>
          <w:jc w:val="center"/>
        </w:trPr>
        <w:tc>
          <w:tcPr>
            <w:tcW w:w="1820" w:type="dxa"/>
            <w:vMerge/>
          </w:tcPr>
          <w:p w14:paraId="2122451B" w14:textId="77777777" w:rsidR="005170FC" w:rsidRPr="00BC5365" w:rsidRDefault="005170FC" w:rsidP="00EF4F42">
            <w:pPr>
              <w:pStyle w:val="MDPI42tablebody"/>
            </w:pPr>
          </w:p>
        </w:tc>
        <w:tc>
          <w:tcPr>
            <w:tcW w:w="1511" w:type="dxa"/>
          </w:tcPr>
          <w:p w14:paraId="3AC1E617"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3BA4CC8F" w14:textId="77777777" w:rsidR="005170FC" w:rsidRPr="00BC5365" w:rsidRDefault="005170FC" w:rsidP="00EF4F42">
            <w:pPr>
              <w:pStyle w:val="MDPI42tablebody"/>
            </w:pPr>
            <w:r w:rsidRPr="00BC5365">
              <w:t>0.0</w:t>
            </w:r>
            <w:r>
              <w:t>5</w:t>
            </w:r>
          </w:p>
        </w:tc>
        <w:tc>
          <w:tcPr>
            <w:tcW w:w="1650" w:type="dxa"/>
          </w:tcPr>
          <w:p w14:paraId="3C485960" w14:textId="77777777" w:rsidR="005170FC" w:rsidRPr="00BC5365" w:rsidRDefault="005170FC" w:rsidP="00EF4F42">
            <w:pPr>
              <w:pStyle w:val="MDPI42tablebody"/>
            </w:pPr>
            <w:r w:rsidRPr="00BC5365">
              <w:t>0.03</w:t>
            </w:r>
          </w:p>
        </w:tc>
        <w:tc>
          <w:tcPr>
            <w:tcW w:w="1680" w:type="dxa"/>
          </w:tcPr>
          <w:p w14:paraId="3E998008" w14:textId="77777777" w:rsidR="005170FC" w:rsidRPr="00BC5365" w:rsidRDefault="005170FC" w:rsidP="00EF4F42">
            <w:pPr>
              <w:pStyle w:val="MDPI42tablebody"/>
            </w:pPr>
            <w:r w:rsidRPr="00BC5365">
              <w:t>0.0</w:t>
            </w:r>
            <w:r>
              <w:t>5</w:t>
            </w:r>
          </w:p>
        </w:tc>
      </w:tr>
      <w:tr w:rsidR="005170FC" w:rsidRPr="00BC5365" w14:paraId="588D3090" w14:textId="77777777" w:rsidTr="00BC0D06">
        <w:trPr>
          <w:trHeight w:val="74"/>
          <w:jc w:val="center"/>
        </w:trPr>
        <w:tc>
          <w:tcPr>
            <w:tcW w:w="1820" w:type="dxa"/>
            <w:vMerge w:val="restart"/>
          </w:tcPr>
          <w:p w14:paraId="7E9B725C" w14:textId="77777777" w:rsidR="005170FC" w:rsidRPr="00BC5365" w:rsidRDefault="005170FC" w:rsidP="00EF4F42">
            <w:pPr>
              <w:pStyle w:val="MDPI42tablebody"/>
            </w:pPr>
            <w:r w:rsidRPr="00BC5365">
              <w:t>Southwest</w:t>
            </w:r>
          </w:p>
        </w:tc>
        <w:tc>
          <w:tcPr>
            <w:tcW w:w="1511" w:type="dxa"/>
          </w:tcPr>
          <w:p w14:paraId="2C7F1C53"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236E5B05" w14:textId="77777777" w:rsidR="005170FC" w:rsidRPr="00BC5365" w:rsidRDefault="005170FC" w:rsidP="00EF4F42">
            <w:pPr>
              <w:pStyle w:val="MDPI42tablebody"/>
            </w:pPr>
            <w:r w:rsidRPr="00BC5365">
              <w:t>0.</w:t>
            </w:r>
            <w:r>
              <w:t>78</w:t>
            </w:r>
          </w:p>
        </w:tc>
        <w:tc>
          <w:tcPr>
            <w:tcW w:w="1650" w:type="dxa"/>
          </w:tcPr>
          <w:p w14:paraId="5BA69180" w14:textId="77777777" w:rsidR="005170FC" w:rsidRPr="00BC5365" w:rsidRDefault="005170FC" w:rsidP="00EF4F42">
            <w:pPr>
              <w:pStyle w:val="MDPI42tablebody"/>
            </w:pPr>
            <w:r w:rsidRPr="00BC5365">
              <w:t>0.7</w:t>
            </w:r>
            <w:r>
              <w:t>7</w:t>
            </w:r>
          </w:p>
        </w:tc>
        <w:tc>
          <w:tcPr>
            <w:tcW w:w="1680" w:type="dxa"/>
          </w:tcPr>
          <w:p w14:paraId="2028CEAB" w14:textId="77777777" w:rsidR="005170FC" w:rsidRPr="00BC5365" w:rsidRDefault="005170FC" w:rsidP="00EF4F42">
            <w:pPr>
              <w:pStyle w:val="MDPI42tablebody"/>
            </w:pPr>
            <w:r w:rsidRPr="00BC5365">
              <w:t>0.</w:t>
            </w:r>
            <w:r>
              <w:t>58</w:t>
            </w:r>
          </w:p>
        </w:tc>
      </w:tr>
      <w:tr w:rsidR="005170FC" w:rsidRPr="00BC5365" w14:paraId="426F422A" w14:textId="77777777" w:rsidTr="00BC0D06">
        <w:trPr>
          <w:trHeight w:val="73"/>
          <w:jc w:val="center"/>
        </w:trPr>
        <w:tc>
          <w:tcPr>
            <w:tcW w:w="1820" w:type="dxa"/>
            <w:vMerge/>
          </w:tcPr>
          <w:p w14:paraId="3B8CF83A" w14:textId="77777777" w:rsidR="005170FC" w:rsidRPr="00BC5365" w:rsidRDefault="005170FC" w:rsidP="00EF4F42">
            <w:pPr>
              <w:pStyle w:val="MDPI42tablebody"/>
            </w:pPr>
          </w:p>
        </w:tc>
        <w:tc>
          <w:tcPr>
            <w:tcW w:w="1511" w:type="dxa"/>
          </w:tcPr>
          <w:p w14:paraId="2A1BA2D6"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0142B673" w14:textId="77777777" w:rsidR="005170FC" w:rsidRPr="00BC5365" w:rsidRDefault="005170FC" w:rsidP="00EF4F42">
            <w:pPr>
              <w:pStyle w:val="MDPI42tablebody"/>
            </w:pPr>
            <w:r w:rsidRPr="00BC5365">
              <w:t>0.0</w:t>
            </w:r>
            <w:r>
              <w:t>5</w:t>
            </w:r>
          </w:p>
        </w:tc>
        <w:tc>
          <w:tcPr>
            <w:tcW w:w="1650" w:type="dxa"/>
          </w:tcPr>
          <w:p w14:paraId="775E10EC" w14:textId="77777777" w:rsidR="005170FC" w:rsidRPr="00BC5365" w:rsidRDefault="005170FC" w:rsidP="00EF4F42">
            <w:pPr>
              <w:pStyle w:val="MDPI42tablebody"/>
            </w:pPr>
            <w:r w:rsidRPr="00BC5365">
              <w:t>0.02</w:t>
            </w:r>
          </w:p>
        </w:tc>
        <w:tc>
          <w:tcPr>
            <w:tcW w:w="1680" w:type="dxa"/>
          </w:tcPr>
          <w:p w14:paraId="6EBC21F2" w14:textId="77777777" w:rsidR="005170FC" w:rsidRPr="00BC5365" w:rsidRDefault="005170FC" w:rsidP="00EF4F42">
            <w:pPr>
              <w:pStyle w:val="MDPI42tablebody"/>
            </w:pPr>
            <w:r w:rsidRPr="00BC5365">
              <w:t>0.06</w:t>
            </w:r>
          </w:p>
        </w:tc>
      </w:tr>
      <w:tr w:rsidR="005170FC" w:rsidRPr="00BC5365" w14:paraId="4DB7893F" w14:textId="77777777" w:rsidTr="00BC0D06">
        <w:trPr>
          <w:trHeight w:val="74"/>
          <w:jc w:val="center"/>
        </w:trPr>
        <w:tc>
          <w:tcPr>
            <w:tcW w:w="1820" w:type="dxa"/>
            <w:vMerge w:val="restart"/>
          </w:tcPr>
          <w:p w14:paraId="414A2BD6" w14:textId="77777777" w:rsidR="005170FC" w:rsidRPr="00BC5365" w:rsidRDefault="005170FC" w:rsidP="00EF4F42">
            <w:pPr>
              <w:pStyle w:val="MDPI42tablebody"/>
            </w:pPr>
            <w:r w:rsidRPr="00BC5365">
              <w:t>North Central</w:t>
            </w:r>
          </w:p>
        </w:tc>
        <w:tc>
          <w:tcPr>
            <w:tcW w:w="1511" w:type="dxa"/>
          </w:tcPr>
          <w:p w14:paraId="55807DC4"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3D65BDEA" w14:textId="77777777" w:rsidR="005170FC" w:rsidRPr="00BC5365" w:rsidRDefault="005170FC" w:rsidP="00EF4F42">
            <w:pPr>
              <w:pStyle w:val="MDPI42tablebody"/>
            </w:pPr>
            <w:r w:rsidRPr="00BC5365">
              <w:t>0.</w:t>
            </w:r>
            <w:r>
              <w:t>76</w:t>
            </w:r>
          </w:p>
        </w:tc>
        <w:tc>
          <w:tcPr>
            <w:tcW w:w="1650" w:type="dxa"/>
          </w:tcPr>
          <w:p w14:paraId="0333A190" w14:textId="77777777" w:rsidR="005170FC" w:rsidRPr="00BC5365" w:rsidRDefault="005170FC" w:rsidP="00EF4F42">
            <w:pPr>
              <w:pStyle w:val="MDPI42tablebody"/>
            </w:pPr>
            <w:r w:rsidRPr="00BC5365">
              <w:t>0.</w:t>
            </w:r>
            <w:r>
              <w:t>59</w:t>
            </w:r>
          </w:p>
        </w:tc>
        <w:tc>
          <w:tcPr>
            <w:tcW w:w="1680" w:type="dxa"/>
          </w:tcPr>
          <w:p w14:paraId="6EC9C5D6" w14:textId="77777777" w:rsidR="005170FC" w:rsidRPr="00BC5365" w:rsidRDefault="005170FC" w:rsidP="00EF4F42">
            <w:pPr>
              <w:pStyle w:val="MDPI42tablebody"/>
            </w:pPr>
            <w:r w:rsidRPr="00BC5365">
              <w:t>0.</w:t>
            </w:r>
            <w:r>
              <w:t>61</w:t>
            </w:r>
          </w:p>
        </w:tc>
      </w:tr>
      <w:tr w:rsidR="005170FC" w:rsidRPr="00BC5365" w14:paraId="176205FA" w14:textId="77777777" w:rsidTr="00BC0D06">
        <w:trPr>
          <w:trHeight w:val="73"/>
          <w:jc w:val="center"/>
        </w:trPr>
        <w:tc>
          <w:tcPr>
            <w:tcW w:w="1820" w:type="dxa"/>
            <w:vMerge/>
          </w:tcPr>
          <w:p w14:paraId="15191307" w14:textId="77777777" w:rsidR="005170FC" w:rsidRPr="00BC5365" w:rsidRDefault="005170FC" w:rsidP="00EF4F42">
            <w:pPr>
              <w:pStyle w:val="MDPI42tablebody"/>
            </w:pPr>
          </w:p>
        </w:tc>
        <w:tc>
          <w:tcPr>
            <w:tcW w:w="1511" w:type="dxa"/>
          </w:tcPr>
          <w:p w14:paraId="7DFB9E8C"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38FE6B1A" w14:textId="77777777" w:rsidR="005170FC" w:rsidRPr="00BC5365" w:rsidRDefault="005170FC" w:rsidP="00EF4F42">
            <w:pPr>
              <w:pStyle w:val="MDPI42tablebody"/>
            </w:pPr>
            <w:r w:rsidRPr="00BC5365">
              <w:t>0.0</w:t>
            </w:r>
            <w:r>
              <w:t>5</w:t>
            </w:r>
          </w:p>
        </w:tc>
        <w:tc>
          <w:tcPr>
            <w:tcW w:w="1650" w:type="dxa"/>
          </w:tcPr>
          <w:p w14:paraId="135FA33C" w14:textId="77777777" w:rsidR="005170FC" w:rsidRPr="00BC5365" w:rsidRDefault="005170FC" w:rsidP="00EF4F42">
            <w:pPr>
              <w:pStyle w:val="MDPI42tablebody"/>
            </w:pPr>
            <w:r w:rsidRPr="00BC5365">
              <w:t>0.03</w:t>
            </w:r>
          </w:p>
        </w:tc>
        <w:tc>
          <w:tcPr>
            <w:tcW w:w="1680" w:type="dxa"/>
          </w:tcPr>
          <w:p w14:paraId="5705DFA8" w14:textId="77777777" w:rsidR="005170FC" w:rsidRPr="00BC5365" w:rsidRDefault="005170FC" w:rsidP="00EF4F42">
            <w:pPr>
              <w:pStyle w:val="MDPI42tablebody"/>
            </w:pPr>
            <w:r w:rsidRPr="00BC5365">
              <w:t>0.</w:t>
            </w:r>
            <w:r>
              <w:t>06</w:t>
            </w:r>
          </w:p>
        </w:tc>
      </w:tr>
      <w:tr w:rsidR="005170FC" w:rsidRPr="00BC5365" w14:paraId="710F26FD" w14:textId="77777777" w:rsidTr="00BC0D06">
        <w:trPr>
          <w:trHeight w:val="74"/>
          <w:jc w:val="center"/>
        </w:trPr>
        <w:tc>
          <w:tcPr>
            <w:tcW w:w="1820" w:type="dxa"/>
            <w:vMerge w:val="restart"/>
          </w:tcPr>
          <w:p w14:paraId="268C0869" w14:textId="77777777" w:rsidR="005170FC" w:rsidRPr="00BC5365" w:rsidRDefault="005170FC" w:rsidP="00EF4F42">
            <w:pPr>
              <w:pStyle w:val="MDPI42tablebody"/>
            </w:pPr>
            <w:r w:rsidRPr="00BC5365">
              <w:t>Central</w:t>
            </w:r>
          </w:p>
        </w:tc>
        <w:tc>
          <w:tcPr>
            <w:tcW w:w="1511" w:type="dxa"/>
          </w:tcPr>
          <w:p w14:paraId="652B6DA6"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4E1A5A69" w14:textId="77777777" w:rsidR="005170FC" w:rsidRPr="00BC5365" w:rsidRDefault="005170FC" w:rsidP="00EF4F42">
            <w:pPr>
              <w:pStyle w:val="MDPI42tablebody"/>
            </w:pPr>
            <w:r w:rsidRPr="00BC5365">
              <w:t>0.7</w:t>
            </w:r>
            <w:r>
              <w:t>1</w:t>
            </w:r>
          </w:p>
        </w:tc>
        <w:tc>
          <w:tcPr>
            <w:tcW w:w="1650" w:type="dxa"/>
          </w:tcPr>
          <w:p w14:paraId="640B5791" w14:textId="77777777" w:rsidR="005170FC" w:rsidRPr="00BC5365" w:rsidRDefault="005170FC" w:rsidP="00EF4F42">
            <w:pPr>
              <w:pStyle w:val="MDPI42tablebody"/>
            </w:pPr>
            <w:r w:rsidRPr="00BC5365">
              <w:t>0.7</w:t>
            </w:r>
          </w:p>
        </w:tc>
        <w:tc>
          <w:tcPr>
            <w:tcW w:w="1680" w:type="dxa"/>
          </w:tcPr>
          <w:p w14:paraId="222B4552" w14:textId="77777777" w:rsidR="005170FC" w:rsidRPr="00BC5365" w:rsidRDefault="005170FC" w:rsidP="00EF4F42">
            <w:pPr>
              <w:pStyle w:val="MDPI42tablebody"/>
            </w:pPr>
            <w:r w:rsidRPr="00BC5365">
              <w:t>0.</w:t>
            </w:r>
            <w:r>
              <w:t>47</w:t>
            </w:r>
          </w:p>
        </w:tc>
      </w:tr>
      <w:tr w:rsidR="005170FC" w:rsidRPr="00BC5365" w14:paraId="3742BB86" w14:textId="77777777" w:rsidTr="00BC0D06">
        <w:trPr>
          <w:trHeight w:val="73"/>
          <w:jc w:val="center"/>
        </w:trPr>
        <w:tc>
          <w:tcPr>
            <w:tcW w:w="1820" w:type="dxa"/>
            <w:vMerge/>
          </w:tcPr>
          <w:p w14:paraId="6D57ADB2" w14:textId="77777777" w:rsidR="005170FC" w:rsidRPr="00BC5365" w:rsidRDefault="005170FC" w:rsidP="00EF4F42">
            <w:pPr>
              <w:pStyle w:val="MDPI42tablebody"/>
            </w:pPr>
          </w:p>
        </w:tc>
        <w:tc>
          <w:tcPr>
            <w:tcW w:w="1511" w:type="dxa"/>
          </w:tcPr>
          <w:p w14:paraId="57AF742F"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010905EC" w14:textId="77777777" w:rsidR="005170FC" w:rsidRPr="00BC5365" w:rsidRDefault="005170FC" w:rsidP="00EF4F42">
            <w:pPr>
              <w:pStyle w:val="MDPI42tablebody"/>
            </w:pPr>
            <w:r w:rsidRPr="00BC5365">
              <w:t>0.0</w:t>
            </w:r>
            <w:r>
              <w:t>4</w:t>
            </w:r>
          </w:p>
        </w:tc>
        <w:tc>
          <w:tcPr>
            <w:tcW w:w="1650" w:type="dxa"/>
          </w:tcPr>
          <w:p w14:paraId="5234CFDA" w14:textId="77777777" w:rsidR="005170FC" w:rsidRPr="00BC5365" w:rsidRDefault="005170FC" w:rsidP="00EF4F42">
            <w:pPr>
              <w:pStyle w:val="MDPI42tablebody"/>
            </w:pPr>
            <w:r w:rsidRPr="00BC5365">
              <w:t>0.03</w:t>
            </w:r>
          </w:p>
        </w:tc>
        <w:tc>
          <w:tcPr>
            <w:tcW w:w="1680" w:type="dxa"/>
          </w:tcPr>
          <w:p w14:paraId="4F16C2F9" w14:textId="77777777" w:rsidR="005170FC" w:rsidRPr="00BC5365" w:rsidRDefault="005170FC" w:rsidP="00EF4F42">
            <w:pPr>
              <w:pStyle w:val="MDPI42tablebody"/>
            </w:pPr>
            <w:r w:rsidRPr="00BC5365">
              <w:t>0.0</w:t>
            </w:r>
            <w:r>
              <w:t>6</w:t>
            </w:r>
          </w:p>
        </w:tc>
      </w:tr>
      <w:tr w:rsidR="005170FC" w:rsidRPr="00BC5365" w14:paraId="2D72636C" w14:textId="77777777" w:rsidTr="00BC0D06">
        <w:trPr>
          <w:trHeight w:val="74"/>
          <w:jc w:val="center"/>
        </w:trPr>
        <w:tc>
          <w:tcPr>
            <w:tcW w:w="1820" w:type="dxa"/>
            <w:vMerge w:val="restart"/>
          </w:tcPr>
          <w:p w14:paraId="1620E131" w14:textId="77777777" w:rsidR="005170FC" w:rsidRPr="00BC5365" w:rsidRDefault="005170FC" w:rsidP="00EF4F42">
            <w:pPr>
              <w:pStyle w:val="MDPI42tablebody"/>
            </w:pPr>
            <w:r w:rsidRPr="00BC5365">
              <w:t>South Central</w:t>
            </w:r>
          </w:p>
        </w:tc>
        <w:tc>
          <w:tcPr>
            <w:tcW w:w="1511" w:type="dxa"/>
          </w:tcPr>
          <w:p w14:paraId="066BE2A8"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73E2EFF0" w14:textId="77777777" w:rsidR="005170FC" w:rsidRPr="00BC5365" w:rsidRDefault="005170FC" w:rsidP="00EF4F42">
            <w:pPr>
              <w:pStyle w:val="MDPI42tablebody"/>
            </w:pPr>
            <w:r w:rsidRPr="00BC5365">
              <w:t>0.8</w:t>
            </w:r>
            <w:r>
              <w:t>1</w:t>
            </w:r>
          </w:p>
        </w:tc>
        <w:tc>
          <w:tcPr>
            <w:tcW w:w="1650" w:type="dxa"/>
          </w:tcPr>
          <w:p w14:paraId="641BD122" w14:textId="77777777" w:rsidR="005170FC" w:rsidRPr="00BC5365" w:rsidRDefault="005170FC" w:rsidP="00EF4F42">
            <w:pPr>
              <w:pStyle w:val="MDPI42tablebody"/>
            </w:pPr>
            <w:r w:rsidRPr="00BC5365">
              <w:t>0.</w:t>
            </w:r>
            <w:r>
              <w:t>79</w:t>
            </w:r>
          </w:p>
        </w:tc>
        <w:tc>
          <w:tcPr>
            <w:tcW w:w="1680" w:type="dxa"/>
          </w:tcPr>
          <w:p w14:paraId="1A32E470" w14:textId="77777777" w:rsidR="005170FC" w:rsidRPr="00BC5365" w:rsidRDefault="005170FC" w:rsidP="00EF4F42">
            <w:pPr>
              <w:pStyle w:val="MDPI42tablebody"/>
            </w:pPr>
            <w:r w:rsidRPr="00BC5365">
              <w:t>0.</w:t>
            </w:r>
            <w:r>
              <w:t>43</w:t>
            </w:r>
          </w:p>
        </w:tc>
      </w:tr>
      <w:tr w:rsidR="005170FC" w:rsidRPr="00BC5365" w14:paraId="2AC5E40B" w14:textId="77777777" w:rsidTr="00BC0D06">
        <w:trPr>
          <w:trHeight w:val="73"/>
          <w:jc w:val="center"/>
        </w:trPr>
        <w:tc>
          <w:tcPr>
            <w:tcW w:w="1820" w:type="dxa"/>
            <w:vMerge/>
          </w:tcPr>
          <w:p w14:paraId="185CEBB2" w14:textId="77777777" w:rsidR="005170FC" w:rsidRPr="00BC5365" w:rsidRDefault="005170FC" w:rsidP="00EF4F42">
            <w:pPr>
              <w:pStyle w:val="MDPI42tablebody"/>
            </w:pPr>
          </w:p>
        </w:tc>
        <w:tc>
          <w:tcPr>
            <w:tcW w:w="1511" w:type="dxa"/>
          </w:tcPr>
          <w:p w14:paraId="3FCACDC0"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62442088" w14:textId="77777777" w:rsidR="005170FC" w:rsidRPr="00BC5365" w:rsidRDefault="005170FC" w:rsidP="00EF4F42">
            <w:pPr>
              <w:pStyle w:val="MDPI42tablebody"/>
            </w:pPr>
            <w:r w:rsidRPr="00BC5365">
              <w:t>0.0</w:t>
            </w:r>
            <w:r>
              <w:t>3</w:t>
            </w:r>
          </w:p>
        </w:tc>
        <w:tc>
          <w:tcPr>
            <w:tcW w:w="1650" w:type="dxa"/>
          </w:tcPr>
          <w:p w14:paraId="6AA0DCD1" w14:textId="77777777" w:rsidR="005170FC" w:rsidRPr="00BC5365" w:rsidRDefault="005170FC" w:rsidP="00EF4F42">
            <w:pPr>
              <w:pStyle w:val="MDPI42tablebody"/>
            </w:pPr>
            <w:r w:rsidRPr="00BC5365">
              <w:t>0.02</w:t>
            </w:r>
          </w:p>
        </w:tc>
        <w:tc>
          <w:tcPr>
            <w:tcW w:w="1680" w:type="dxa"/>
          </w:tcPr>
          <w:p w14:paraId="38442ED8" w14:textId="77777777" w:rsidR="005170FC" w:rsidRPr="00BC5365" w:rsidRDefault="005170FC" w:rsidP="00EF4F42">
            <w:pPr>
              <w:pStyle w:val="MDPI42tablebody"/>
            </w:pPr>
            <w:r w:rsidRPr="00BC5365">
              <w:t>0.0</w:t>
            </w:r>
            <w:r>
              <w:t>7</w:t>
            </w:r>
          </w:p>
        </w:tc>
      </w:tr>
      <w:tr w:rsidR="005170FC" w:rsidRPr="00BC5365" w14:paraId="0FB7A8E1" w14:textId="77777777" w:rsidTr="00BC0D06">
        <w:trPr>
          <w:trHeight w:val="74"/>
          <w:jc w:val="center"/>
        </w:trPr>
        <w:tc>
          <w:tcPr>
            <w:tcW w:w="1820" w:type="dxa"/>
            <w:vMerge w:val="restart"/>
          </w:tcPr>
          <w:p w14:paraId="04CA5018" w14:textId="77777777" w:rsidR="005170FC" w:rsidRPr="00BC5365" w:rsidRDefault="005170FC" w:rsidP="00EF4F42">
            <w:pPr>
              <w:pStyle w:val="MDPI42tablebody"/>
            </w:pPr>
            <w:r w:rsidRPr="00BC5365">
              <w:t>Northeast</w:t>
            </w:r>
          </w:p>
        </w:tc>
        <w:tc>
          <w:tcPr>
            <w:tcW w:w="1511" w:type="dxa"/>
          </w:tcPr>
          <w:p w14:paraId="606F50E1"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297EAF5E" w14:textId="77777777" w:rsidR="005170FC" w:rsidRPr="00BC5365" w:rsidRDefault="005170FC" w:rsidP="00EF4F42">
            <w:pPr>
              <w:pStyle w:val="MDPI42tablebody"/>
            </w:pPr>
            <w:r w:rsidRPr="00BC5365">
              <w:t>0.</w:t>
            </w:r>
            <w:r>
              <w:t>66</w:t>
            </w:r>
          </w:p>
        </w:tc>
        <w:tc>
          <w:tcPr>
            <w:tcW w:w="1650" w:type="dxa"/>
          </w:tcPr>
          <w:p w14:paraId="7C1A64A3" w14:textId="77777777" w:rsidR="005170FC" w:rsidRPr="00BC5365" w:rsidRDefault="005170FC" w:rsidP="00EF4F42">
            <w:pPr>
              <w:pStyle w:val="MDPI42tablebody"/>
            </w:pPr>
            <w:r w:rsidRPr="00BC5365">
              <w:t>0.6</w:t>
            </w:r>
            <w:r>
              <w:t>1</w:t>
            </w:r>
          </w:p>
        </w:tc>
        <w:tc>
          <w:tcPr>
            <w:tcW w:w="1680" w:type="dxa"/>
          </w:tcPr>
          <w:p w14:paraId="1B93C9F6" w14:textId="77777777" w:rsidR="005170FC" w:rsidRPr="00BC5365" w:rsidRDefault="005170FC" w:rsidP="00EF4F42">
            <w:pPr>
              <w:pStyle w:val="MDPI42tablebody"/>
            </w:pPr>
            <w:r w:rsidRPr="00BC5365">
              <w:t>0.</w:t>
            </w:r>
            <w:r>
              <w:t>42</w:t>
            </w:r>
          </w:p>
        </w:tc>
      </w:tr>
      <w:tr w:rsidR="005170FC" w:rsidRPr="00BC5365" w14:paraId="7651B170" w14:textId="77777777" w:rsidTr="00BC0D06">
        <w:trPr>
          <w:trHeight w:val="73"/>
          <w:jc w:val="center"/>
        </w:trPr>
        <w:tc>
          <w:tcPr>
            <w:tcW w:w="1820" w:type="dxa"/>
            <w:vMerge/>
          </w:tcPr>
          <w:p w14:paraId="13D6704B" w14:textId="77777777" w:rsidR="005170FC" w:rsidRPr="00BC5365" w:rsidRDefault="005170FC" w:rsidP="00EF4F42">
            <w:pPr>
              <w:pStyle w:val="MDPI42tablebody"/>
            </w:pPr>
          </w:p>
        </w:tc>
        <w:tc>
          <w:tcPr>
            <w:tcW w:w="1511" w:type="dxa"/>
          </w:tcPr>
          <w:p w14:paraId="249EBBB3"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8937C52" w14:textId="77777777" w:rsidR="005170FC" w:rsidRPr="00BC5365" w:rsidRDefault="005170FC" w:rsidP="00EF4F42">
            <w:pPr>
              <w:pStyle w:val="MDPI42tablebody"/>
            </w:pPr>
            <w:r w:rsidRPr="00BC5365">
              <w:t>0.0</w:t>
            </w:r>
            <w:r>
              <w:t>4</w:t>
            </w:r>
          </w:p>
        </w:tc>
        <w:tc>
          <w:tcPr>
            <w:tcW w:w="1650" w:type="dxa"/>
          </w:tcPr>
          <w:p w14:paraId="4D153BC4" w14:textId="77777777" w:rsidR="005170FC" w:rsidRPr="00BC5365" w:rsidRDefault="005170FC" w:rsidP="00EF4F42">
            <w:pPr>
              <w:pStyle w:val="MDPI42tablebody"/>
            </w:pPr>
            <w:r w:rsidRPr="00BC5365">
              <w:t>0.04</w:t>
            </w:r>
          </w:p>
        </w:tc>
        <w:tc>
          <w:tcPr>
            <w:tcW w:w="1680" w:type="dxa"/>
          </w:tcPr>
          <w:p w14:paraId="42A2B049" w14:textId="77777777" w:rsidR="005170FC" w:rsidRPr="00BC5365" w:rsidRDefault="005170FC" w:rsidP="00EF4F42">
            <w:pPr>
              <w:pStyle w:val="MDPI42tablebody"/>
            </w:pPr>
            <w:r w:rsidRPr="00BC5365">
              <w:t>0.</w:t>
            </w:r>
            <w:r>
              <w:t>09</w:t>
            </w:r>
          </w:p>
        </w:tc>
      </w:tr>
      <w:tr w:rsidR="005170FC" w:rsidRPr="00BC5365" w14:paraId="13008039" w14:textId="77777777" w:rsidTr="00BC0D06">
        <w:trPr>
          <w:trHeight w:val="74"/>
          <w:jc w:val="center"/>
        </w:trPr>
        <w:tc>
          <w:tcPr>
            <w:tcW w:w="1820" w:type="dxa"/>
            <w:vMerge w:val="restart"/>
          </w:tcPr>
          <w:p w14:paraId="37111C7C" w14:textId="77777777" w:rsidR="005170FC" w:rsidRPr="00BC5365" w:rsidRDefault="005170FC" w:rsidP="00EF4F42">
            <w:pPr>
              <w:pStyle w:val="MDPI42tablebody"/>
            </w:pPr>
            <w:r w:rsidRPr="00BC5365">
              <w:t>East Central</w:t>
            </w:r>
          </w:p>
        </w:tc>
        <w:tc>
          <w:tcPr>
            <w:tcW w:w="1511" w:type="dxa"/>
          </w:tcPr>
          <w:p w14:paraId="267E9232"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0BB5723" w14:textId="77777777" w:rsidR="005170FC" w:rsidRPr="00BC5365" w:rsidRDefault="005170FC" w:rsidP="00EF4F42">
            <w:pPr>
              <w:pStyle w:val="MDPI42tablebody"/>
            </w:pPr>
            <w:r w:rsidRPr="00BC5365">
              <w:t>0.7</w:t>
            </w:r>
            <w:r>
              <w:t>1</w:t>
            </w:r>
          </w:p>
        </w:tc>
        <w:tc>
          <w:tcPr>
            <w:tcW w:w="1650" w:type="dxa"/>
          </w:tcPr>
          <w:p w14:paraId="0E0AC4CA" w14:textId="77777777" w:rsidR="005170FC" w:rsidRPr="00BC5365" w:rsidRDefault="005170FC" w:rsidP="00EF4F42">
            <w:pPr>
              <w:pStyle w:val="MDPI42tablebody"/>
            </w:pPr>
            <w:r w:rsidRPr="00BC5365">
              <w:t>0.</w:t>
            </w:r>
            <w:r>
              <w:t>66</w:t>
            </w:r>
          </w:p>
        </w:tc>
        <w:tc>
          <w:tcPr>
            <w:tcW w:w="1680" w:type="dxa"/>
          </w:tcPr>
          <w:p w14:paraId="4E2C4283" w14:textId="77777777" w:rsidR="005170FC" w:rsidRPr="00BC5365" w:rsidRDefault="005170FC" w:rsidP="00EF4F42">
            <w:pPr>
              <w:pStyle w:val="MDPI42tablebody"/>
            </w:pPr>
            <w:r w:rsidRPr="00BC5365">
              <w:t>0.</w:t>
            </w:r>
            <w:r>
              <w:t>37</w:t>
            </w:r>
          </w:p>
        </w:tc>
      </w:tr>
      <w:tr w:rsidR="005170FC" w:rsidRPr="00BC5365" w14:paraId="4C19F63B" w14:textId="77777777" w:rsidTr="00BC0D06">
        <w:trPr>
          <w:trHeight w:val="73"/>
          <w:jc w:val="center"/>
        </w:trPr>
        <w:tc>
          <w:tcPr>
            <w:tcW w:w="1820" w:type="dxa"/>
            <w:vMerge/>
          </w:tcPr>
          <w:p w14:paraId="1543BC03" w14:textId="77777777" w:rsidR="005170FC" w:rsidRPr="00BC5365" w:rsidRDefault="005170FC" w:rsidP="00EF4F42">
            <w:pPr>
              <w:pStyle w:val="MDPI42tablebody"/>
            </w:pPr>
          </w:p>
        </w:tc>
        <w:tc>
          <w:tcPr>
            <w:tcW w:w="1511" w:type="dxa"/>
          </w:tcPr>
          <w:p w14:paraId="6290867F"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D8493F2" w14:textId="77777777" w:rsidR="005170FC" w:rsidRPr="00BC5365" w:rsidRDefault="005170FC" w:rsidP="00EF4F42">
            <w:pPr>
              <w:pStyle w:val="MDPI42tablebody"/>
            </w:pPr>
            <w:r w:rsidRPr="00BC5365">
              <w:t>0.0</w:t>
            </w:r>
            <w:r>
              <w:t>3</w:t>
            </w:r>
          </w:p>
        </w:tc>
        <w:tc>
          <w:tcPr>
            <w:tcW w:w="1650" w:type="dxa"/>
          </w:tcPr>
          <w:p w14:paraId="422C94A3" w14:textId="77777777" w:rsidR="005170FC" w:rsidRPr="00BC5365" w:rsidRDefault="005170FC" w:rsidP="00EF4F42">
            <w:pPr>
              <w:pStyle w:val="MDPI42tablebody"/>
            </w:pPr>
            <w:r w:rsidRPr="00BC5365">
              <w:t>0.02</w:t>
            </w:r>
          </w:p>
        </w:tc>
        <w:tc>
          <w:tcPr>
            <w:tcW w:w="1680" w:type="dxa"/>
          </w:tcPr>
          <w:p w14:paraId="434F165E" w14:textId="77777777" w:rsidR="005170FC" w:rsidRPr="00BC5365" w:rsidRDefault="005170FC" w:rsidP="00EF4F42">
            <w:pPr>
              <w:pStyle w:val="MDPI42tablebody"/>
            </w:pPr>
            <w:r w:rsidRPr="00BC5365">
              <w:t>0.1</w:t>
            </w:r>
          </w:p>
        </w:tc>
      </w:tr>
      <w:tr w:rsidR="005170FC" w:rsidRPr="00BC5365" w14:paraId="4F147E05" w14:textId="77777777" w:rsidTr="00BC0D06">
        <w:trPr>
          <w:trHeight w:val="74"/>
          <w:jc w:val="center"/>
        </w:trPr>
        <w:tc>
          <w:tcPr>
            <w:tcW w:w="1820" w:type="dxa"/>
            <w:vMerge w:val="restart"/>
          </w:tcPr>
          <w:p w14:paraId="1B08065C" w14:textId="77777777" w:rsidR="005170FC" w:rsidRPr="00BC5365" w:rsidRDefault="005170FC" w:rsidP="00EF4F42">
            <w:pPr>
              <w:pStyle w:val="MDPI42tablebody"/>
            </w:pPr>
            <w:r w:rsidRPr="00BC5365">
              <w:t>Southeast</w:t>
            </w:r>
          </w:p>
        </w:tc>
        <w:tc>
          <w:tcPr>
            <w:tcW w:w="1511" w:type="dxa"/>
          </w:tcPr>
          <w:p w14:paraId="1DE8B17E"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2EDFFDA" w14:textId="77777777" w:rsidR="005170FC" w:rsidRPr="00BC5365" w:rsidRDefault="005170FC" w:rsidP="00EF4F42">
            <w:pPr>
              <w:pStyle w:val="MDPI42tablebody"/>
            </w:pPr>
            <w:r w:rsidRPr="00BC5365">
              <w:t>0.</w:t>
            </w:r>
            <w:r>
              <w:t>65</w:t>
            </w:r>
          </w:p>
        </w:tc>
        <w:tc>
          <w:tcPr>
            <w:tcW w:w="1650" w:type="dxa"/>
          </w:tcPr>
          <w:p w14:paraId="7F7CEFD6" w14:textId="77777777" w:rsidR="005170FC" w:rsidRPr="00BC5365" w:rsidRDefault="005170FC" w:rsidP="00EF4F42">
            <w:pPr>
              <w:pStyle w:val="MDPI42tablebody"/>
            </w:pPr>
            <w:r w:rsidRPr="00BC5365">
              <w:t>0.</w:t>
            </w:r>
            <w:r>
              <w:t>57</w:t>
            </w:r>
          </w:p>
        </w:tc>
        <w:tc>
          <w:tcPr>
            <w:tcW w:w="1680" w:type="dxa"/>
          </w:tcPr>
          <w:p w14:paraId="7709D3EF" w14:textId="77777777" w:rsidR="005170FC" w:rsidRPr="00BC5365" w:rsidRDefault="005170FC" w:rsidP="00EF4F42">
            <w:pPr>
              <w:pStyle w:val="MDPI42tablebody"/>
            </w:pPr>
            <w:r w:rsidRPr="00BC5365">
              <w:t>0.2</w:t>
            </w:r>
            <w:r>
              <w:t>2</w:t>
            </w:r>
          </w:p>
        </w:tc>
      </w:tr>
      <w:tr w:rsidR="005170FC" w:rsidRPr="00BC5365" w14:paraId="34DDC031" w14:textId="77777777" w:rsidTr="00BC0D06">
        <w:trPr>
          <w:trHeight w:val="73"/>
          <w:jc w:val="center"/>
        </w:trPr>
        <w:tc>
          <w:tcPr>
            <w:tcW w:w="1820" w:type="dxa"/>
            <w:vMerge/>
          </w:tcPr>
          <w:p w14:paraId="60336BF1" w14:textId="77777777" w:rsidR="005170FC" w:rsidRPr="00BC5365" w:rsidRDefault="005170FC" w:rsidP="00EF4F42">
            <w:pPr>
              <w:pStyle w:val="MDPI42tablebody"/>
            </w:pPr>
          </w:p>
        </w:tc>
        <w:tc>
          <w:tcPr>
            <w:tcW w:w="1511" w:type="dxa"/>
          </w:tcPr>
          <w:p w14:paraId="2FC0EC7F" w14:textId="77777777" w:rsidR="005170FC"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73D85DA" w14:textId="77777777" w:rsidR="005170FC" w:rsidRPr="00BC5365" w:rsidRDefault="005170FC" w:rsidP="00EF4F42">
            <w:pPr>
              <w:pStyle w:val="MDPI42tablebody"/>
            </w:pPr>
            <w:r w:rsidRPr="00BC5365">
              <w:t>0.0</w:t>
            </w:r>
            <w:r>
              <w:t>4</w:t>
            </w:r>
          </w:p>
        </w:tc>
        <w:tc>
          <w:tcPr>
            <w:tcW w:w="1650" w:type="dxa"/>
          </w:tcPr>
          <w:p w14:paraId="2E44BB23" w14:textId="77777777" w:rsidR="005170FC" w:rsidRPr="00BC5365" w:rsidRDefault="005170FC" w:rsidP="00EF4F42">
            <w:pPr>
              <w:pStyle w:val="MDPI42tablebody"/>
            </w:pPr>
            <w:r w:rsidRPr="00BC5365">
              <w:t>0.02</w:t>
            </w:r>
          </w:p>
        </w:tc>
        <w:tc>
          <w:tcPr>
            <w:tcW w:w="1680" w:type="dxa"/>
          </w:tcPr>
          <w:p w14:paraId="1DCBF75F" w14:textId="77777777" w:rsidR="005170FC" w:rsidRPr="00BC5365" w:rsidRDefault="005170FC" w:rsidP="00EF4F42">
            <w:pPr>
              <w:pStyle w:val="MDPI42tablebody"/>
            </w:pPr>
            <w:r w:rsidRPr="00BC5365">
              <w:t>0.1</w:t>
            </w:r>
            <w:r>
              <w:t>1</w:t>
            </w:r>
          </w:p>
        </w:tc>
      </w:tr>
      <w:bookmarkEnd w:id="130"/>
    </w:tbl>
    <w:p w14:paraId="1B1A9DFF" w14:textId="2D9E3E7F" w:rsidR="002E3AA1" w:rsidRDefault="002E3AA1" w:rsidP="004104BE"/>
    <w:p w14:paraId="6FDE46A0" w14:textId="77777777" w:rsidR="0069539B" w:rsidRDefault="0069539B" w:rsidP="0069539B">
      <w:pPr>
        <w:keepNext/>
        <w:ind w:left="-432"/>
      </w:pPr>
      <w:r>
        <w:rPr>
          <w:noProof/>
        </w:rPr>
        <w:drawing>
          <wp:inline distT="0" distB="0" distL="0" distR="0" wp14:anchorId="64A24B31" wp14:editId="5D4EE129">
            <wp:extent cx="5943600" cy="2976245"/>
            <wp:effectExtent l="0" t="0" r="0" b="0"/>
            <wp:docPr id="16" name="图片 16" descr="日历&#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pic:nvPicPr>
                  <pic:blipFill>
                    <a:blip r:embed="rId67">
                      <a:extLst>
                        <a:ext uri="{28A0092B-C50C-407E-A947-70E740481C1C}">
                          <a14:useLocalDpi xmlns:a14="http://schemas.microsoft.com/office/drawing/2010/main" val="0"/>
                        </a:ext>
                      </a:extLst>
                    </a:blip>
                    <a:stretch>
                      <a:fillRect/>
                    </a:stretch>
                  </pic:blipFill>
                  <pic:spPr>
                    <a:xfrm>
                      <a:off x="0" y="0"/>
                      <a:ext cx="5943600" cy="2976245"/>
                    </a:xfrm>
                    <a:prstGeom prst="rect">
                      <a:avLst/>
                    </a:prstGeom>
                  </pic:spPr>
                </pic:pic>
              </a:graphicData>
            </a:graphic>
          </wp:inline>
        </w:drawing>
      </w:r>
    </w:p>
    <w:p w14:paraId="2AD06C19" w14:textId="529B450E" w:rsidR="00B83F90" w:rsidRDefault="0069539B" w:rsidP="0069539B">
      <w:pPr>
        <w:pStyle w:val="a3"/>
        <w:ind w:firstLine="0"/>
        <w:rPr>
          <w:b w:val="0"/>
          <w:bCs w:val="0"/>
        </w:rPr>
      </w:pPr>
      <w:bookmarkStart w:id="131" w:name="_Toc75360573"/>
      <w:bookmarkStart w:id="132" w:name="_Toc75361841"/>
      <w:bookmarkStart w:id="133" w:name="_Toc75361896"/>
      <w:r>
        <w:t xml:space="preserve">Figure </w:t>
      </w:r>
      <w:r w:rsidR="003F4A69">
        <w:t>3</w:t>
      </w:r>
      <w:r w:rsidR="00764D25">
        <w:t>.</w:t>
      </w:r>
      <w:r>
        <w:fldChar w:fldCharType="begin"/>
      </w:r>
      <w:r>
        <w:instrText>SEQ Figure \* ARABIC \s 1</w:instrText>
      </w:r>
      <w:r>
        <w:fldChar w:fldCharType="separate"/>
      </w:r>
      <w:r w:rsidR="00492676">
        <w:rPr>
          <w:noProof/>
        </w:rPr>
        <w:t>7</w:t>
      </w:r>
      <w:r>
        <w:fldChar w:fldCharType="end"/>
      </w:r>
      <w:r>
        <w:t xml:space="preserve">. </w:t>
      </w:r>
      <w:r w:rsidRPr="0069539B">
        <w:rPr>
          <w:b w:val="0"/>
          <w:bCs w:val="0"/>
        </w:rPr>
        <w:t>Product inter-comparison assessment through CC (left column) and RMSE (right column) after applying the TC method for Mesonet (first row), Noah (second row) and SMAP (third row) surface soil moisture products based on morning 6 AM values from April 2015 through July 2019, integrated (averaged)only during the Summer season months (i.e., June, July and August).</w:t>
      </w:r>
      <w:bookmarkEnd w:id="131"/>
      <w:bookmarkEnd w:id="132"/>
      <w:bookmarkEnd w:id="133"/>
    </w:p>
    <w:p w14:paraId="3C08D4C0" w14:textId="39D69ECB" w:rsidR="0018191B" w:rsidRDefault="0018191B" w:rsidP="0018191B"/>
    <w:p w14:paraId="41C99CDD" w14:textId="3C0B44E1" w:rsidR="006F7454" w:rsidRPr="006F7454" w:rsidRDefault="006F7454" w:rsidP="006F7454">
      <w:pPr>
        <w:pStyle w:val="a3"/>
        <w:keepNext/>
        <w:ind w:firstLine="0"/>
        <w:rPr>
          <w:b w:val="0"/>
          <w:bCs w:val="0"/>
        </w:rPr>
      </w:pPr>
      <w:bookmarkStart w:id="134" w:name="_Toc75361148"/>
      <w:r>
        <w:t xml:space="preserve">Table </w:t>
      </w:r>
      <w:r w:rsidR="003F4A69">
        <w:t>3</w:t>
      </w:r>
      <w:r w:rsidR="00685F41">
        <w:t>.</w:t>
      </w:r>
      <w:r>
        <w:fldChar w:fldCharType="begin"/>
      </w:r>
      <w:r>
        <w:instrText>SEQ Table \* ARABIC \s 1</w:instrText>
      </w:r>
      <w:r>
        <w:fldChar w:fldCharType="separate"/>
      </w:r>
      <w:r w:rsidR="00492676">
        <w:rPr>
          <w:noProof/>
        </w:rPr>
        <w:t>6</w:t>
      </w:r>
      <w:r>
        <w:fldChar w:fldCharType="end"/>
      </w:r>
      <w:r>
        <w:t xml:space="preserve">. </w:t>
      </w:r>
      <w:r w:rsidRPr="006F7454">
        <w:rPr>
          <w:b w:val="0"/>
          <w:bCs w:val="0"/>
        </w:rPr>
        <w:t>Climate-division averaged CC and RMSE from the TC triplets at local 6:00 AM for Mesonet, Noah and SMAP during the Summer over nine climate divisions of Oklahoma.</w:t>
      </w:r>
      <w:bookmarkEnd w:id="134"/>
    </w:p>
    <w:tbl>
      <w:tblPr>
        <w:tblStyle w:val="af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11"/>
        <w:gridCol w:w="1748"/>
        <w:gridCol w:w="1650"/>
        <w:gridCol w:w="1680"/>
      </w:tblGrid>
      <w:tr w:rsidR="006F7454" w:rsidRPr="00BC5365" w14:paraId="429BAED6" w14:textId="77777777" w:rsidTr="006F7454">
        <w:trPr>
          <w:jc w:val="center"/>
        </w:trPr>
        <w:tc>
          <w:tcPr>
            <w:tcW w:w="1820" w:type="dxa"/>
            <w:tcBorders>
              <w:top w:val="single" w:sz="4" w:space="0" w:color="auto"/>
              <w:bottom w:val="single" w:sz="4" w:space="0" w:color="auto"/>
            </w:tcBorders>
          </w:tcPr>
          <w:p w14:paraId="71121B06" w14:textId="77777777" w:rsidR="006F7454" w:rsidRPr="00BC5365" w:rsidRDefault="006F7454" w:rsidP="00EF4F42">
            <w:pPr>
              <w:pStyle w:val="MDPI42tablebody"/>
            </w:pPr>
            <w:r>
              <w:t>Division</w:t>
            </w:r>
          </w:p>
        </w:tc>
        <w:tc>
          <w:tcPr>
            <w:tcW w:w="1511" w:type="dxa"/>
            <w:tcBorders>
              <w:top w:val="single" w:sz="4" w:space="0" w:color="auto"/>
              <w:bottom w:val="single" w:sz="4" w:space="0" w:color="auto"/>
            </w:tcBorders>
          </w:tcPr>
          <w:p w14:paraId="5EA39B28" w14:textId="77777777" w:rsidR="006F7454" w:rsidRPr="00BC5365" w:rsidRDefault="006F7454" w:rsidP="00EF4F42">
            <w:pPr>
              <w:pStyle w:val="MDPI42tablebody"/>
            </w:pPr>
            <w:r>
              <w:t>Metric</w:t>
            </w:r>
          </w:p>
        </w:tc>
        <w:tc>
          <w:tcPr>
            <w:tcW w:w="1748" w:type="dxa"/>
            <w:tcBorders>
              <w:top w:val="single" w:sz="4" w:space="0" w:color="auto"/>
              <w:bottom w:val="single" w:sz="4" w:space="0" w:color="auto"/>
            </w:tcBorders>
          </w:tcPr>
          <w:p w14:paraId="45842F9D" w14:textId="77777777" w:rsidR="006F7454" w:rsidRPr="00BC5365" w:rsidRDefault="006F7454" w:rsidP="00EF4F42">
            <w:pPr>
              <w:pStyle w:val="MDPI42tablebody"/>
            </w:pPr>
            <w:r w:rsidRPr="00BC5365">
              <w:t>Mesonet</w:t>
            </w:r>
          </w:p>
        </w:tc>
        <w:tc>
          <w:tcPr>
            <w:tcW w:w="1650" w:type="dxa"/>
            <w:tcBorders>
              <w:top w:val="single" w:sz="4" w:space="0" w:color="auto"/>
              <w:bottom w:val="single" w:sz="4" w:space="0" w:color="auto"/>
            </w:tcBorders>
          </w:tcPr>
          <w:p w14:paraId="7B236AF4" w14:textId="77777777" w:rsidR="006F7454" w:rsidRPr="00BC5365" w:rsidRDefault="006F7454" w:rsidP="00EF4F42">
            <w:pPr>
              <w:pStyle w:val="MDPI42tablebody"/>
            </w:pPr>
            <w:r w:rsidRPr="00BC5365">
              <w:t>Noah</w:t>
            </w:r>
          </w:p>
        </w:tc>
        <w:tc>
          <w:tcPr>
            <w:tcW w:w="1680" w:type="dxa"/>
            <w:tcBorders>
              <w:top w:val="single" w:sz="4" w:space="0" w:color="auto"/>
              <w:bottom w:val="single" w:sz="4" w:space="0" w:color="auto"/>
            </w:tcBorders>
          </w:tcPr>
          <w:p w14:paraId="18CB1970" w14:textId="77777777" w:rsidR="006F7454" w:rsidRPr="00BC5365" w:rsidRDefault="006F7454" w:rsidP="00EF4F42">
            <w:pPr>
              <w:pStyle w:val="MDPI42tablebody"/>
            </w:pPr>
            <w:r w:rsidRPr="00BC5365">
              <w:t>SMAP</w:t>
            </w:r>
          </w:p>
        </w:tc>
      </w:tr>
      <w:tr w:rsidR="006F7454" w:rsidRPr="00BC5365" w14:paraId="59E19283" w14:textId="77777777" w:rsidTr="006F7454">
        <w:trPr>
          <w:trHeight w:val="74"/>
          <w:jc w:val="center"/>
        </w:trPr>
        <w:tc>
          <w:tcPr>
            <w:tcW w:w="1820" w:type="dxa"/>
            <w:vMerge w:val="restart"/>
            <w:tcBorders>
              <w:top w:val="single" w:sz="4" w:space="0" w:color="auto"/>
            </w:tcBorders>
          </w:tcPr>
          <w:p w14:paraId="698F16B7" w14:textId="77777777" w:rsidR="006F7454" w:rsidRPr="00BC5365" w:rsidRDefault="006F7454" w:rsidP="00EF4F42">
            <w:pPr>
              <w:pStyle w:val="MDPI42tablebody"/>
            </w:pPr>
            <w:r w:rsidRPr="00BC5365">
              <w:t>Panhandle</w:t>
            </w:r>
          </w:p>
        </w:tc>
        <w:tc>
          <w:tcPr>
            <w:tcW w:w="1511" w:type="dxa"/>
            <w:tcBorders>
              <w:top w:val="single" w:sz="4" w:space="0" w:color="auto"/>
            </w:tcBorders>
          </w:tcPr>
          <w:p w14:paraId="3167558E"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Borders>
              <w:top w:val="single" w:sz="4" w:space="0" w:color="auto"/>
            </w:tcBorders>
          </w:tcPr>
          <w:p w14:paraId="6449F1B7" w14:textId="77777777" w:rsidR="006F7454" w:rsidRPr="00BC5365" w:rsidRDefault="006F7454" w:rsidP="00EF4F42">
            <w:pPr>
              <w:pStyle w:val="MDPI42tablebody"/>
            </w:pPr>
            <w:r w:rsidRPr="00BC5365">
              <w:t>0.8</w:t>
            </w:r>
            <w:r>
              <w:t>7</w:t>
            </w:r>
          </w:p>
        </w:tc>
        <w:tc>
          <w:tcPr>
            <w:tcW w:w="1650" w:type="dxa"/>
            <w:tcBorders>
              <w:top w:val="single" w:sz="4" w:space="0" w:color="auto"/>
            </w:tcBorders>
          </w:tcPr>
          <w:p w14:paraId="03CADE1D" w14:textId="77777777" w:rsidR="006F7454" w:rsidRPr="00BC5365" w:rsidRDefault="006F7454" w:rsidP="00EF4F42">
            <w:pPr>
              <w:pStyle w:val="MDPI42tablebody"/>
            </w:pPr>
            <w:r w:rsidRPr="00BC5365">
              <w:t>0.</w:t>
            </w:r>
            <w:r>
              <w:t>91</w:t>
            </w:r>
          </w:p>
        </w:tc>
        <w:tc>
          <w:tcPr>
            <w:tcW w:w="1680" w:type="dxa"/>
            <w:tcBorders>
              <w:top w:val="single" w:sz="4" w:space="0" w:color="auto"/>
            </w:tcBorders>
          </w:tcPr>
          <w:p w14:paraId="18B7AFD7" w14:textId="77777777" w:rsidR="006F7454" w:rsidRPr="00BC5365" w:rsidRDefault="006F7454" w:rsidP="00EF4F42">
            <w:pPr>
              <w:pStyle w:val="MDPI42tablebody"/>
            </w:pPr>
            <w:r w:rsidRPr="00BC5365">
              <w:t>0.</w:t>
            </w:r>
            <w:r>
              <w:t>56</w:t>
            </w:r>
          </w:p>
        </w:tc>
      </w:tr>
      <w:tr w:rsidR="006F7454" w:rsidRPr="00BC5365" w14:paraId="0CAA2963" w14:textId="77777777" w:rsidTr="006F7454">
        <w:trPr>
          <w:trHeight w:val="73"/>
          <w:jc w:val="center"/>
        </w:trPr>
        <w:tc>
          <w:tcPr>
            <w:tcW w:w="1820" w:type="dxa"/>
            <w:vMerge/>
          </w:tcPr>
          <w:p w14:paraId="3DBE8967" w14:textId="77777777" w:rsidR="006F7454" w:rsidRPr="00BC5365" w:rsidRDefault="006F7454" w:rsidP="00EF4F42">
            <w:pPr>
              <w:pStyle w:val="MDPI42tablebody"/>
            </w:pPr>
          </w:p>
        </w:tc>
        <w:tc>
          <w:tcPr>
            <w:tcW w:w="1511" w:type="dxa"/>
          </w:tcPr>
          <w:p w14:paraId="51A9F7C7"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00937273" w14:textId="77777777" w:rsidR="006F7454" w:rsidRPr="00BC5365" w:rsidRDefault="006F7454" w:rsidP="00EF4F42">
            <w:pPr>
              <w:pStyle w:val="MDPI42tablebody"/>
            </w:pPr>
            <w:r w:rsidRPr="00BC5365">
              <w:t>0.0</w:t>
            </w:r>
            <w:r>
              <w:t>3</w:t>
            </w:r>
          </w:p>
        </w:tc>
        <w:tc>
          <w:tcPr>
            <w:tcW w:w="1650" w:type="dxa"/>
          </w:tcPr>
          <w:p w14:paraId="339A617F" w14:textId="77777777" w:rsidR="006F7454" w:rsidRPr="00BC5365" w:rsidRDefault="006F7454" w:rsidP="00EF4F42">
            <w:pPr>
              <w:pStyle w:val="MDPI42tablebody"/>
            </w:pPr>
            <w:r w:rsidRPr="00BC5365">
              <w:t>0.02</w:t>
            </w:r>
          </w:p>
        </w:tc>
        <w:tc>
          <w:tcPr>
            <w:tcW w:w="1680" w:type="dxa"/>
          </w:tcPr>
          <w:p w14:paraId="449B160F" w14:textId="77777777" w:rsidR="006F7454" w:rsidRPr="00BC5365" w:rsidRDefault="006F7454" w:rsidP="00EF4F42">
            <w:pPr>
              <w:pStyle w:val="MDPI42tablebody"/>
            </w:pPr>
            <w:r w:rsidRPr="00BC5365">
              <w:t>0.0</w:t>
            </w:r>
            <w:r>
              <w:t>6</w:t>
            </w:r>
          </w:p>
        </w:tc>
      </w:tr>
      <w:tr w:rsidR="006F7454" w:rsidRPr="00BC5365" w14:paraId="7060256D" w14:textId="77777777" w:rsidTr="006F7454">
        <w:trPr>
          <w:trHeight w:val="74"/>
          <w:jc w:val="center"/>
        </w:trPr>
        <w:tc>
          <w:tcPr>
            <w:tcW w:w="1820" w:type="dxa"/>
            <w:vMerge w:val="restart"/>
          </w:tcPr>
          <w:p w14:paraId="7702745B" w14:textId="77777777" w:rsidR="006F7454" w:rsidRPr="00BC5365" w:rsidRDefault="006F7454" w:rsidP="00EF4F42">
            <w:pPr>
              <w:pStyle w:val="MDPI42tablebody"/>
            </w:pPr>
            <w:r w:rsidRPr="00BC5365">
              <w:t>West Central</w:t>
            </w:r>
          </w:p>
        </w:tc>
        <w:tc>
          <w:tcPr>
            <w:tcW w:w="1511" w:type="dxa"/>
          </w:tcPr>
          <w:p w14:paraId="3436CC82"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35505E09" w14:textId="77777777" w:rsidR="006F7454" w:rsidRPr="00BC5365" w:rsidRDefault="006F7454" w:rsidP="00EF4F42">
            <w:pPr>
              <w:pStyle w:val="MDPI42tablebody"/>
            </w:pPr>
            <w:r w:rsidRPr="00BC5365">
              <w:t>0.</w:t>
            </w:r>
            <w:r>
              <w:t>96</w:t>
            </w:r>
          </w:p>
        </w:tc>
        <w:tc>
          <w:tcPr>
            <w:tcW w:w="1650" w:type="dxa"/>
          </w:tcPr>
          <w:p w14:paraId="67344BB2" w14:textId="77777777" w:rsidR="006F7454" w:rsidRPr="00BC5365" w:rsidRDefault="006F7454" w:rsidP="00EF4F42">
            <w:pPr>
              <w:pStyle w:val="MDPI42tablebody"/>
            </w:pPr>
            <w:r w:rsidRPr="00BC5365">
              <w:t>0.</w:t>
            </w:r>
            <w:r>
              <w:t>82</w:t>
            </w:r>
          </w:p>
        </w:tc>
        <w:tc>
          <w:tcPr>
            <w:tcW w:w="1680" w:type="dxa"/>
          </w:tcPr>
          <w:p w14:paraId="5C48CFFE" w14:textId="77777777" w:rsidR="006F7454" w:rsidRPr="00BC5365" w:rsidRDefault="006F7454" w:rsidP="00EF4F42">
            <w:pPr>
              <w:pStyle w:val="MDPI42tablebody"/>
            </w:pPr>
            <w:r w:rsidRPr="00BC5365">
              <w:t>0.</w:t>
            </w:r>
            <w:r>
              <w:t>36</w:t>
            </w:r>
          </w:p>
        </w:tc>
      </w:tr>
      <w:tr w:rsidR="006F7454" w:rsidRPr="00BC5365" w14:paraId="5D8E9897" w14:textId="77777777" w:rsidTr="006F7454">
        <w:trPr>
          <w:trHeight w:val="73"/>
          <w:jc w:val="center"/>
        </w:trPr>
        <w:tc>
          <w:tcPr>
            <w:tcW w:w="1820" w:type="dxa"/>
            <w:vMerge/>
          </w:tcPr>
          <w:p w14:paraId="3388C4DA" w14:textId="77777777" w:rsidR="006F7454" w:rsidRPr="00BC5365" w:rsidRDefault="006F7454" w:rsidP="00EF4F42">
            <w:pPr>
              <w:pStyle w:val="MDPI42tablebody"/>
            </w:pPr>
          </w:p>
        </w:tc>
        <w:tc>
          <w:tcPr>
            <w:tcW w:w="1511" w:type="dxa"/>
          </w:tcPr>
          <w:p w14:paraId="20F4BB96"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67CD1B8B" w14:textId="77777777" w:rsidR="006F7454" w:rsidRPr="00BC5365" w:rsidRDefault="006F7454" w:rsidP="00EF4F42">
            <w:pPr>
              <w:pStyle w:val="MDPI42tablebody"/>
            </w:pPr>
            <w:r w:rsidRPr="00BC5365">
              <w:t>0.0</w:t>
            </w:r>
            <w:r>
              <w:t>3</w:t>
            </w:r>
          </w:p>
        </w:tc>
        <w:tc>
          <w:tcPr>
            <w:tcW w:w="1650" w:type="dxa"/>
          </w:tcPr>
          <w:p w14:paraId="42A68A39" w14:textId="77777777" w:rsidR="006F7454" w:rsidRPr="00BC5365" w:rsidRDefault="006F7454" w:rsidP="00EF4F42">
            <w:pPr>
              <w:pStyle w:val="MDPI42tablebody"/>
            </w:pPr>
            <w:r w:rsidRPr="00BC5365">
              <w:t>0.0</w:t>
            </w:r>
            <w:r>
              <w:t>2</w:t>
            </w:r>
          </w:p>
        </w:tc>
        <w:tc>
          <w:tcPr>
            <w:tcW w:w="1680" w:type="dxa"/>
          </w:tcPr>
          <w:p w14:paraId="0A1187AC" w14:textId="77777777" w:rsidR="006F7454" w:rsidRPr="00BC5365" w:rsidRDefault="006F7454" w:rsidP="00EF4F42">
            <w:pPr>
              <w:pStyle w:val="MDPI42tablebody"/>
            </w:pPr>
            <w:r w:rsidRPr="00BC5365">
              <w:t>0.0</w:t>
            </w:r>
            <w:r>
              <w:t>7</w:t>
            </w:r>
          </w:p>
        </w:tc>
      </w:tr>
      <w:tr w:rsidR="006F7454" w:rsidRPr="00BC5365" w14:paraId="2DD09834" w14:textId="77777777" w:rsidTr="006F7454">
        <w:trPr>
          <w:trHeight w:val="74"/>
          <w:jc w:val="center"/>
        </w:trPr>
        <w:tc>
          <w:tcPr>
            <w:tcW w:w="1820" w:type="dxa"/>
            <w:vMerge w:val="restart"/>
          </w:tcPr>
          <w:p w14:paraId="4280C128" w14:textId="77777777" w:rsidR="006F7454" w:rsidRPr="00BC5365" w:rsidRDefault="006F7454" w:rsidP="00EF4F42">
            <w:pPr>
              <w:pStyle w:val="MDPI42tablebody"/>
            </w:pPr>
            <w:r w:rsidRPr="00BC5365">
              <w:lastRenderedPageBreak/>
              <w:t>Southwest</w:t>
            </w:r>
          </w:p>
        </w:tc>
        <w:tc>
          <w:tcPr>
            <w:tcW w:w="1511" w:type="dxa"/>
          </w:tcPr>
          <w:p w14:paraId="607EEF60"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0B21989" w14:textId="77777777" w:rsidR="006F7454" w:rsidRPr="00BC5365" w:rsidRDefault="006F7454" w:rsidP="00EF4F42">
            <w:pPr>
              <w:pStyle w:val="MDPI42tablebody"/>
            </w:pPr>
            <w:r w:rsidRPr="00BC5365">
              <w:t>0.</w:t>
            </w:r>
            <w:r>
              <w:t>93</w:t>
            </w:r>
          </w:p>
        </w:tc>
        <w:tc>
          <w:tcPr>
            <w:tcW w:w="1650" w:type="dxa"/>
          </w:tcPr>
          <w:p w14:paraId="4B8A4036" w14:textId="77777777" w:rsidR="006F7454" w:rsidRPr="00BC5365" w:rsidRDefault="006F7454" w:rsidP="00EF4F42">
            <w:pPr>
              <w:pStyle w:val="MDPI42tablebody"/>
            </w:pPr>
            <w:r w:rsidRPr="00BC5365">
              <w:t>0.</w:t>
            </w:r>
            <w:r>
              <w:t>83</w:t>
            </w:r>
          </w:p>
        </w:tc>
        <w:tc>
          <w:tcPr>
            <w:tcW w:w="1680" w:type="dxa"/>
          </w:tcPr>
          <w:p w14:paraId="11CE2E3D" w14:textId="77777777" w:rsidR="006F7454" w:rsidRPr="00BC5365" w:rsidRDefault="006F7454" w:rsidP="00EF4F42">
            <w:pPr>
              <w:pStyle w:val="MDPI42tablebody"/>
            </w:pPr>
            <w:r w:rsidRPr="00BC5365">
              <w:t>0.</w:t>
            </w:r>
            <w:r>
              <w:t>45</w:t>
            </w:r>
          </w:p>
        </w:tc>
      </w:tr>
      <w:tr w:rsidR="006F7454" w:rsidRPr="00BC5365" w14:paraId="5C6222F1" w14:textId="77777777" w:rsidTr="006F7454">
        <w:trPr>
          <w:trHeight w:val="73"/>
          <w:jc w:val="center"/>
        </w:trPr>
        <w:tc>
          <w:tcPr>
            <w:tcW w:w="1820" w:type="dxa"/>
            <w:vMerge/>
          </w:tcPr>
          <w:p w14:paraId="366BC5A7" w14:textId="77777777" w:rsidR="006F7454" w:rsidRPr="00BC5365" w:rsidRDefault="006F7454" w:rsidP="00EF4F42">
            <w:pPr>
              <w:pStyle w:val="MDPI42tablebody"/>
            </w:pPr>
          </w:p>
        </w:tc>
        <w:tc>
          <w:tcPr>
            <w:tcW w:w="1511" w:type="dxa"/>
          </w:tcPr>
          <w:p w14:paraId="5F8A6B70"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C48845F" w14:textId="77777777" w:rsidR="006F7454" w:rsidRPr="00BC5365" w:rsidRDefault="006F7454" w:rsidP="00EF4F42">
            <w:pPr>
              <w:pStyle w:val="MDPI42tablebody"/>
            </w:pPr>
            <w:r w:rsidRPr="00BC5365">
              <w:t>0.0</w:t>
            </w:r>
            <w:r>
              <w:t>3</w:t>
            </w:r>
          </w:p>
        </w:tc>
        <w:tc>
          <w:tcPr>
            <w:tcW w:w="1650" w:type="dxa"/>
          </w:tcPr>
          <w:p w14:paraId="650B24CC" w14:textId="77777777" w:rsidR="006F7454" w:rsidRPr="00BC5365" w:rsidRDefault="006F7454" w:rsidP="00EF4F42">
            <w:pPr>
              <w:pStyle w:val="MDPI42tablebody"/>
            </w:pPr>
            <w:r w:rsidRPr="00BC5365">
              <w:t>0.02</w:t>
            </w:r>
          </w:p>
        </w:tc>
        <w:tc>
          <w:tcPr>
            <w:tcW w:w="1680" w:type="dxa"/>
          </w:tcPr>
          <w:p w14:paraId="778FA2B6" w14:textId="77777777" w:rsidR="006F7454" w:rsidRPr="00BC5365" w:rsidRDefault="006F7454" w:rsidP="00EF4F42">
            <w:pPr>
              <w:pStyle w:val="MDPI42tablebody"/>
            </w:pPr>
            <w:r w:rsidRPr="00BC5365">
              <w:t>0.0</w:t>
            </w:r>
            <w:r>
              <w:t>7</w:t>
            </w:r>
          </w:p>
        </w:tc>
      </w:tr>
      <w:tr w:rsidR="006F7454" w:rsidRPr="00BC5365" w14:paraId="72E79B78" w14:textId="77777777" w:rsidTr="006F7454">
        <w:trPr>
          <w:trHeight w:val="74"/>
          <w:jc w:val="center"/>
        </w:trPr>
        <w:tc>
          <w:tcPr>
            <w:tcW w:w="1820" w:type="dxa"/>
            <w:vMerge w:val="restart"/>
          </w:tcPr>
          <w:p w14:paraId="3BE35716" w14:textId="77777777" w:rsidR="006F7454" w:rsidRPr="00BC5365" w:rsidRDefault="006F7454" w:rsidP="00EF4F42">
            <w:pPr>
              <w:pStyle w:val="MDPI42tablebody"/>
            </w:pPr>
            <w:r w:rsidRPr="00BC5365">
              <w:t>North Central</w:t>
            </w:r>
          </w:p>
        </w:tc>
        <w:tc>
          <w:tcPr>
            <w:tcW w:w="1511" w:type="dxa"/>
          </w:tcPr>
          <w:p w14:paraId="1B90B12C"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18E9B815" w14:textId="77777777" w:rsidR="006F7454" w:rsidRPr="00BC5365" w:rsidRDefault="006F7454" w:rsidP="00EF4F42">
            <w:pPr>
              <w:pStyle w:val="MDPI42tablebody"/>
            </w:pPr>
            <w:r w:rsidRPr="00BC5365">
              <w:t>0.</w:t>
            </w:r>
            <w:r>
              <w:t>83</w:t>
            </w:r>
          </w:p>
        </w:tc>
        <w:tc>
          <w:tcPr>
            <w:tcW w:w="1650" w:type="dxa"/>
          </w:tcPr>
          <w:p w14:paraId="5947C1F6" w14:textId="77777777" w:rsidR="006F7454" w:rsidRPr="00BC5365" w:rsidRDefault="006F7454" w:rsidP="00EF4F42">
            <w:pPr>
              <w:pStyle w:val="MDPI42tablebody"/>
            </w:pPr>
            <w:r w:rsidRPr="00BC5365">
              <w:t>0.</w:t>
            </w:r>
            <w:r>
              <w:t>82</w:t>
            </w:r>
          </w:p>
        </w:tc>
        <w:tc>
          <w:tcPr>
            <w:tcW w:w="1680" w:type="dxa"/>
          </w:tcPr>
          <w:p w14:paraId="30E8ED62" w14:textId="77777777" w:rsidR="006F7454" w:rsidRPr="00BC5365" w:rsidRDefault="006F7454" w:rsidP="00EF4F42">
            <w:pPr>
              <w:pStyle w:val="MDPI42tablebody"/>
            </w:pPr>
            <w:r w:rsidRPr="00BC5365">
              <w:t>0.</w:t>
            </w:r>
            <w:r>
              <w:t>31</w:t>
            </w:r>
          </w:p>
        </w:tc>
      </w:tr>
      <w:tr w:rsidR="006F7454" w:rsidRPr="00BC5365" w14:paraId="5939BE49" w14:textId="77777777" w:rsidTr="006F7454">
        <w:trPr>
          <w:trHeight w:val="73"/>
          <w:jc w:val="center"/>
        </w:trPr>
        <w:tc>
          <w:tcPr>
            <w:tcW w:w="1820" w:type="dxa"/>
            <w:vMerge/>
          </w:tcPr>
          <w:p w14:paraId="3A4446C0" w14:textId="77777777" w:rsidR="006F7454" w:rsidRPr="00BC5365" w:rsidRDefault="006F7454" w:rsidP="00EF4F42">
            <w:pPr>
              <w:pStyle w:val="MDPI42tablebody"/>
            </w:pPr>
          </w:p>
        </w:tc>
        <w:tc>
          <w:tcPr>
            <w:tcW w:w="1511" w:type="dxa"/>
          </w:tcPr>
          <w:p w14:paraId="685B0CD6"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08086CD3" w14:textId="77777777" w:rsidR="006F7454" w:rsidRPr="00BC5365" w:rsidRDefault="006F7454" w:rsidP="00EF4F42">
            <w:pPr>
              <w:pStyle w:val="MDPI42tablebody"/>
            </w:pPr>
            <w:r w:rsidRPr="00BC5365">
              <w:t>0.0</w:t>
            </w:r>
            <w:r>
              <w:t>5</w:t>
            </w:r>
          </w:p>
        </w:tc>
        <w:tc>
          <w:tcPr>
            <w:tcW w:w="1650" w:type="dxa"/>
          </w:tcPr>
          <w:p w14:paraId="46439087" w14:textId="77777777" w:rsidR="006F7454" w:rsidRPr="00BC5365" w:rsidRDefault="006F7454" w:rsidP="00EF4F42">
            <w:pPr>
              <w:pStyle w:val="MDPI42tablebody"/>
            </w:pPr>
            <w:r w:rsidRPr="00BC5365">
              <w:t>0.0</w:t>
            </w:r>
            <w:r>
              <w:t>2</w:t>
            </w:r>
          </w:p>
        </w:tc>
        <w:tc>
          <w:tcPr>
            <w:tcW w:w="1680" w:type="dxa"/>
          </w:tcPr>
          <w:p w14:paraId="290C5586" w14:textId="77777777" w:rsidR="006F7454" w:rsidRPr="00BC5365" w:rsidRDefault="006F7454" w:rsidP="00EF4F42">
            <w:pPr>
              <w:pStyle w:val="MDPI42tablebody"/>
            </w:pPr>
            <w:r w:rsidRPr="00BC5365">
              <w:t>0.</w:t>
            </w:r>
            <w:r>
              <w:t>11</w:t>
            </w:r>
          </w:p>
        </w:tc>
      </w:tr>
      <w:tr w:rsidR="006F7454" w:rsidRPr="00BC5365" w14:paraId="6F158CA3" w14:textId="77777777" w:rsidTr="006F7454">
        <w:trPr>
          <w:trHeight w:val="74"/>
          <w:jc w:val="center"/>
        </w:trPr>
        <w:tc>
          <w:tcPr>
            <w:tcW w:w="1820" w:type="dxa"/>
            <w:vMerge w:val="restart"/>
          </w:tcPr>
          <w:p w14:paraId="1745D0BC" w14:textId="77777777" w:rsidR="006F7454" w:rsidRPr="00BC5365" w:rsidRDefault="006F7454" w:rsidP="00EF4F42">
            <w:pPr>
              <w:pStyle w:val="MDPI42tablebody"/>
            </w:pPr>
            <w:r w:rsidRPr="00BC5365">
              <w:t>Central</w:t>
            </w:r>
          </w:p>
        </w:tc>
        <w:tc>
          <w:tcPr>
            <w:tcW w:w="1511" w:type="dxa"/>
          </w:tcPr>
          <w:p w14:paraId="6C658A72"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E7D2291" w14:textId="77777777" w:rsidR="006F7454" w:rsidRPr="00BC5365" w:rsidRDefault="006F7454" w:rsidP="00EF4F42">
            <w:pPr>
              <w:pStyle w:val="MDPI42tablebody"/>
            </w:pPr>
            <w:r w:rsidRPr="00BC5365">
              <w:t>0.7</w:t>
            </w:r>
            <w:r>
              <w:t>8</w:t>
            </w:r>
          </w:p>
        </w:tc>
        <w:tc>
          <w:tcPr>
            <w:tcW w:w="1650" w:type="dxa"/>
          </w:tcPr>
          <w:p w14:paraId="71A3BE8F" w14:textId="77777777" w:rsidR="006F7454" w:rsidRPr="00BC5365" w:rsidRDefault="006F7454" w:rsidP="00EF4F42">
            <w:pPr>
              <w:pStyle w:val="MDPI42tablebody"/>
            </w:pPr>
            <w:r w:rsidRPr="00BC5365">
              <w:t>0.7</w:t>
            </w:r>
            <w:r>
              <w:t>2</w:t>
            </w:r>
          </w:p>
        </w:tc>
        <w:tc>
          <w:tcPr>
            <w:tcW w:w="1680" w:type="dxa"/>
          </w:tcPr>
          <w:p w14:paraId="31D26265" w14:textId="77777777" w:rsidR="006F7454" w:rsidRPr="00BC5365" w:rsidRDefault="006F7454" w:rsidP="00EF4F42">
            <w:pPr>
              <w:pStyle w:val="MDPI42tablebody"/>
            </w:pPr>
            <w:r w:rsidRPr="00BC5365">
              <w:t>0.</w:t>
            </w:r>
            <w:r>
              <w:t>22</w:t>
            </w:r>
          </w:p>
        </w:tc>
      </w:tr>
      <w:tr w:rsidR="006F7454" w:rsidRPr="00BC5365" w14:paraId="3A73D5E1" w14:textId="77777777" w:rsidTr="006F7454">
        <w:trPr>
          <w:trHeight w:val="73"/>
          <w:jc w:val="center"/>
        </w:trPr>
        <w:tc>
          <w:tcPr>
            <w:tcW w:w="1820" w:type="dxa"/>
            <w:vMerge/>
          </w:tcPr>
          <w:p w14:paraId="28C14227" w14:textId="77777777" w:rsidR="006F7454" w:rsidRPr="00BC5365" w:rsidRDefault="006F7454" w:rsidP="00EF4F42">
            <w:pPr>
              <w:pStyle w:val="MDPI42tablebody"/>
            </w:pPr>
          </w:p>
        </w:tc>
        <w:tc>
          <w:tcPr>
            <w:tcW w:w="1511" w:type="dxa"/>
          </w:tcPr>
          <w:p w14:paraId="19138C3D"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DF7D13C" w14:textId="77777777" w:rsidR="006F7454" w:rsidRPr="00BC5365" w:rsidRDefault="006F7454" w:rsidP="00EF4F42">
            <w:pPr>
              <w:pStyle w:val="MDPI42tablebody"/>
            </w:pPr>
            <w:r w:rsidRPr="00BC5365">
              <w:t>0.0</w:t>
            </w:r>
            <w:r>
              <w:t>6</w:t>
            </w:r>
          </w:p>
        </w:tc>
        <w:tc>
          <w:tcPr>
            <w:tcW w:w="1650" w:type="dxa"/>
          </w:tcPr>
          <w:p w14:paraId="4722B2CE" w14:textId="77777777" w:rsidR="006F7454" w:rsidRPr="00BC5365" w:rsidRDefault="006F7454" w:rsidP="00EF4F42">
            <w:pPr>
              <w:pStyle w:val="MDPI42tablebody"/>
            </w:pPr>
            <w:r w:rsidRPr="00BC5365">
              <w:t>0.03</w:t>
            </w:r>
          </w:p>
        </w:tc>
        <w:tc>
          <w:tcPr>
            <w:tcW w:w="1680" w:type="dxa"/>
          </w:tcPr>
          <w:p w14:paraId="193251AB" w14:textId="77777777" w:rsidR="006F7454" w:rsidRPr="00BC5365" w:rsidRDefault="006F7454" w:rsidP="00EF4F42">
            <w:pPr>
              <w:pStyle w:val="MDPI42tablebody"/>
            </w:pPr>
            <w:r w:rsidRPr="00BC5365">
              <w:t>0.</w:t>
            </w:r>
            <w:r>
              <w:t>1</w:t>
            </w:r>
          </w:p>
        </w:tc>
      </w:tr>
      <w:tr w:rsidR="006F7454" w:rsidRPr="00BC5365" w14:paraId="742232FF" w14:textId="77777777" w:rsidTr="006F7454">
        <w:trPr>
          <w:trHeight w:val="74"/>
          <w:jc w:val="center"/>
        </w:trPr>
        <w:tc>
          <w:tcPr>
            <w:tcW w:w="1820" w:type="dxa"/>
            <w:vMerge w:val="restart"/>
          </w:tcPr>
          <w:p w14:paraId="08E0DA87" w14:textId="77777777" w:rsidR="006F7454" w:rsidRPr="00BC5365" w:rsidRDefault="006F7454" w:rsidP="00EF4F42">
            <w:pPr>
              <w:pStyle w:val="MDPI42tablebody"/>
            </w:pPr>
            <w:r w:rsidRPr="00BC5365">
              <w:t>South Central</w:t>
            </w:r>
          </w:p>
        </w:tc>
        <w:tc>
          <w:tcPr>
            <w:tcW w:w="1511" w:type="dxa"/>
          </w:tcPr>
          <w:p w14:paraId="352C32F4"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7BAB802C" w14:textId="77777777" w:rsidR="006F7454" w:rsidRPr="00BC5365" w:rsidRDefault="006F7454" w:rsidP="00EF4F42">
            <w:pPr>
              <w:pStyle w:val="MDPI42tablebody"/>
            </w:pPr>
            <w:r w:rsidRPr="00BC5365">
              <w:t>0.</w:t>
            </w:r>
            <w:r>
              <w:t>78</w:t>
            </w:r>
          </w:p>
        </w:tc>
        <w:tc>
          <w:tcPr>
            <w:tcW w:w="1650" w:type="dxa"/>
          </w:tcPr>
          <w:p w14:paraId="7D610766" w14:textId="77777777" w:rsidR="006F7454" w:rsidRPr="00BC5365" w:rsidRDefault="006F7454" w:rsidP="00EF4F42">
            <w:pPr>
              <w:pStyle w:val="MDPI42tablebody"/>
            </w:pPr>
            <w:r w:rsidRPr="00BC5365">
              <w:t>0.</w:t>
            </w:r>
            <w:r>
              <w:t>78</w:t>
            </w:r>
          </w:p>
        </w:tc>
        <w:tc>
          <w:tcPr>
            <w:tcW w:w="1680" w:type="dxa"/>
          </w:tcPr>
          <w:p w14:paraId="0E65D828" w14:textId="77777777" w:rsidR="006F7454" w:rsidRPr="00BC5365" w:rsidRDefault="006F7454" w:rsidP="00EF4F42">
            <w:pPr>
              <w:pStyle w:val="MDPI42tablebody"/>
            </w:pPr>
            <w:r w:rsidRPr="00BC5365">
              <w:t>0.</w:t>
            </w:r>
            <w:r>
              <w:t>23</w:t>
            </w:r>
          </w:p>
        </w:tc>
      </w:tr>
      <w:tr w:rsidR="006F7454" w:rsidRPr="00BC5365" w14:paraId="6F5083B6" w14:textId="77777777" w:rsidTr="006F7454">
        <w:trPr>
          <w:trHeight w:val="73"/>
          <w:jc w:val="center"/>
        </w:trPr>
        <w:tc>
          <w:tcPr>
            <w:tcW w:w="1820" w:type="dxa"/>
            <w:vMerge/>
          </w:tcPr>
          <w:p w14:paraId="5F0B50E1" w14:textId="77777777" w:rsidR="006F7454" w:rsidRPr="00BC5365" w:rsidRDefault="006F7454" w:rsidP="00EF4F42">
            <w:pPr>
              <w:pStyle w:val="MDPI42tablebody"/>
            </w:pPr>
          </w:p>
        </w:tc>
        <w:tc>
          <w:tcPr>
            <w:tcW w:w="1511" w:type="dxa"/>
          </w:tcPr>
          <w:p w14:paraId="502AA579"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0F1AF5B7" w14:textId="77777777" w:rsidR="006F7454" w:rsidRPr="00BC5365" w:rsidRDefault="006F7454" w:rsidP="00EF4F42">
            <w:pPr>
              <w:pStyle w:val="MDPI42tablebody"/>
            </w:pPr>
            <w:r w:rsidRPr="00BC5365">
              <w:t>0.0</w:t>
            </w:r>
            <w:r>
              <w:t>6</w:t>
            </w:r>
          </w:p>
        </w:tc>
        <w:tc>
          <w:tcPr>
            <w:tcW w:w="1650" w:type="dxa"/>
          </w:tcPr>
          <w:p w14:paraId="18513065" w14:textId="77777777" w:rsidR="006F7454" w:rsidRPr="00BC5365" w:rsidRDefault="006F7454" w:rsidP="00EF4F42">
            <w:pPr>
              <w:pStyle w:val="MDPI42tablebody"/>
            </w:pPr>
            <w:r w:rsidRPr="00BC5365">
              <w:t>0.0</w:t>
            </w:r>
            <w:r>
              <w:t>3</w:t>
            </w:r>
          </w:p>
        </w:tc>
        <w:tc>
          <w:tcPr>
            <w:tcW w:w="1680" w:type="dxa"/>
          </w:tcPr>
          <w:p w14:paraId="7DBA4E08" w14:textId="77777777" w:rsidR="006F7454" w:rsidRPr="00BC5365" w:rsidRDefault="006F7454" w:rsidP="00EF4F42">
            <w:pPr>
              <w:pStyle w:val="MDPI42tablebody"/>
            </w:pPr>
            <w:r w:rsidRPr="00BC5365">
              <w:t>0.</w:t>
            </w:r>
            <w:r>
              <w:t>1</w:t>
            </w:r>
          </w:p>
        </w:tc>
      </w:tr>
      <w:tr w:rsidR="006F7454" w:rsidRPr="00BC5365" w14:paraId="3A208B57" w14:textId="77777777" w:rsidTr="006F7454">
        <w:trPr>
          <w:trHeight w:val="74"/>
          <w:jc w:val="center"/>
        </w:trPr>
        <w:tc>
          <w:tcPr>
            <w:tcW w:w="1820" w:type="dxa"/>
            <w:vMerge w:val="restart"/>
          </w:tcPr>
          <w:p w14:paraId="7ED9D23A" w14:textId="77777777" w:rsidR="006F7454" w:rsidRPr="00BC5365" w:rsidRDefault="006F7454" w:rsidP="00EF4F42">
            <w:pPr>
              <w:pStyle w:val="MDPI42tablebody"/>
            </w:pPr>
            <w:r w:rsidRPr="00BC5365">
              <w:t>Northeast</w:t>
            </w:r>
          </w:p>
        </w:tc>
        <w:tc>
          <w:tcPr>
            <w:tcW w:w="1511" w:type="dxa"/>
          </w:tcPr>
          <w:p w14:paraId="0562F7AE"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40C48462" w14:textId="77777777" w:rsidR="006F7454" w:rsidRPr="00BC5365" w:rsidRDefault="006F7454" w:rsidP="00EF4F42">
            <w:pPr>
              <w:pStyle w:val="MDPI42tablebody"/>
            </w:pPr>
            <w:r w:rsidRPr="00BC5365">
              <w:t>0.</w:t>
            </w:r>
            <w:r>
              <w:t>68</w:t>
            </w:r>
          </w:p>
        </w:tc>
        <w:tc>
          <w:tcPr>
            <w:tcW w:w="1650" w:type="dxa"/>
          </w:tcPr>
          <w:p w14:paraId="4E1789F4" w14:textId="77777777" w:rsidR="006F7454" w:rsidRPr="00BC5365" w:rsidRDefault="006F7454" w:rsidP="00EF4F42">
            <w:pPr>
              <w:pStyle w:val="MDPI42tablebody"/>
            </w:pPr>
            <w:r w:rsidRPr="00BC5365">
              <w:t>0.6</w:t>
            </w:r>
            <w:r>
              <w:t>5</w:t>
            </w:r>
          </w:p>
        </w:tc>
        <w:tc>
          <w:tcPr>
            <w:tcW w:w="1680" w:type="dxa"/>
          </w:tcPr>
          <w:p w14:paraId="7814341F" w14:textId="77777777" w:rsidR="006F7454" w:rsidRPr="00BC5365" w:rsidRDefault="006F7454" w:rsidP="00EF4F42">
            <w:pPr>
              <w:pStyle w:val="MDPI42tablebody"/>
            </w:pPr>
            <w:r w:rsidRPr="00BC5365">
              <w:t>0.</w:t>
            </w:r>
            <w:r>
              <w:t>1</w:t>
            </w:r>
          </w:p>
        </w:tc>
      </w:tr>
      <w:tr w:rsidR="006F7454" w:rsidRPr="00BC5365" w14:paraId="0C8AE8BB" w14:textId="77777777" w:rsidTr="006F7454">
        <w:trPr>
          <w:trHeight w:val="73"/>
          <w:jc w:val="center"/>
        </w:trPr>
        <w:tc>
          <w:tcPr>
            <w:tcW w:w="1820" w:type="dxa"/>
            <w:vMerge/>
          </w:tcPr>
          <w:p w14:paraId="0D8E48AC" w14:textId="77777777" w:rsidR="006F7454" w:rsidRPr="00BC5365" w:rsidRDefault="006F7454" w:rsidP="00EF4F42">
            <w:pPr>
              <w:pStyle w:val="MDPI42tablebody"/>
            </w:pPr>
          </w:p>
        </w:tc>
        <w:tc>
          <w:tcPr>
            <w:tcW w:w="1511" w:type="dxa"/>
          </w:tcPr>
          <w:p w14:paraId="2686AD93"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7BDB7FF" w14:textId="77777777" w:rsidR="006F7454" w:rsidRPr="00BC5365" w:rsidRDefault="006F7454" w:rsidP="00EF4F42">
            <w:pPr>
              <w:pStyle w:val="MDPI42tablebody"/>
            </w:pPr>
            <w:r w:rsidRPr="00BC5365">
              <w:t>0.</w:t>
            </w:r>
            <w:r>
              <w:t>1</w:t>
            </w:r>
          </w:p>
        </w:tc>
        <w:tc>
          <w:tcPr>
            <w:tcW w:w="1650" w:type="dxa"/>
          </w:tcPr>
          <w:p w14:paraId="64487213" w14:textId="77777777" w:rsidR="006F7454" w:rsidRPr="00BC5365" w:rsidRDefault="006F7454" w:rsidP="00EF4F42">
            <w:pPr>
              <w:pStyle w:val="MDPI42tablebody"/>
            </w:pPr>
            <w:r w:rsidRPr="00BC5365">
              <w:t>0.0</w:t>
            </w:r>
            <w:r>
              <w:t>3</w:t>
            </w:r>
          </w:p>
        </w:tc>
        <w:tc>
          <w:tcPr>
            <w:tcW w:w="1680" w:type="dxa"/>
          </w:tcPr>
          <w:p w14:paraId="4A4D24D5" w14:textId="77777777" w:rsidR="006F7454" w:rsidRPr="00BC5365" w:rsidRDefault="006F7454" w:rsidP="00EF4F42">
            <w:pPr>
              <w:pStyle w:val="MDPI42tablebody"/>
            </w:pPr>
            <w:r w:rsidRPr="00BC5365">
              <w:t>0.</w:t>
            </w:r>
            <w:r>
              <w:t>19</w:t>
            </w:r>
          </w:p>
        </w:tc>
      </w:tr>
      <w:tr w:rsidR="006F7454" w:rsidRPr="00BC5365" w14:paraId="35BF1EB0" w14:textId="77777777" w:rsidTr="006F7454">
        <w:trPr>
          <w:trHeight w:val="74"/>
          <w:jc w:val="center"/>
        </w:trPr>
        <w:tc>
          <w:tcPr>
            <w:tcW w:w="1820" w:type="dxa"/>
            <w:vMerge w:val="restart"/>
          </w:tcPr>
          <w:p w14:paraId="480F103F" w14:textId="77777777" w:rsidR="006F7454" w:rsidRPr="00BC5365" w:rsidRDefault="006F7454" w:rsidP="00EF4F42">
            <w:pPr>
              <w:pStyle w:val="MDPI42tablebody"/>
            </w:pPr>
            <w:r w:rsidRPr="00BC5365">
              <w:t>East Central</w:t>
            </w:r>
          </w:p>
        </w:tc>
        <w:tc>
          <w:tcPr>
            <w:tcW w:w="1511" w:type="dxa"/>
          </w:tcPr>
          <w:p w14:paraId="04EF1137"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27413AA" w14:textId="77777777" w:rsidR="006F7454" w:rsidRPr="00BC5365" w:rsidRDefault="006F7454" w:rsidP="00EF4F42">
            <w:pPr>
              <w:pStyle w:val="MDPI42tablebody"/>
            </w:pPr>
            <w:r w:rsidRPr="00BC5365">
              <w:t>0.7</w:t>
            </w:r>
            <w:r>
              <w:t>1</w:t>
            </w:r>
          </w:p>
        </w:tc>
        <w:tc>
          <w:tcPr>
            <w:tcW w:w="1650" w:type="dxa"/>
          </w:tcPr>
          <w:p w14:paraId="1A2352CD" w14:textId="77777777" w:rsidR="006F7454" w:rsidRPr="00BC5365" w:rsidRDefault="006F7454" w:rsidP="00EF4F42">
            <w:pPr>
              <w:pStyle w:val="MDPI42tablebody"/>
            </w:pPr>
            <w:r w:rsidRPr="00BC5365">
              <w:t>0.</w:t>
            </w:r>
            <w:r>
              <w:t>7</w:t>
            </w:r>
          </w:p>
        </w:tc>
        <w:tc>
          <w:tcPr>
            <w:tcW w:w="1680" w:type="dxa"/>
          </w:tcPr>
          <w:p w14:paraId="582C477B" w14:textId="77777777" w:rsidR="006F7454" w:rsidRPr="00BC5365" w:rsidRDefault="006F7454" w:rsidP="00EF4F42">
            <w:pPr>
              <w:pStyle w:val="MDPI42tablebody"/>
            </w:pPr>
            <w:r w:rsidRPr="00BC5365">
              <w:t>0.</w:t>
            </w:r>
            <w:r>
              <w:t>17</w:t>
            </w:r>
          </w:p>
        </w:tc>
      </w:tr>
      <w:tr w:rsidR="006F7454" w:rsidRPr="00BC5365" w14:paraId="0F633936" w14:textId="77777777" w:rsidTr="006F7454">
        <w:trPr>
          <w:trHeight w:val="73"/>
          <w:jc w:val="center"/>
        </w:trPr>
        <w:tc>
          <w:tcPr>
            <w:tcW w:w="1820" w:type="dxa"/>
            <w:vMerge/>
          </w:tcPr>
          <w:p w14:paraId="00091A16" w14:textId="77777777" w:rsidR="006F7454" w:rsidRPr="00BC5365" w:rsidRDefault="006F7454" w:rsidP="00EF4F42">
            <w:pPr>
              <w:pStyle w:val="MDPI42tablebody"/>
            </w:pPr>
          </w:p>
        </w:tc>
        <w:tc>
          <w:tcPr>
            <w:tcW w:w="1511" w:type="dxa"/>
          </w:tcPr>
          <w:p w14:paraId="783A70CA"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505FB6E" w14:textId="77777777" w:rsidR="006F7454" w:rsidRPr="00BC5365" w:rsidRDefault="006F7454" w:rsidP="00EF4F42">
            <w:pPr>
              <w:pStyle w:val="MDPI42tablebody"/>
            </w:pPr>
            <w:r w:rsidRPr="00BC5365">
              <w:t>0.0</w:t>
            </w:r>
            <w:r>
              <w:t>7</w:t>
            </w:r>
          </w:p>
        </w:tc>
        <w:tc>
          <w:tcPr>
            <w:tcW w:w="1650" w:type="dxa"/>
          </w:tcPr>
          <w:p w14:paraId="018B90CB" w14:textId="77777777" w:rsidR="006F7454" w:rsidRPr="00BC5365" w:rsidRDefault="006F7454" w:rsidP="00EF4F42">
            <w:pPr>
              <w:pStyle w:val="MDPI42tablebody"/>
            </w:pPr>
            <w:r w:rsidRPr="00BC5365">
              <w:t>0.02</w:t>
            </w:r>
          </w:p>
        </w:tc>
        <w:tc>
          <w:tcPr>
            <w:tcW w:w="1680" w:type="dxa"/>
          </w:tcPr>
          <w:p w14:paraId="623E6987" w14:textId="77777777" w:rsidR="006F7454" w:rsidRPr="00BC5365" w:rsidRDefault="006F7454" w:rsidP="00EF4F42">
            <w:pPr>
              <w:pStyle w:val="MDPI42tablebody"/>
            </w:pPr>
            <w:r w:rsidRPr="00BC5365">
              <w:t>0.1</w:t>
            </w:r>
            <w:r>
              <w:t>5</w:t>
            </w:r>
          </w:p>
        </w:tc>
      </w:tr>
      <w:tr w:rsidR="006F7454" w:rsidRPr="00BC5365" w14:paraId="6AA4DAD0" w14:textId="77777777" w:rsidTr="006F7454">
        <w:trPr>
          <w:trHeight w:val="74"/>
          <w:jc w:val="center"/>
        </w:trPr>
        <w:tc>
          <w:tcPr>
            <w:tcW w:w="1820" w:type="dxa"/>
            <w:vMerge w:val="restart"/>
          </w:tcPr>
          <w:p w14:paraId="6C969166" w14:textId="77777777" w:rsidR="006F7454" w:rsidRPr="00BC5365" w:rsidRDefault="006F7454" w:rsidP="00EF4F42">
            <w:pPr>
              <w:pStyle w:val="MDPI42tablebody"/>
            </w:pPr>
            <w:r w:rsidRPr="00BC5365">
              <w:t>Southeast</w:t>
            </w:r>
          </w:p>
        </w:tc>
        <w:tc>
          <w:tcPr>
            <w:tcW w:w="1511" w:type="dxa"/>
          </w:tcPr>
          <w:p w14:paraId="6754EC84"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40026489" w14:textId="77777777" w:rsidR="006F7454" w:rsidRPr="00BC5365" w:rsidRDefault="006F7454" w:rsidP="00EF4F42">
            <w:pPr>
              <w:pStyle w:val="MDPI42tablebody"/>
            </w:pPr>
            <w:r w:rsidRPr="00BC5365">
              <w:t>0.</w:t>
            </w:r>
            <w:r>
              <w:t>8</w:t>
            </w:r>
          </w:p>
        </w:tc>
        <w:tc>
          <w:tcPr>
            <w:tcW w:w="1650" w:type="dxa"/>
          </w:tcPr>
          <w:p w14:paraId="36D7BAC8" w14:textId="77777777" w:rsidR="006F7454" w:rsidRPr="00BC5365" w:rsidRDefault="006F7454" w:rsidP="00EF4F42">
            <w:pPr>
              <w:pStyle w:val="MDPI42tablebody"/>
            </w:pPr>
            <w:r w:rsidRPr="00BC5365">
              <w:t>0.</w:t>
            </w:r>
            <w:r>
              <w:t>71</w:t>
            </w:r>
          </w:p>
        </w:tc>
        <w:tc>
          <w:tcPr>
            <w:tcW w:w="1680" w:type="dxa"/>
          </w:tcPr>
          <w:p w14:paraId="0D254A6C" w14:textId="77777777" w:rsidR="006F7454" w:rsidRPr="00BC5365" w:rsidRDefault="006F7454" w:rsidP="00EF4F42">
            <w:pPr>
              <w:pStyle w:val="MDPI42tablebody"/>
            </w:pPr>
            <w:r w:rsidRPr="00BC5365">
              <w:t>0.2</w:t>
            </w:r>
            <w:r>
              <w:t>2</w:t>
            </w:r>
          </w:p>
        </w:tc>
      </w:tr>
      <w:tr w:rsidR="006F7454" w:rsidRPr="00BC5365" w14:paraId="05358B96" w14:textId="77777777" w:rsidTr="006F7454">
        <w:trPr>
          <w:trHeight w:val="73"/>
          <w:jc w:val="center"/>
        </w:trPr>
        <w:tc>
          <w:tcPr>
            <w:tcW w:w="1820" w:type="dxa"/>
            <w:vMerge/>
          </w:tcPr>
          <w:p w14:paraId="516B45A3" w14:textId="77777777" w:rsidR="006F7454" w:rsidRPr="00BC5365" w:rsidRDefault="006F7454" w:rsidP="00EF4F42">
            <w:pPr>
              <w:pStyle w:val="MDPI42tablebody"/>
            </w:pPr>
          </w:p>
        </w:tc>
        <w:tc>
          <w:tcPr>
            <w:tcW w:w="1511" w:type="dxa"/>
          </w:tcPr>
          <w:p w14:paraId="1B5B6385" w14:textId="77777777" w:rsidR="006F7454"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C05AEF9" w14:textId="77777777" w:rsidR="006F7454" w:rsidRPr="00BC5365" w:rsidRDefault="006F7454" w:rsidP="00EF4F42">
            <w:pPr>
              <w:pStyle w:val="MDPI42tablebody"/>
            </w:pPr>
            <w:r w:rsidRPr="00BC5365">
              <w:t>0.0</w:t>
            </w:r>
            <w:r>
              <w:t>6</w:t>
            </w:r>
          </w:p>
        </w:tc>
        <w:tc>
          <w:tcPr>
            <w:tcW w:w="1650" w:type="dxa"/>
          </w:tcPr>
          <w:p w14:paraId="21164F24" w14:textId="77777777" w:rsidR="006F7454" w:rsidRPr="00BC5365" w:rsidRDefault="006F7454" w:rsidP="00EF4F42">
            <w:pPr>
              <w:pStyle w:val="MDPI42tablebody"/>
            </w:pPr>
            <w:r w:rsidRPr="00BC5365">
              <w:t>0.02</w:t>
            </w:r>
          </w:p>
        </w:tc>
        <w:tc>
          <w:tcPr>
            <w:tcW w:w="1680" w:type="dxa"/>
          </w:tcPr>
          <w:p w14:paraId="6FE6D2E5" w14:textId="77777777" w:rsidR="006F7454" w:rsidRPr="00BC5365" w:rsidRDefault="006F7454" w:rsidP="00EF4F42">
            <w:pPr>
              <w:pStyle w:val="MDPI42tablebody"/>
            </w:pPr>
            <w:r w:rsidRPr="00BC5365">
              <w:t>0.1</w:t>
            </w:r>
            <w:r>
              <w:t>6</w:t>
            </w:r>
          </w:p>
        </w:tc>
      </w:tr>
    </w:tbl>
    <w:p w14:paraId="7996B1CD" w14:textId="081D5B89" w:rsidR="0018191B" w:rsidRDefault="0018191B" w:rsidP="0018191B"/>
    <w:p w14:paraId="5491A56B" w14:textId="77777777" w:rsidR="002C5368" w:rsidRDefault="002C5368" w:rsidP="00944DB4">
      <w:pPr>
        <w:keepNext/>
        <w:ind w:left="-432"/>
      </w:pPr>
      <w:r>
        <w:rPr>
          <w:noProof/>
        </w:rPr>
        <w:drawing>
          <wp:inline distT="0" distB="0" distL="0" distR="0" wp14:anchorId="135CBEF5" wp14:editId="0F269C8B">
            <wp:extent cx="5943600" cy="2981960"/>
            <wp:effectExtent l="0" t="0" r="0" b="8890"/>
            <wp:docPr id="17" name="图片 17"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pic:nvPicPr>
                  <pic:blipFill>
                    <a:blip r:embed="rId68">
                      <a:extLst>
                        <a:ext uri="{28A0092B-C50C-407E-A947-70E740481C1C}">
                          <a14:useLocalDpi xmlns:a14="http://schemas.microsoft.com/office/drawing/2010/main" val="0"/>
                        </a:ext>
                      </a:extLst>
                    </a:blip>
                    <a:stretch>
                      <a:fillRect/>
                    </a:stretch>
                  </pic:blipFill>
                  <pic:spPr>
                    <a:xfrm>
                      <a:off x="0" y="0"/>
                      <a:ext cx="5943600" cy="2981960"/>
                    </a:xfrm>
                    <a:prstGeom prst="rect">
                      <a:avLst/>
                    </a:prstGeom>
                  </pic:spPr>
                </pic:pic>
              </a:graphicData>
            </a:graphic>
          </wp:inline>
        </w:drawing>
      </w:r>
    </w:p>
    <w:p w14:paraId="694D43CD" w14:textId="36125035" w:rsidR="00D12917" w:rsidRPr="002C5368" w:rsidRDefault="002C5368" w:rsidP="002C5368">
      <w:pPr>
        <w:pStyle w:val="a3"/>
        <w:ind w:firstLine="0"/>
        <w:rPr>
          <w:b w:val="0"/>
          <w:bCs w:val="0"/>
        </w:rPr>
      </w:pPr>
      <w:bookmarkStart w:id="135" w:name="_Toc75360574"/>
      <w:bookmarkStart w:id="136" w:name="_Toc75361842"/>
      <w:bookmarkStart w:id="137" w:name="_Toc75361897"/>
      <w:r>
        <w:t xml:space="preserve">Figure </w:t>
      </w:r>
      <w:r w:rsidR="003F4A69">
        <w:t>3</w:t>
      </w:r>
      <w:r w:rsidR="00764D25">
        <w:t>.</w:t>
      </w:r>
      <w:r>
        <w:fldChar w:fldCharType="begin"/>
      </w:r>
      <w:r>
        <w:instrText>SEQ Figure \* ARABIC \s 1</w:instrText>
      </w:r>
      <w:r>
        <w:fldChar w:fldCharType="separate"/>
      </w:r>
      <w:r w:rsidR="00492676">
        <w:rPr>
          <w:noProof/>
        </w:rPr>
        <w:t>8</w:t>
      </w:r>
      <w:r>
        <w:fldChar w:fldCharType="end"/>
      </w:r>
      <w:r>
        <w:t xml:space="preserve">. </w:t>
      </w:r>
      <w:r w:rsidRPr="002C5368">
        <w:rPr>
          <w:b w:val="0"/>
          <w:bCs w:val="0"/>
        </w:rPr>
        <w:t>Product inter-comparison assessment through CC (left column) and RMSE (right column) after applying the TC method for Mesonet (first row), Noah (second row) and SMAP (third row) surface soil moisture products based on morning 6 AM values from April 2015 through July 2019, integrated (averaged)only during the Fall season months (i.e., September, October, November).</w:t>
      </w:r>
      <w:bookmarkEnd w:id="135"/>
      <w:bookmarkEnd w:id="136"/>
      <w:bookmarkEnd w:id="137"/>
    </w:p>
    <w:p w14:paraId="6E901CAC" w14:textId="1B72FC30" w:rsidR="00C32CE0" w:rsidRDefault="00C32CE0" w:rsidP="00C32CE0"/>
    <w:p w14:paraId="56F09AEC" w14:textId="2E694BAB" w:rsidR="007E3A65" w:rsidRPr="00A029CC" w:rsidRDefault="007E3A65" w:rsidP="00A029CC">
      <w:pPr>
        <w:pStyle w:val="a3"/>
        <w:keepNext/>
        <w:ind w:firstLine="0"/>
        <w:rPr>
          <w:b w:val="0"/>
          <w:bCs w:val="0"/>
        </w:rPr>
      </w:pPr>
      <w:bookmarkStart w:id="138" w:name="_Toc75361149"/>
      <w:r>
        <w:t xml:space="preserve">Table </w:t>
      </w:r>
      <w:r w:rsidR="003F4A69">
        <w:t>3</w:t>
      </w:r>
      <w:r w:rsidR="00685F41">
        <w:t>.</w:t>
      </w:r>
      <w:r>
        <w:fldChar w:fldCharType="begin"/>
      </w:r>
      <w:r>
        <w:instrText>SEQ Table \* ARABIC \s 1</w:instrText>
      </w:r>
      <w:r>
        <w:fldChar w:fldCharType="separate"/>
      </w:r>
      <w:r w:rsidR="00492676">
        <w:rPr>
          <w:noProof/>
        </w:rPr>
        <w:t>7</w:t>
      </w:r>
      <w:r>
        <w:fldChar w:fldCharType="end"/>
      </w:r>
      <w:r>
        <w:t xml:space="preserve">. </w:t>
      </w:r>
      <w:r w:rsidR="00A029CC" w:rsidRPr="00A029CC">
        <w:rPr>
          <w:b w:val="0"/>
          <w:bCs w:val="0"/>
        </w:rPr>
        <w:t>Climate-division averaged CC and RMSE from the TC triplets at local 6:00 AM for Mesonet, Noah and SMAP during the Fall over nine climate divisions of Oklahoma.</w:t>
      </w:r>
      <w:bookmarkEnd w:id="138"/>
    </w:p>
    <w:tbl>
      <w:tblPr>
        <w:tblStyle w:val="af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11"/>
        <w:gridCol w:w="1748"/>
        <w:gridCol w:w="1650"/>
        <w:gridCol w:w="1680"/>
      </w:tblGrid>
      <w:tr w:rsidR="007E3A65" w:rsidRPr="00BC5365" w14:paraId="64F5CB73" w14:textId="77777777" w:rsidTr="007E3A65">
        <w:trPr>
          <w:jc w:val="center"/>
        </w:trPr>
        <w:tc>
          <w:tcPr>
            <w:tcW w:w="1820" w:type="dxa"/>
            <w:tcBorders>
              <w:top w:val="single" w:sz="4" w:space="0" w:color="auto"/>
              <w:bottom w:val="single" w:sz="4" w:space="0" w:color="auto"/>
            </w:tcBorders>
          </w:tcPr>
          <w:p w14:paraId="6C07BF66" w14:textId="77777777" w:rsidR="007E3A65" w:rsidRPr="00BC5365" w:rsidRDefault="007E3A65" w:rsidP="00EF4F42">
            <w:pPr>
              <w:pStyle w:val="MDPI42tablebody"/>
            </w:pPr>
            <w:r>
              <w:t>Division</w:t>
            </w:r>
          </w:p>
        </w:tc>
        <w:tc>
          <w:tcPr>
            <w:tcW w:w="1511" w:type="dxa"/>
            <w:tcBorders>
              <w:top w:val="single" w:sz="4" w:space="0" w:color="auto"/>
              <w:bottom w:val="single" w:sz="4" w:space="0" w:color="auto"/>
            </w:tcBorders>
          </w:tcPr>
          <w:p w14:paraId="0046AE6F" w14:textId="77777777" w:rsidR="007E3A65" w:rsidRPr="00BC5365" w:rsidRDefault="007E3A65" w:rsidP="00EF4F42">
            <w:pPr>
              <w:pStyle w:val="MDPI42tablebody"/>
            </w:pPr>
            <w:r>
              <w:t>Metric</w:t>
            </w:r>
          </w:p>
        </w:tc>
        <w:tc>
          <w:tcPr>
            <w:tcW w:w="1748" w:type="dxa"/>
            <w:tcBorders>
              <w:top w:val="single" w:sz="4" w:space="0" w:color="auto"/>
              <w:bottom w:val="single" w:sz="4" w:space="0" w:color="auto"/>
            </w:tcBorders>
          </w:tcPr>
          <w:p w14:paraId="329E8DE6" w14:textId="77777777" w:rsidR="007E3A65" w:rsidRPr="00BC5365" w:rsidRDefault="007E3A65" w:rsidP="00EF4F42">
            <w:pPr>
              <w:pStyle w:val="MDPI42tablebody"/>
            </w:pPr>
            <w:r w:rsidRPr="00BC5365">
              <w:t>Mesonet</w:t>
            </w:r>
          </w:p>
        </w:tc>
        <w:tc>
          <w:tcPr>
            <w:tcW w:w="1650" w:type="dxa"/>
            <w:tcBorders>
              <w:top w:val="single" w:sz="4" w:space="0" w:color="auto"/>
              <w:bottom w:val="single" w:sz="4" w:space="0" w:color="auto"/>
            </w:tcBorders>
          </w:tcPr>
          <w:p w14:paraId="07B68587" w14:textId="77777777" w:rsidR="007E3A65" w:rsidRPr="00BC5365" w:rsidRDefault="007E3A65" w:rsidP="00EF4F42">
            <w:pPr>
              <w:pStyle w:val="MDPI42tablebody"/>
            </w:pPr>
            <w:r w:rsidRPr="00BC5365">
              <w:t>Noah</w:t>
            </w:r>
          </w:p>
        </w:tc>
        <w:tc>
          <w:tcPr>
            <w:tcW w:w="1680" w:type="dxa"/>
            <w:tcBorders>
              <w:top w:val="single" w:sz="4" w:space="0" w:color="auto"/>
              <w:bottom w:val="single" w:sz="4" w:space="0" w:color="auto"/>
            </w:tcBorders>
          </w:tcPr>
          <w:p w14:paraId="002D4D29" w14:textId="77777777" w:rsidR="007E3A65" w:rsidRPr="00BC5365" w:rsidRDefault="007E3A65" w:rsidP="00EF4F42">
            <w:pPr>
              <w:pStyle w:val="MDPI42tablebody"/>
            </w:pPr>
            <w:r w:rsidRPr="00BC5365">
              <w:t>SMAP</w:t>
            </w:r>
          </w:p>
        </w:tc>
      </w:tr>
      <w:tr w:rsidR="007E3A65" w:rsidRPr="00BC5365" w14:paraId="3986E52B" w14:textId="77777777" w:rsidTr="007E3A65">
        <w:trPr>
          <w:trHeight w:val="74"/>
          <w:jc w:val="center"/>
        </w:trPr>
        <w:tc>
          <w:tcPr>
            <w:tcW w:w="1820" w:type="dxa"/>
            <w:vMerge w:val="restart"/>
            <w:tcBorders>
              <w:top w:val="single" w:sz="4" w:space="0" w:color="auto"/>
            </w:tcBorders>
          </w:tcPr>
          <w:p w14:paraId="448AE567" w14:textId="77777777" w:rsidR="007E3A65" w:rsidRPr="00BC5365" w:rsidRDefault="007E3A65" w:rsidP="00EF4F42">
            <w:pPr>
              <w:pStyle w:val="MDPI42tablebody"/>
            </w:pPr>
            <w:r w:rsidRPr="00BC5365">
              <w:t>Panhandle</w:t>
            </w:r>
          </w:p>
        </w:tc>
        <w:tc>
          <w:tcPr>
            <w:tcW w:w="1511" w:type="dxa"/>
            <w:tcBorders>
              <w:top w:val="single" w:sz="4" w:space="0" w:color="auto"/>
            </w:tcBorders>
          </w:tcPr>
          <w:p w14:paraId="1F8F747D"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Borders>
              <w:top w:val="single" w:sz="4" w:space="0" w:color="auto"/>
            </w:tcBorders>
          </w:tcPr>
          <w:p w14:paraId="5D74B19B" w14:textId="77777777" w:rsidR="007E3A65" w:rsidRPr="00BC5365" w:rsidRDefault="007E3A65" w:rsidP="00EF4F42">
            <w:pPr>
              <w:pStyle w:val="MDPI42tablebody"/>
            </w:pPr>
            <w:r w:rsidRPr="00BC5365">
              <w:t>0.</w:t>
            </w:r>
            <w:r>
              <w:t>9</w:t>
            </w:r>
          </w:p>
        </w:tc>
        <w:tc>
          <w:tcPr>
            <w:tcW w:w="1650" w:type="dxa"/>
            <w:tcBorders>
              <w:top w:val="single" w:sz="4" w:space="0" w:color="auto"/>
            </w:tcBorders>
          </w:tcPr>
          <w:p w14:paraId="60CE6B1D" w14:textId="77777777" w:rsidR="007E3A65" w:rsidRPr="00BC5365" w:rsidRDefault="007E3A65" w:rsidP="00EF4F42">
            <w:pPr>
              <w:pStyle w:val="MDPI42tablebody"/>
            </w:pPr>
            <w:r w:rsidRPr="00BC5365">
              <w:t>0.</w:t>
            </w:r>
            <w:r>
              <w:t>87</w:t>
            </w:r>
          </w:p>
        </w:tc>
        <w:tc>
          <w:tcPr>
            <w:tcW w:w="1680" w:type="dxa"/>
            <w:tcBorders>
              <w:top w:val="single" w:sz="4" w:space="0" w:color="auto"/>
            </w:tcBorders>
          </w:tcPr>
          <w:p w14:paraId="69F00F46" w14:textId="77777777" w:rsidR="007E3A65" w:rsidRPr="00BC5365" w:rsidRDefault="007E3A65" w:rsidP="00EF4F42">
            <w:pPr>
              <w:pStyle w:val="MDPI42tablebody"/>
            </w:pPr>
            <w:r w:rsidRPr="00BC5365">
              <w:t>0.</w:t>
            </w:r>
            <w:r>
              <w:t>51</w:t>
            </w:r>
          </w:p>
        </w:tc>
      </w:tr>
      <w:tr w:rsidR="007E3A65" w:rsidRPr="00BC5365" w14:paraId="688DBA53" w14:textId="77777777" w:rsidTr="007E3A65">
        <w:trPr>
          <w:trHeight w:val="73"/>
          <w:jc w:val="center"/>
        </w:trPr>
        <w:tc>
          <w:tcPr>
            <w:tcW w:w="1820" w:type="dxa"/>
            <w:vMerge/>
          </w:tcPr>
          <w:p w14:paraId="07127C50" w14:textId="77777777" w:rsidR="007E3A65" w:rsidRPr="00BC5365" w:rsidRDefault="007E3A65" w:rsidP="00EF4F42">
            <w:pPr>
              <w:pStyle w:val="MDPI42tablebody"/>
            </w:pPr>
          </w:p>
        </w:tc>
        <w:tc>
          <w:tcPr>
            <w:tcW w:w="1511" w:type="dxa"/>
          </w:tcPr>
          <w:p w14:paraId="6B37CCCC"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6B88FBD" w14:textId="77777777" w:rsidR="007E3A65" w:rsidRPr="00BC5365" w:rsidRDefault="007E3A65" w:rsidP="00EF4F42">
            <w:pPr>
              <w:pStyle w:val="MDPI42tablebody"/>
            </w:pPr>
            <w:r w:rsidRPr="00BC5365">
              <w:t>0.0</w:t>
            </w:r>
            <w:r>
              <w:t>3</w:t>
            </w:r>
          </w:p>
        </w:tc>
        <w:tc>
          <w:tcPr>
            <w:tcW w:w="1650" w:type="dxa"/>
          </w:tcPr>
          <w:p w14:paraId="016F3994" w14:textId="77777777" w:rsidR="007E3A65" w:rsidRPr="00BC5365" w:rsidRDefault="007E3A65" w:rsidP="00EF4F42">
            <w:pPr>
              <w:pStyle w:val="MDPI42tablebody"/>
            </w:pPr>
            <w:r w:rsidRPr="00BC5365">
              <w:t>0.02</w:t>
            </w:r>
          </w:p>
        </w:tc>
        <w:tc>
          <w:tcPr>
            <w:tcW w:w="1680" w:type="dxa"/>
          </w:tcPr>
          <w:p w14:paraId="2300962B" w14:textId="77777777" w:rsidR="007E3A65" w:rsidRPr="00BC5365" w:rsidRDefault="007E3A65" w:rsidP="00EF4F42">
            <w:pPr>
              <w:pStyle w:val="MDPI42tablebody"/>
            </w:pPr>
            <w:r w:rsidRPr="00BC5365">
              <w:t>0.0</w:t>
            </w:r>
            <w:r>
              <w:t>7</w:t>
            </w:r>
          </w:p>
        </w:tc>
      </w:tr>
      <w:tr w:rsidR="007E3A65" w:rsidRPr="00BC5365" w14:paraId="0F4AA807" w14:textId="77777777" w:rsidTr="007E3A65">
        <w:trPr>
          <w:trHeight w:val="74"/>
          <w:jc w:val="center"/>
        </w:trPr>
        <w:tc>
          <w:tcPr>
            <w:tcW w:w="1820" w:type="dxa"/>
            <w:vMerge w:val="restart"/>
          </w:tcPr>
          <w:p w14:paraId="2031EB2B" w14:textId="77777777" w:rsidR="007E3A65" w:rsidRPr="00BC5365" w:rsidRDefault="007E3A65" w:rsidP="00EF4F42">
            <w:pPr>
              <w:pStyle w:val="MDPI42tablebody"/>
            </w:pPr>
            <w:r w:rsidRPr="00BC5365">
              <w:t>West Central</w:t>
            </w:r>
          </w:p>
        </w:tc>
        <w:tc>
          <w:tcPr>
            <w:tcW w:w="1511" w:type="dxa"/>
          </w:tcPr>
          <w:p w14:paraId="361786B8"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3F98203A" w14:textId="77777777" w:rsidR="007E3A65" w:rsidRPr="00BC5365" w:rsidRDefault="007E3A65" w:rsidP="00EF4F42">
            <w:pPr>
              <w:pStyle w:val="MDPI42tablebody"/>
            </w:pPr>
            <w:r w:rsidRPr="00BC5365">
              <w:t>0.</w:t>
            </w:r>
            <w:r>
              <w:t>95</w:t>
            </w:r>
          </w:p>
        </w:tc>
        <w:tc>
          <w:tcPr>
            <w:tcW w:w="1650" w:type="dxa"/>
          </w:tcPr>
          <w:p w14:paraId="4A1933AD" w14:textId="77777777" w:rsidR="007E3A65" w:rsidRPr="00BC5365" w:rsidRDefault="007E3A65" w:rsidP="00EF4F42">
            <w:pPr>
              <w:pStyle w:val="MDPI42tablebody"/>
            </w:pPr>
            <w:r w:rsidRPr="00BC5365">
              <w:t>0.</w:t>
            </w:r>
            <w:r>
              <w:t>81</w:t>
            </w:r>
          </w:p>
        </w:tc>
        <w:tc>
          <w:tcPr>
            <w:tcW w:w="1680" w:type="dxa"/>
          </w:tcPr>
          <w:p w14:paraId="43E04F2F" w14:textId="77777777" w:rsidR="007E3A65" w:rsidRPr="00BC5365" w:rsidRDefault="007E3A65" w:rsidP="00EF4F42">
            <w:pPr>
              <w:pStyle w:val="MDPI42tablebody"/>
            </w:pPr>
            <w:r w:rsidRPr="00BC5365">
              <w:t>0.</w:t>
            </w:r>
            <w:r>
              <w:t>43</w:t>
            </w:r>
          </w:p>
        </w:tc>
      </w:tr>
      <w:tr w:rsidR="007E3A65" w:rsidRPr="00BC5365" w14:paraId="76CFC931" w14:textId="77777777" w:rsidTr="007E3A65">
        <w:trPr>
          <w:trHeight w:val="73"/>
          <w:jc w:val="center"/>
        </w:trPr>
        <w:tc>
          <w:tcPr>
            <w:tcW w:w="1820" w:type="dxa"/>
            <w:vMerge/>
          </w:tcPr>
          <w:p w14:paraId="3E1CC1E0" w14:textId="77777777" w:rsidR="007E3A65" w:rsidRPr="00BC5365" w:rsidRDefault="007E3A65" w:rsidP="00EF4F42">
            <w:pPr>
              <w:pStyle w:val="MDPI42tablebody"/>
            </w:pPr>
          </w:p>
        </w:tc>
        <w:tc>
          <w:tcPr>
            <w:tcW w:w="1511" w:type="dxa"/>
          </w:tcPr>
          <w:p w14:paraId="70468417"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C465EC4" w14:textId="77777777" w:rsidR="007E3A65" w:rsidRPr="00BC5365" w:rsidRDefault="007E3A65" w:rsidP="00EF4F42">
            <w:pPr>
              <w:pStyle w:val="MDPI42tablebody"/>
            </w:pPr>
            <w:r w:rsidRPr="00BC5365">
              <w:t>0.0</w:t>
            </w:r>
            <w:r>
              <w:t>3</w:t>
            </w:r>
          </w:p>
        </w:tc>
        <w:tc>
          <w:tcPr>
            <w:tcW w:w="1650" w:type="dxa"/>
          </w:tcPr>
          <w:p w14:paraId="12AE5B26" w14:textId="77777777" w:rsidR="007E3A65" w:rsidRPr="00BC5365" w:rsidRDefault="007E3A65" w:rsidP="00EF4F42">
            <w:pPr>
              <w:pStyle w:val="MDPI42tablebody"/>
            </w:pPr>
            <w:r w:rsidRPr="00BC5365">
              <w:t>0.0</w:t>
            </w:r>
            <w:r>
              <w:t>2</w:t>
            </w:r>
          </w:p>
        </w:tc>
        <w:tc>
          <w:tcPr>
            <w:tcW w:w="1680" w:type="dxa"/>
          </w:tcPr>
          <w:p w14:paraId="45EB8165" w14:textId="77777777" w:rsidR="007E3A65" w:rsidRPr="00BC5365" w:rsidRDefault="007E3A65" w:rsidP="00EF4F42">
            <w:pPr>
              <w:pStyle w:val="MDPI42tablebody"/>
            </w:pPr>
            <w:r w:rsidRPr="00BC5365">
              <w:t>0.0</w:t>
            </w:r>
            <w:r>
              <w:t>7</w:t>
            </w:r>
          </w:p>
        </w:tc>
      </w:tr>
      <w:tr w:rsidR="007E3A65" w:rsidRPr="00BC5365" w14:paraId="3ADA24DB" w14:textId="77777777" w:rsidTr="007E3A65">
        <w:trPr>
          <w:trHeight w:val="74"/>
          <w:jc w:val="center"/>
        </w:trPr>
        <w:tc>
          <w:tcPr>
            <w:tcW w:w="1820" w:type="dxa"/>
            <w:vMerge w:val="restart"/>
          </w:tcPr>
          <w:p w14:paraId="1C666446" w14:textId="77777777" w:rsidR="007E3A65" w:rsidRPr="00BC5365" w:rsidRDefault="007E3A65" w:rsidP="00EF4F42">
            <w:pPr>
              <w:pStyle w:val="MDPI42tablebody"/>
            </w:pPr>
            <w:r w:rsidRPr="00BC5365">
              <w:t>Southwest</w:t>
            </w:r>
          </w:p>
        </w:tc>
        <w:tc>
          <w:tcPr>
            <w:tcW w:w="1511" w:type="dxa"/>
          </w:tcPr>
          <w:p w14:paraId="1F21947E"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64A6F0D" w14:textId="77777777" w:rsidR="007E3A65" w:rsidRPr="00BC5365" w:rsidRDefault="007E3A65" w:rsidP="00EF4F42">
            <w:pPr>
              <w:pStyle w:val="MDPI42tablebody"/>
            </w:pPr>
            <w:r w:rsidRPr="00BC5365">
              <w:t>0.</w:t>
            </w:r>
            <w:r>
              <w:t>98</w:t>
            </w:r>
          </w:p>
        </w:tc>
        <w:tc>
          <w:tcPr>
            <w:tcW w:w="1650" w:type="dxa"/>
          </w:tcPr>
          <w:p w14:paraId="5093384A" w14:textId="77777777" w:rsidR="007E3A65" w:rsidRPr="00BC5365" w:rsidRDefault="007E3A65" w:rsidP="00EF4F42">
            <w:pPr>
              <w:pStyle w:val="MDPI42tablebody"/>
            </w:pPr>
            <w:r w:rsidRPr="00BC5365">
              <w:t>0.</w:t>
            </w:r>
            <w:r>
              <w:t>81</w:t>
            </w:r>
          </w:p>
        </w:tc>
        <w:tc>
          <w:tcPr>
            <w:tcW w:w="1680" w:type="dxa"/>
          </w:tcPr>
          <w:p w14:paraId="3AE33E4F" w14:textId="77777777" w:rsidR="007E3A65" w:rsidRPr="00BC5365" w:rsidRDefault="007E3A65" w:rsidP="00EF4F42">
            <w:pPr>
              <w:pStyle w:val="MDPI42tablebody"/>
            </w:pPr>
            <w:r w:rsidRPr="00BC5365">
              <w:t>0.</w:t>
            </w:r>
            <w:r>
              <w:t>5</w:t>
            </w:r>
          </w:p>
        </w:tc>
      </w:tr>
      <w:tr w:rsidR="007E3A65" w:rsidRPr="00BC5365" w14:paraId="0E035746" w14:textId="77777777" w:rsidTr="007E3A65">
        <w:trPr>
          <w:trHeight w:val="73"/>
          <w:jc w:val="center"/>
        </w:trPr>
        <w:tc>
          <w:tcPr>
            <w:tcW w:w="1820" w:type="dxa"/>
            <w:vMerge/>
          </w:tcPr>
          <w:p w14:paraId="5DC4BC53" w14:textId="77777777" w:rsidR="007E3A65" w:rsidRPr="00BC5365" w:rsidRDefault="007E3A65" w:rsidP="00EF4F42">
            <w:pPr>
              <w:pStyle w:val="MDPI42tablebody"/>
            </w:pPr>
          </w:p>
        </w:tc>
        <w:tc>
          <w:tcPr>
            <w:tcW w:w="1511" w:type="dxa"/>
          </w:tcPr>
          <w:p w14:paraId="5F79A307"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8702C71" w14:textId="77777777" w:rsidR="007E3A65" w:rsidRPr="00BC5365" w:rsidRDefault="007E3A65" w:rsidP="00EF4F42">
            <w:pPr>
              <w:pStyle w:val="MDPI42tablebody"/>
            </w:pPr>
            <w:r w:rsidRPr="00BC5365">
              <w:t>0.0</w:t>
            </w:r>
            <w:r>
              <w:t>2</w:t>
            </w:r>
          </w:p>
        </w:tc>
        <w:tc>
          <w:tcPr>
            <w:tcW w:w="1650" w:type="dxa"/>
          </w:tcPr>
          <w:p w14:paraId="6265D047" w14:textId="77777777" w:rsidR="007E3A65" w:rsidRPr="00BC5365" w:rsidRDefault="007E3A65" w:rsidP="00EF4F42">
            <w:pPr>
              <w:pStyle w:val="MDPI42tablebody"/>
            </w:pPr>
            <w:r w:rsidRPr="00BC5365">
              <w:t>0.02</w:t>
            </w:r>
          </w:p>
        </w:tc>
        <w:tc>
          <w:tcPr>
            <w:tcW w:w="1680" w:type="dxa"/>
          </w:tcPr>
          <w:p w14:paraId="76F41CD7" w14:textId="77777777" w:rsidR="007E3A65" w:rsidRPr="00BC5365" w:rsidRDefault="007E3A65" w:rsidP="00EF4F42">
            <w:pPr>
              <w:pStyle w:val="MDPI42tablebody"/>
            </w:pPr>
            <w:r w:rsidRPr="00BC5365">
              <w:t>0.0</w:t>
            </w:r>
            <w:r>
              <w:t>6</w:t>
            </w:r>
          </w:p>
        </w:tc>
      </w:tr>
      <w:tr w:rsidR="007E3A65" w:rsidRPr="00BC5365" w14:paraId="7CFEABFD" w14:textId="77777777" w:rsidTr="007E3A65">
        <w:trPr>
          <w:trHeight w:val="74"/>
          <w:jc w:val="center"/>
        </w:trPr>
        <w:tc>
          <w:tcPr>
            <w:tcW w:w="1820" w:type="dxa"/>
            <w:vMerge w:val="restart"/>
          </w:tcPr>
          <w:p w14:paraId="3137D2F3" w14:textId="77777777" w:rsidR="007E3A65" w:rsidRPr="00BC5365" w:rsidRDefault="007E3A65" w:rsidP="00EF4F42">
            <w:pPr>
              <w:pStyle w:val="MDPI42tablebody"/>
            </w:pPr>
            <w:r w:rsidRPr="00BC5365">
              <w:t>North Central</w:t>
            </w:r>
          </w:p>
        </w:tc>
        <w:tc>
          <w:tcPr>
            <w:tcW w:w="1511" w:type="dxa"/>
          </w:tcPr>
          <w:p w14:paraId="45A488CC"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5420CFC0" w14:textId="77777777" w:rsidR="007E3A65" w:rsidRPr="00BC5365" w:rsidRDefault="007E3A65" w:rsidP="00EF4F42">
            <w:pPr>
              <w:pStyle w:val="MDPI42tablebody"/>
            </w:pPr>
            <w:r w:rsidRPr="00BC5365">
              <w:t>0.</w:t>
            </w:r>
            <w:r>
              <w:t>79</w:t>
            </w:r>
          </w:p>
        </w:tc>
        <w:tc>
          <w:tcPr>
            <w:tcW w:w="1650" w:type="dxa"/>
          </w:tcPr>
          <w:p w14:paraId="09CEEA32" w14:textId="77777777" w:rsidR="007E3A65" w:rsidRPr="00BC5365" w:rsidRDefault="007E3A65" w:rsidP="00EF4F42">
            <w:pPr>
              <w:pStyle w:val="MDPI42tablebody"/>
            </w:pPr>
            <w:r w:rsidRPr="00BC5365">
              <w:t>0.</w:t>
            </w:r>
            <w:r>
              <w:t>8</w:t>
            </w:r>
          </w:p>
        </w:tc>
        <w:tc>
          <w:tcPr>
            <w:tcW w:w="1680" w:type="dxa"/>
          </w:tcPr>
          <w:p w14:paraId="61FB33CA" w14:textId="77777777" w:rsidR="007E3A65" w:rsidRPr="00BC5365" w:rsidRDefault="007E3A65" w:rsidP="00EF4F42">
            <w:pPr>
              <w:pStyle w:val="MDPI42tablebody"/>
            </w:pPr>
            <w:r w:rsidRPr="00BC5365">
              <w:t>0.</w:t>
            </w:r>
            <w:r>
              <w:t>32</w:t>
            </w:r>
          </w:p>
        </w:tc>
      </w:tr>
      <w:tr w:rsidR="007E3A65" w:rsidRPr="00BC5365" w14:paraId="1B3B3714" w14:textId="77777777" w:rsidTr="007E3A65">
        <w:trPr>
          <w:trHeight w:val="73"/>
          <w:jc w:val="center"/>
        </w:trPr>
        <w:tc>
          <w:tcPr>
            <w:tcW w:w="1820" w:type="dxa"/>
            <w:vMerge/>
          </w:tcPr>
          <w:p w14:paraId="5119006C" w14:textId="77777777" w:rsidR="007E3A65" w:rsidRPr="00BC5365" w:rsidRDefault="007E3A65" w:rsidP="00EF4F42">
            <w:pPr>
              <w:pStyle w:val="MDPI42tablebody"/>
            </w:pPr>
          </w:p>
        </w:tc>
        <w:tc>
          <w:tcPr>
            <w:tcW w:w="1511" w:type="dxa"/>
          </w:tcPr>
          <w:p w14:paraId="4731FE49"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63F50232" w14:textId="77777777" w:rsidR="007E3A65" w:rsidRPr="00BC5365" w:rsidRDefault="007E3A65" w:rsidP="00EF4F42">
            <w:pPr>
              <w:pStyle w:val="MDPI42tablebody"/>
            </w:pPr>
            <w:r w:rsidRPr="00BC5365">
              <w:t>0.0</w:t>
            </w:r>
            <w:r>
              <w:t>5</w:t>
            </w:r>
          </w:p>
        </w:tc>
        <w:tc>
          <w:tcPr>
            <w:tcW w:w="1650" w:type="dxa"/>
          </w:tcPr>
          <w:p w14:paraId="49622389" w14:textId="77777777" w:rsidR="007E3A65" w:rsidRPr="00BC5365" w:rsidRDefault="007E3A65" w:rsidP="00EF4F42">
            <w:pPr>
              <w:pStyle w:val="MDPI42tablebody"/>
            </w:pPr>
            <w:r w:rsidRPr="00BC5365">
              <w:t>0.0</w:t>
            </w:r>
            <w:r>
              <w:t>2</w:t>
            </w:r>
          </w:p>
        </w:tc>
        <w:tc>
          <w:tcPr>
            <w:tcW w:w="1680" w:type="dxa"/>
          </w:tcPr>
          <w:p w14:paraId="54FA23C6" w14:textId="77777777" w:rsidR="007E3A65" w:rsidRPr="00BC5365" w:rsidRDefault="007E3A65" w:rsidP="00EF4F42">
            <w:pPr>
              <w:pStyle w:val="MDPI42tablebody"/>
            </w:pPr>
            <w:r w:rsidRPr="00BC5365">
              <w:t>0.</w:t>
            </w:r>
            <w:r>
              <w:t>12</w:t>
            </w:r>
          </w:p>
        </w:tc>
      </w:tr>
      <w:tr w:rsidR="007E3A65" w:rsidRPr="00BC5365" w14:paraId="7A2EDB9D" w14:textId="77777777" w:rsidTr="007E3A65">
        <w:trPr>
          <w:trHeight w:val="74"/>
          <w:jc w:val="center"/>
        </w:trPr>
        <w:tc>
          <w:tcPr>
            <w:tcW w:w="1820" w:type="dxa"/>
            <w:vMerge w:val="restart"/>
          </w:tcPr>
          <w:p w14:paraId="49BCAD11" w14:textId="77777777" w:rsidR="007E3A65" w:rsidRPr="00BC5365" w:rsidRDefault="007E3A65" w:rsidP="00EF4F42">
            <w:pPr>
              <w:pStyle w:val="MDPI42tablebody"/>
            </w:pPr>
            <w:r w:rsidRPr="00BC5365">
              <w:t>Central</w:t>
            </w:r>
          </w:p>
        </w:tc>
        <w:tc>
          <w:tcPr>
            <w:tcW w:w="1511" w:type="dxa"/>
          </w:tcPr>
          <w:p w14:paraId="664844DB"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7D868409" w14:textId="77777777" w:rsidR="007E3A65" w:rsidRPr="00BC5365" w:rsidRDefault="007E3A65" w:rsidP="00EF4F42">
            <w:pPr>
              <w:pStyle w:val="MDPI42tablebody"/>
            </w:pPr>
            <w:r w:rsidRPr="00BC5365">
              <w:t>0.</w:t>
            </w:r>
            <w:r>
              <w:t>85</w:t>
            </w:r>
          </w:p>
        </w:tc>
        <w:tc>
          <w:tcPr>
            <w:tcW w:w="1650" w:type="dxa"/>
          </w:tcPr>
          <w:p w14:paraId="2C843E7D" w14:textId="77777777" w:rsidR="007E3A65" w:rsidRPr="00BC5365" w:rsidRDefault="007E3A65" w:rsidP="00EF4F42">
            <w:pPr>
              <w:pStyle w:val="MDPI42tablebody"/>
            </w:pPr>
            <w:r w:rsidRPr="00BC5365">
              <w:t>0.</w:t>
            </w:r>
            <w:r>
              <w:t>87</w:t>
            </w:r>
          </w:p>
        </w:tc>
        <w:tc>
          <w:tcPr>
            <w:tcW w:w="1680" w:type="dxa"/>
          </w:tcPr>
          <w:p w14:paraId="685E0691" w14:textId="77777777" w:rsidR="007E3A65" w:rsidRPr="00BC5365" w:rsidRDefault="007E3A65" w:rsidP="00EF4F42">
            <w:pPr>
              <w:pStyle w:val="MDPI42tablebody"/>
            </w:pPr>
            <w:r w:rsidRPr="00BC5365">
              <w:t>0.</w:t>
            </w:r>
            <w:r>
              <w:t>34</w:t>
            </w:r>
          </w:p>
        </w:tc>
      </w:tr>
      <w:tr w:rsidR="007E3A65" w:rsidRPr="00BC5365" w14:paraId="7117E273" w14:textId="77777777" w:rsidTr="007E3A65">
        <w:trPr>
          <w:trHeight w:val="73"/>
          <w:jc w:val="center"/>
        </w:trPr>
        <w:tc>
          <w:tcPr>
            <w:tcW w:w="1820" w:type="dxa"/>
            <w:vMerge/>
          </w:tcPr>
          <w:p w14:paraId="72AC084C" w14:textId="77777777" w:rsidR="007E3A65" w:rsidRPr="00BC5365" w:rsidRDefault="007E3A65" w:rsidP="00EF4F42">
            <w:pPr>
              <w:pStyle w:val="MDPI42tablebody"/>
            </w:pPr>
          </w:p>
        </w:tc>
        <w:tc>
          <w:tcPr>
            <w:tcW w:w="1511" w:type="dxa"/>
          </w:tcPr>
          <w:p w14:paraId="4CC74BF6"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4B9FC0E" w14:textId="77777777" w:rsidR="007E3A65" w:rsidRPr="00BC5365" w:rsidRDefault="007E3A65" w:rsidP="00EF4F42">
            <w:pPr>
              <w:pStyle w:val="MDPI42tablebody"/>
            </w:pPr>
            <w:r w:rsidRPr="00BC5365">
              <w:t>0.0</w:t>
            </w:r>
            <w:r>
              <w:t>4</w:t>
            </w:r>
          </w:p>
        </w:tc>
        <w:tc>
          <w:tcPr>
            <w:tcW w:w="1650" w:type="dxa"/>
          </w:tcPr>
          <w:p w14:paraId="3E0756D7" w14:textId="77777777" w:rsidR="007E3A65" w:rsidRPr="00BC5365" w:rsidRDefault="007E3A65" w:rsidP="00EF4F42">
            <w:pPr>
              <w:pStyle w:val="MDPI42tablebody"/>
            </w:pPr>
            <w:r w:rsidRPr="00BC5365">
              <w:t>0.0</w:t>
            </w:r>
            <w:r>
              <w:t>2</w:t>
            </w:r>
          </w:p>
        </w:tc>
        <w:tc>
          <w:tcPr>
            <w:tcW w:w="1680" w:type="dxa"/>
          </w:tcPr>
          <w:p w14:paraId="3A9B40F6" w14:textId="77777777" w:rsidR="007E3A65" w:rsidRPr="00BC5365" w:rsidRDefault="007E3A65" w:rsidP="00EF4F42">
            <w:pPr>
              <w:pStyle w:val="MDPI42tablebody"/>
            </w:pPr>
            <w:r w:rsidRPr="00BC5365">
              <w:t>0.</w:t>
            </w:r>
            <w:r>
              <w:t>09</w:t>
            </w:r>
          </w:p>
        </w:tc>
      </w:tr>
      <w:tr w:rsidR="007E3A65" w:rsidRPr="00BC5365" w14:paraId="33BE08E1" w14:textId="77777777" w:rsidTr="007E3A65">
        <w:trPr>
          <w:trHeight w:val="74"/>
          <w:jc w:val="center"/>
        </w:trPr>
        <w:tc>
          <w:tcPr>
            <w:tcW w:w="1820" w:type="dxa"/>
            <w:vMerge w:val="restart"/>
          </w:tcPr>
          <w:p w14:paraId="3C5741C0" w14:textId="77777777" w:rsidR="007E3A65" w:rsidRPr="00BC5365" w:rsidRDefault="007E3A65" w:rsidP="00EF4F42">
            <w:pPr>
              <w:pStyle w:val="MDPI42tablebody"/>
            </w:pPr>
            <w:r w:rsidRPr="00BC5365">
              <w:t>South Central</w:t>
            </w:r>
          </w:p>
        </w:tc>
        <w:tc>
          <w:tcPr>
            <w:tcW w:w="1511" w:type="dxa"/>
          </w:tcPr>
          <w:p w14:paraId="7A8232D8"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FE58F56" w14:textId="77777777" w:rsidR="007E3A65" w:rsidRPr="00BC5365" w:rsidRDefault="007E3A65" w:rsidP="00EF4F42">
            <w:pPr>
              <w:pStyle w:val="MDPI42tablebody"/>
            </w:pPr>
            <w:r w:rsidRPr="00BC5365">
              <w:t>0.</w:t>
            </w:r>
            <w:r>
              <w:t>94</w:t>
            </w:r>
          </w:p>
        </w:tc>
        <w:tc>
          <w:tcPr>
            <w:tcW w:w="1650" w:type="dxa"/>
          </w:tcPr>
          <w:p w14:paraId="54B8D4A5" w14:textId="77777777" w:rsidR="007E3A65" w:rsidRPr="00BC5365" w:rsidRDefault="007E3A65" w:rsidP="00EF4F42">
            <w:pPr>
              <w:pStyle w:val="MDPI42tablebody"/>
            </w:pPr>
            <w:r w:rsidRPr="00BC5365">
              <w:t>0.</w:t>
            </w:r>
            <w:r>
              <w:t>87</w:t>
            </w:r>
          </w:p>
        </w:tc>
        <w:tc>
          <w:tcPr>
            <w:tcW w:w="1680" w:type="dxa"/>
          </w:tcPr>
          <w:p w14:paraId="51C2A844" w14:textId="77777777" w:rsidR="007E3A65" w:rsidRPr="00BC5365" w:rsidRDefault="007E3A65" w:rsidP="00EF4F42">
            <w:pPr>
              <w:pStyle w:val="MDPI42tablebody"/>
            </w:pPr>
            <w:r w:rsidRPr="00BC5365">
              <w:t>0.</w:t>
            </w:r>
            <w:r>
              <w:t>38</w:t>
            </w:r>
          </w:p>
        </w:tc>
      </w:tr>
      <w:tr w:rsidR="007E3A65" w:rsidRPr="00BC5365" w14:paraId="093BB3A4" w14:textId="77777777" w:rsidTr="007E3A65">
        <w:trPr>
          <w:trHeight w:val="73"/>
          <w:jc w:val="center"/>
        </w:trPr>
        <w:tc>
          <w:tcPr>
            <w:tcW w:w="1820" w:type="dxa"/>
            <w:vMerge/>
          </w:tcPr>
          <w:p w14:paraId="1C6760DA" w14:textId="77777777" w:rsidR="007E3A65" w:rsidRPr="00BC5365" w:rsidRDefault="007E3A65" w:rsidP="00EF4F42">
            <w:pPr>
              <w:pStyle w:val="MDPI42tablebody"/>
            </w:pPr>
          </w:p>
        </w:tc>
        <w:tc>
          <w:tcPr>
            <w:tcW w:w="1511" w:type="dxa"/>
          </w:tcPr>
          <w:p w14:paraId="44FB5F1D"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A7CC628" w14:textId="77777777" w:rsidR="007E3A65" w:rsidRPr="00BC5365" w:rsidRDefault="007E3A65" w:rsidP="00EF4F42">
            <w:pPr>
              <w:pStyle w:val="MDPI42tablebody"/>
            </w:pPr>
            <w:r w:rsidRPr="00BC5365">
              <w:t>0.0</w:t>
            </w:r>
            <w:r>
              <w:t>4</w:t>
            </w:r>
          </w:p>
        </w:tc>
        <w:tc>
          <w:tcPr>
            <w:tcW w:w="1650" w:type="dxa"/>
          </w:tcPr>
          <w:p w14:paraId="1FCAD895" w14:textId="77777777" w:rsidR="007E3A65" w:rsidRPr="00BC5365" w:rsidRDefault="007E3A65" w:rsidP="00EF4F42">
            <w:pPr>
              <w:pStyle w:val="MDPI42tablebody"/>
            </w:pPr>
            <w:r w:rsidRPr="00BC5365">
              <w:t>0.0</w:t>
            </w:r>
            <w:r>
              <w:t>2</w:t>
            </w:r>
          </w:p>
        </w:tc>
        <w:tc>
          <w:tcPr>
            <w:tcW w:w="1680" w:type="dxa"/>
          </w:tcPr>
          <w:p w14:paraId="43E37CE8" w14:textId="77777777" w:rsidR="007E3A65" w:rsidRPr="00BC5365" w:rsidRDefault="007E3A65" w:rsidP="00EF4F42">
            <w:pPr>
              <w:pStyle w:val="MDPI42tablebody"/>
            </w:pPr>
            <w:r w:rsidRPr="00BC5365">
              <w:t>0.</w:t>
            </w:r>
            <w:r>
              <w:t>09</w:t>
            </w:r>
          </w:p>
        </w:tc>
      </w:tr>
      <w:tr w:rsidR="007E3A65" w:rsidRPr="00BC5365" w14:paraId="324BE8A2" w14:textId="77777777" w:rsidTr="007E3A65">
        <w:trPr>
          <w:trHeight w:val="74"/>
          <w:jc w:val="center"/>
        </w:trPr>
        <w:tc>
          <w:tcPr>
            <w:tcW w:w="1820" w:type="dxa"/>
            <w:vMerge w:val="restart"/>
          </w:tcPr>
          <w:p w14:paraId="52674882" w14:textId="77777777" w:rsidR="007E3A65" w:rsidRPr="00BC5365" w:rsidRDefault="007E3A65" w:rsidP="00EF4F42">
            <w:pPr>
              <w:pStyle w:val="MDPI42tablebody"/>
            </w:pPr>
            <w:r w:rsidRPr="00BC5365">
              <w:t>Northeast</w:t>
            </w:r>
          </w:p>
        </w:tc>
        <w:tc>
          <w:tcPr>
            <w:tcW w:w="1511" w:type="dxa"/>
          </w:tcPr>
          <w:p w14:paraId="5F558A54"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FA88FF4" w14:textId="77777777" w:rsidR="007E3A65" w:rsidRPr="00BC5365" w:rsidRDefault="007E3A65" w:rsidP="00EF4F42">
            <w:pPr>
              <w:pStyle w:val="MDPI42tablebody"/>
            </w:pPr>
            <w:r w:rsidRPr="00BC5365">
              <w:t>0.</w:t>
            </w:r>
            <w:r>
              <w:t>68</w:t>
            </w:r>
          </w:p>
        </w:tc>
        <w:tc>
          <w:tcPr>
            <w:tcW w:w="1650" w:type="dxa"/>
          </w:tcPr>
          <w:p w14:paraId="30A782DF" w14:textId="77777777" w:rsidR="007E3A65" w:rsidRPr="006D0DDF" w:rsidRDefault="007E3A65" w:rsidP="00EF4F42">
            <w:pPr>
              <w:pStyle w:val="MDPI42tablebody"/>
              <w:rPr>
                <w:rFonts w:eastAsiaTheme="minorEastAsia"/>
                <w:lang w:eastAsia="zh-CN"/>
              </w:rPr>
            </w:pPr>
            <w:r w:rsidRPr="00BC5365">
              <w:t>0.</w:t>
            </w:r>
            <w:r>
              <w:t>73</w:t>
            </w:r>
          </w:p>
        </w:tc>
        <w:tc>
          <w:tcPr>
            <w:tcW w:w="1680" w:type="dxa"/>
          </w:tcPr>
          <w:p w14:paraId="255468F9" w14:textId="77777777" w:rsidR="007E3A65" w:rsidRPr="00BC5365" w:rsidRDefault="007E3A65" w:rsidP="00EF4F42">
            <w:pPr>
              <w:pStyle w:val="MDPI42tablebody"/>
            </w:pPr>
            <w:r w:rsidRPr="00BC5365">
              <w:t>0.</w:t>
            </w:r>
            <w:r>
              <w:t>14</w:t>
            </w:r>
          </w:p>
        </w:tc>
      </w:tr>
      <w:tr w:rsidR="007E3A65" w:rsidRPr="00BC5365" w14:paraId="36229DD1" w14:textId="77777777" w:rsidTr="007E3A65">
        <w:trPr>
          <w:trHeight w:val="73"/>
          <w:jc w:val="center"/>
        </w:trPr>
        <w:tc>
          <w:tcPr>
            <w:tcW w:w="1820" w:type="dxa"/>
            <w:vMerge/>
          </w:tcPr>
          <w:p w14:paraId="25284FF7" w14:textId="77777777" w:rsidR="007E3A65" w:rsidRPr="00BC5365" w:rsidRDefault="007E3A65" w:rsidP="00EF4F42">
            <w:pPr>
              <w:pStyle w:val="MDPI42tablebody"/>
            </w:pPr>
          </w:p>
        </w:tc>
        <w:tc>
          <w:tcPr>
            <w:tcW w:w="1511" w:type="dxa"/>
          </w:tcPr>
          <w:p w14:paraId="16908AA7"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4223ECEE" w14:textId="77777777" w:rsidR="007E3A65" w:rsidRPr="00BC5365" w:rsidRDefault="007E3A65" w:rsidP="00EF4F42">
            <w:pPr>
              <w:pStyle w:val="MDPI42tablebody"/>
            </w:pPr>
            <w:r w:rsidRPr="00BC5365">
              <w:t>0.</w:t>
            </w:r>
            <w:r>
              <w:t>08</w:t>
            </w:r>
          </w:p>
        </w:tc>
        <w:tc>
          <w:tcPr>
            <w:tcW w:w="1650" w:type="dxa"/>
          </w:tcPr>
          <w:p w14:paraId="77452C24" w14:textId="77777777" w:rsidR="007E3A65" w:rsidRPr="00BC5365" w:rsidRDefault="007E3A65" w:rsidP="00EF4F42">
            <w:pPr>
              <w:pStyle w:val="MDPI42tablebody"/>
            </w:pPr>
            <w:r w:rsidRPr="00BC5365">
              <w:t>0.0</w:t>
            </w:r>
            <w:r>
              <w:t>3</w:t>
            </w:r>
          </w:p>
        </w:tc>
        <w:tc>
          <w:tcPr>
            <w:tcW w:w="1680" w:type="dxa"/>
          </w:tcPr>
          <w:p w14:paraId="33BB5E6F" w14:textId="77777777" w:rsidR="007E3A65" w:rsidRPr="00BC5365" w:rsidRDefault="007E3A65" w:rsidP="00EF4F42">
            <w:pPr>
              <w:pStyle w:val="MDPI42tablebody"/>
            </w:pPr>
            <w:r w:rsidRPr="00BC5365">
              <w:t>0.</w:t>
            </w:r>
            <w:r>
              <w:t>19</w:t>
            </w:r>
          </w:p>
        </w:tc>
      </w:tr>
      <w:tr w:rsidR="007E3A65" w:rsidRPr="00BC5365" w14:paraId="6E157563" w14:textId="77777777" w:rsidTr="007E3A65">
        <w:trPr>
          <w:trHeight w:val="74"/>
          <w:jc w:val="center"/>
        </w:trPr>
        <w:tc>
          <w:tcPr>
            <w:tcW w:w="1820" w:type="dxa"/>
            <w:vMerge w:val="restart"/>
          </w:tcPr>
          <w:p w14:paraId="690D3E6E" w14:textId="77777777" w:rsidR="007E3A65" w:rsidRPr="00BC5365" w:rsidRDefault="007E3A65" w:rsidP="00EF4F42">
            <w:pPr>
              <w:pStyle w:val="MDPI42tablebody"/>
            </w:pPr>
            <w:r w:rsidRPr="00BC5365">
              <w:t>East Central</w:t>
            </w:r>
          </w:p>
        </w:tc>
        <w:tc>
          <w:tcPr>
            <w:tcW w:w="1511" w:type="dxa"/>
          </w:tcPr>
          <w:p w14:paraId="3C20E431"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54DF0AA9" w14:textId="77777777" w:rsidR="007E3A65" w:rsidRPr="00BC5365" w:rsidRDefault="007E3A65" w:rsidP="00EF4F42">
            <w:pPr>
              <w:pStyle w:val="MDPI42tablebody"/>
            </w:pPr>
            <w:r w:rsidRPr="00BC5365">
              <w:t>0.</w:t>
            </w:r>
            <w:r>
              <w:t>81</w:t>
            </w:r>
          </w:p>
        </w:tc>
        <w:tc>
          <w:tcPr>
            <w:tcW w:w="1650" w:type="dxa"/>
          </w:tcPr>
          <w:p w14:paraId="0BA8CD97" w14:textId="77777777" w:rsidR="007E3A65" w:rsidRPr="00BC5365" w:rsidRDefault="007E3A65" w:rsidP="00EF4F42">
            <w:pPr>
              <w:pStyle w:val="MDPI42tablebody"/>
            </w:pPr>
            <w:r w:rsidRPr="00BC5365">
              <w:t>0.</w:t>
            </w:r>
            <w:r>
              <w:t>83</w:t>
            </w:r>
          </w:p>
        </w:tc>
        <w:tc>
          <w:tcPr>
            <w:tcW w:w="1680" w:type="dxa"/>
          </w:tcPr>
          <w:p w14:paraId="65E3C550" w14:textId="77777777" w:rsidR="007E3A65" w:rsidRPr="00BC5365" w:rsidRDefault="007E3A65" w:rsidP="00EF4F42">
            <w:pPr>
              <w:pStyle w:val="MDPI42tablebody"/>
            </w:pPr>
            <w:r w:rsidRPr="00BC5365">
              <w:t>0.</w:t>
            </w:r>
            <w:r>
              <w:t>21</w:t>
            </w:r>
          </w:p>
        </w:tc>
      </w:tr>
      <w:tr w:rsidR="007E3A65" w:rsidRPr="00BC5365" w14:paraId="77348836" w14:textId="77777777" w:rsidTr="007E3A65">
        <w:trPr>
          <w:trHeight w:val="73"/>
          <w:jc w:val="center"/>
        </w:trPr>
        <w:tc>
          <w:tcPr>
            <w:tcW w:w="1820" w:type="dxa"/>
            <w:vMerge/>
          </w:tcPr>
          <w:p w14:paraId="48454350" w14:textId="77777777" w:rsidR="007E3A65" w:rsidRPr="00BC5365" w:rsidRDefault="007E3A65" w:rsidP="00EF4F42">
            <w:pPr>
              <w:pStyle w:val="MDPI42tablebody"/>
            </w:pPr>
          </w:p>
        </w:tc>
        <w:tc>
          <w:tcPr>
            <w:tcW w:w="1511" w:type="dxa"/>
          </w:tcPr>
          <w:p w14:paraId="243420B7"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ED7DF59" w14:textId="77777777" w:rsidR="007E3A65" w:rsidRPr="00BC5365" w:rsidRDefault="007E3A65" w:rsidP="00EF4F42">
            <w:pPr>
              <w:pStyle w:val="MDPI42tablebody"/>
            </w:pPr>
            <w:r w:rsidRPr="00BC5365">
              <w:t>0.0</w:t>
            </w:r>
            <w:r>
              <w:t>6</w:t>
            </w:r>
          </w:p>
        </w:tc>
        <w:tc>
          <w:tcPr>
            <w:tcW w:w="1650" w:type="dxa"/>
          </w:tcPr>
          <w:p w14:paraId="3AA0557D" w14:textId="77777777" w:rsidR="007E3A65" w:rsidRPr="00BC5365" w:rsidRDefault="007E3A65" w:rsidP="00EF4F42">
            <w:pPr>
              <w:pStyle w:val="MDPI42tablebody"/>
            </w:pPr>
            <w:r w:rsidRPr="00BC5365">
              <w:t>0.02</w:t>
            </w:r>
          </w:p>
        </w:tc>
        <w:tc>
          <w:tcPr>
            <w:tcW w:w="1680" w:type="dxa"/>
          </w:tcPr>
          <w:p w14:paraId="33FC7580" w14:textId="77777777" w:rsidR="007E3A65" w:rsidRPr="00BC5365" w:rsidRDefault="007E3A65" w:rsidP="00EF4F42">
            <w:pPr>
              <w:pStyle w:val="MDPI42tablebody"/>
            </w:pPr>
            <w:r w:rsidRPr="00BC5365">
              <w:t>0.1</w:t>
            </w:r>
            <w:r>
              <w:t>5</w:t>
            </w:r>
          </w:p>
        </w:tc>
      </w:tr>
      <w:tr w:rsidR="007E3A65" w:rsidRPr="00BC5365" w14:paraId="5AB48A93" w14:textId="77777777" w:rsidTr="007E3A65">
        <w:trPr>
          <w:trHeight w:val="74"/>
          <w:jc w:val="center"/>
        </w:trPr>
        <w:tc>
          <w:tcPr>
            <w:tcW w:w="1820" w:type="dxa"/>
            <w:vMerge w:val="restart"/>
          </w:tcPr>
          <w:p w14:paraId="355A8238" w14:textId="77777777" w:rsidR="007E3A65" w:rsidRPr="00BC5365" w:rsidRDefault="007E3A65" w:rsidP="00EF4F42">
            <w:pPr>
              <w:pStyle w:val="MDPI42tablebody"/>
            </w:pPr>
            <w:r w:rsidRPr="00BC5365">
              <w:t>Southeast</w:t>
            </w:r>
          </w:p>
        </w:tc>
        <w:tc>
          <w:tcPr>
            <w:tcW w:w="1511" w:type="dxa"/>
          </w:tcPr>
          <w:p w14:paraId="6C4268E5"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4ABF0F21" w14:textId="77777777" w:rsidR="007E3A65" w:rsidRPr="00BC5365" w:rsidRDefault="007E3A65" w:rsidP="00EF4F42">
            <w:pPr>
              <w:pStyle w:val="MDPI42tablebody"/>
            </w:pPr>
            <w:r w:rsidRPr="00BC5365">
              <w:t>0.</w:t>
            </w:r>
            <w:r>
              <w:t>82</w:t>
            </w:r>
          </w:p>
        </w:tc>
        <w:tc>
          <w:tcPr>
            <w:tcW w:w="1650" w:type="dxa"/>
          </w:tcPr>
          <w:p w14:paraId="1EB43B3C" w14:textId="77777777" w:rsidR="007E3A65" w:rsidRPr="00BC5365" w:rsidRDefault="007E3A65" w:rsidP="00EF4F42">
            <w:pPr>
              <w:pStyle w:val="MDPI42tablebody"/>
            </w:pPr>
            <w:r w:rsidRPr="00BC5365">
              <w:t>0.</w:t>
            </w:r>
            <w:r>
              <w:t>87</w:t>
            </w:r>
          </w:p>
        </w:tc>
        <w:tc>
          <w:tcPr>
            <w:tcW w:w="1680" w:type="dxa"/>
          </w:tcPr>
          <w:p w14:paraId="035122E6" w14:textId="77777777" w:rsidR="007E3A65" w:rsidRPr="00BC5365" w:rsidRDefault="007E3A65" w:rsidP="00EF4F42">
            <w:pPr>
              <w:pStyle w:val="MDPI42tablebody"/>
            </w:pPr>
            <w:r w:rsidRPr="00BC5365">
              <w:t>0.2</w:t>
            </w:r>
            <w:r>
              <w:t>3</w:t>
            </w:r>
          </w:p>
        </w:tc>
      </w:tr>
      <w:tr w:rsidR="007E3A65" w:rsidRPr="00BC5365" w14:paraId="379457BD" w14:textId="77777777" w:rsidTr="007E3A65">
        <w:trPr>
          <w:trHeight w:val="73"/>
          <w:jc w:val="center"/>
        </w:trPr>
        <w:tc>
          <w:tcPr>
            <w:tcW w:w="1820" w:type="dxa"/>
            <w:vMerge/>
          </w:tcPr>
          <w:p w14:paraId="5B350C02" w14:textId="77777777" w:rsidR="007E3A65" w:rsidRPr="00BC5365" w:rsidRDefault="007E3A65" w:rsidP="00EF4F42">
            <w:pPr>
              <w:pStyle w:val="MDPI42tablebody"/>
            </w:pPr>
          </w:p>
        </w:tc>
        <w:tc>
          <w:tcPr>
            <w:tcW w:w="1511" w:type="dxa"/>
          </w:tcPr>
          <w:p w14:paraId="1D1A9B12" w14:textId="77777777" w:rsidR="007E3A65"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20BBBC0F" w14:textId="77777777" w:rsidR="007E3A65" w:rsidRPr="00BC5365" w:rsidRDefault="007E3A65" w:rsidP="00EF4F42">
            <w:pPr>
              <w:pStyle w:val="MDPI42tablebody"/>
            </w:pPr>
            <w:r w:rsidRPr="00BC5365">
              <w:t>0.0</w:t>
            </w:r>
            <w:r>
              <w:t>5</w:t>
            </w:r>
          </w:p>
        </w:tc>
        <w:tc>
          <w:tcPr>
            <w:tcW w:w="1650" w:type="dxa"/>
          </w:tcPr>
          <w:p w14:paraId="5D2A5FF8" w14:textId="77777777" w:rsidR="007E3A65" w:rsidRPr="00BC5365" w:rsidRDefault="007E3A65" w:rsidP="00EF4F42">
            <w:pPr>
              <w:pStyle w:val="MDPI42tablebody"/>
            </w:pPr>
            <w:r w:rsidRPr="00BC5365">
              <w:t>0.02</w:t>
            </w:r>
          </w:p>
        </w:tc>
        <w:tc>
          <w:tcPr>
            <w:tcW w:w="1680" w:type="dxa"/>
          </w:tcPr>
          <w:p w14:paraId="3DB082BD" w14:textId="77777777" w:rsidR="007E3A65" w:rsidRPr="00BC5365" w:rsidRDefault="007E3A65" w:rsidP="00EF4F42">
            <w:pPr>
              <w:pStyle w:val="MDPI42tablebody"/>
            </w:pPr>
            <w:r w:rsidRPr="00BC5365">
              <w:t>0.1</w:t>
            </w:r>
            <w:r>
              <w:t>8</w:t>
            </w:r>
          </w:p>
        </w:tc>
      </w:tr>
    </w:tbl>
    <w:p w14:paraId="254183F2" w14:textId="2AC15971" w:rsidR="002E7E0A" w:rsidRDefault="002E7E0A" w:rsidP="00C32CE0"/>
    <w:p w14:paraId="4583C306" w14:textId="77777777" w:rsidR="00C1705E" w:rsidRDefault="00C1705E" w:rsidP="007937D2">
      <w:pPr>
        <w:keepNext/>
        <w:ind w:left="-432"/>
      </w:pPr>
      <w:r>
        <w:rPr>
          <w:noProof/>
        </w:rPr>
        <w:drawing>
          <wp:inline distT="0" distB="0" distL="0" distR="0" wp14:anchorId="1592333F" wp14:editId="57D9EACC">
            <wp:extent cx="5943600" cy="2981960"/>
            <wp:effectExtent l="0" t="0" r="0" b="8890"/>
            <wp:docPr id="18" name="图片 18" descr="日历&#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pic:nvPicPr>
                  <pic:blipFill>
                    <a:blip r:embed="rId69">
                      <a:extLst>
                        <a:ext uri="{28A0092B-C50C-407E-A947-70E740481C1C}">
                          <a14:useLocalDpi xmlns:a14="http://schemas.microsoft.com/office/drawing/2010/main" val="0"/>
                        </a:ext>
                      </a:extLst>
                    </a:blip>
                    <a:stretch>
                      <a:fillRect/>
                    </a:stretch>
                  </pic:blipFill>
                  <pic:spPr>
                    <a:xfrm>
                      <a:off x="0" y="0"/>
                      <a:ext cx="5943600" cy="2981960"/>
                    </a:xfrm>
                    <a:prstGeom prst="rect">
                      <a:avLst/>
                    </a:prstGeom>
                  </pic:spPr>
                </pic:pic>
              </a:graphicData>
            </a:graphic>
          </wp:inline>
        </w:drawing>
      </w:r>
    </w:p>
    <w:p w14:paraId="5691114D" w14:textId="0D6AD447" w:rsidR="002D5394" w:rsidRDefault="00C1705E" w:rsidP="00C1705E">
      <w:pPr>
        <w:pStyle w:val="a3"/>
        <w:ind w:firstLine="0"/>
        <w:rPr>
          <w:b w:val="0"/>
          <w:bCs w:val="0"/>
        </w:rPr>
      </w:pPr>
      <w:bookmarkStart w:id="139" w:name="_Toc75360575"/>
      <w:bookmarkStart w:id="140" w:name="_Toc75361843"/>
      <w:bookmarkStart w:id="141" w:name="_Toc75361898"/>
      <w:r>
        <w:t xml:space="preserve">Figure </w:t>
      </w:r>
      <w:r w:rsidR="003F4A69">
        <w:t>3</w:t>
      </w:r>
      <w:r w:rsidR="00764D25">
        <w:t>.</w:t>
      </w:r>
      <w:r>
        <w:fldChar w:fldCharType="begin"/>
      </w:r>
      <w:r>
        <w:instrText>SEQ Figure \* ARABIC \s 1</w:instrText>
      </w:r>
      <w:r>
        <w:fldChar w:fldCharType="separate"/>
      </w:r>
      <w:r w:rsidR="00492676">
        <w:rPr>
          <w:noProof/>
        </w:rPr>
        <w:t>9</w:t>
      </w:r>
      <w:r>
        <w:fldChar w:fldCharType="end"/>
      </w:r>
      <w:r>
        <w:t xml:space="preserve">. </w:t>
      </w:r>
      <w:r w:rsidRPr="00C1705E">
        <w:rPr>
          <w:b w:val="0"/>
          <w:bCs w:val="0"/>
        </w:rPr>
        <w:t>Product inter-comparison assessment through CC (left column) and RMSE (right column) after applying the TC method for Mesonet (first row), Noah (second row) and SMAP (third row) surface soil moisture products based on morning 6 AM values from April 2015 through July 2019, integrated (averaged)only during the Winter season months (i.e., December, January, February).</w:t>
      </w:r>
      <w:bookmarkEnd w:id="139"/>
      <w:bookmarkEnd w:id="140"/>
      <w:bookmarkEnd w:id="141"/>
    </w:p>
    <w:p w14:paraId="561868D4" w14:textId="017A77DE" w:rsidR="00507302" w:rsidRDefault="00507302" w:rsidP="00507302"/>
    <w:p w14:paraId="050EBAFC" w14:textId="67058460" w:rsidR="00685F41" w:rsidRPr="00685F41" w:rsidRDefault="00685F41" w:rsidP="00685F41">
      <w:pPr>
        <w:pStyle w:val="a3"/>
        <w:keepNext/>
        <w:ind w:firstLine="0"/>
        <w:rPr>
          <w:b w:val="0"/>
          <w:bCs w:val="0"/>
        </w:rPr>
      </w:pPr>
      <w:bookmarkStart w:id="142" w:name="_Toc75361150"/>
      <w:r>
        <w:t xml:space="preserve">Table </w:t>
      </w:r>
      <w:r w:rsidR="003F4A69">
        <w:t>3</w:t>
      </w:r>
      <w:r>
        <w:t>.</w:t>
      </w:r>
      <w:r>
        <w:fldChar w:fldCharType="begin"/>
      </w:r>
      <w:r>
        <w:instrText>SEQ Table \* ARABIC \s 1</w:instrText>
      </w:r>
      <w:r>
        <w:fldChar w:fldCharType="separate"/>
      </w:r>
      <w:r w:rsidR="00492676">
        <w:rPr>
          <w:noProof/>
        </w:rPr>
        <w:t>8</w:t>
      </w:r>
      <w:r>
        <w:fldChar w:fldCharType="end"/>
      </w:r>
      <w:r>
        <w:t xml:space="preserve">. </w:t>
      </w:r>
      <w:r w:rsidRPr="00685F41">
        <w:rPr>
          <w:b w:val="0"/>
          <w:bCs w:val="0"/>
        </w:rPr>
        <w:t>Climate-division averaged CC and RMSE from the TC triplets at local 6:00 AM for Mesonet, Noah and SMAP during the Winter over nine climate divisions of Oklahoma.</w:t>
      </w:r>
      <w:bookmarkEnd w:id="142"/>
    </w:p>
    <w:tbl>
      <w:tblPr>
        <w:tblStyle w:val="af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511"/>
        <w:gridCol w:w="1748"/>
        <w:gridCol w:w="1650"/>
        <w:gridCol w:w="1680"/>
      </w:tblGrid>
      <w:tr w:rsidR="002043CB" w:rsidRPr="00BC5365" w14:paraId="3A4C5D1D" w14:textId="77777777" w:rsidTr="002043CB">
        <w:trPr>
          <w:jc w:val="center"/>
        </w:trPr>
        <w:tc>
          <w:tcPr>
            <w:tcW w:w="1820" w:type="dxa"/>
            <w:tcBorders>
              <w:top w:val="single" w:sz="4" w:space="0" w:color="auto"/>
              <w:bottom w:val="single" w:sz="4" w:space="0" w:color="auto"/>
            </w:tcBorders>
          </w:tcPr>
          <w:p w14:paraId="0B8EDB0F" w14:textId="77777777" w:rsidR="002043CB" w:rsidRPr="00BC5365" w:rsidRDefault="002043CB" w:rsidP="00EF4F42">
            <w:pPr>
              <w:pStyle w:val="MDPI42tablebody"/>
            </w:pPr>
            <w:r>
              <w:t>Division</w:t>
            </w:r>
          </w:p>
        </w:tc>
        <w:tc>
          <w:tcPr>
            <w:tcW w:w="1511" w:type="dxa"/>
            <w:tcBorders>
              <w:top w:val="single" w:sz="4" w:space="0" w:color="auto"/>
              <w:bottom w:val="single" w:sz="4" w:space="0" w:color="auto"/>
            </w:tcBorders>
          </w:tcPr>
          <w:p w14:paraId="027681DB" w14:textId="77777777" w:rsidR="002043CB" w:rsidRPr="00BC5365" w:rsidRDefault="002043CB" w:rsidP="00EF4F42">
            <w:pPr>
              <w:pStyle w:val="MDPI42tablebody"/>
            </w:pPr>
            <w:r>
              <w:t>Metric</w:t>
            </w:r>
          </w:p>
        </w:tc>
        <w:tc>
          <w:tcPr>
            <w:tcW w:w="1748" w:type="dxa"/>
            <w:tcBorders>
              <w:top w:val="single" w:sz="4" w:space="0" w:color="auto"/>
              <w:bottom w:val="single" w:sz="4" w:space="0" w:color="auto"/>
            </w:tcBorders>
          </w:tcPr>
          <w:p w14:paraId="176052E7" w14:textId="77777777" w:rsidR="002043CB" w:rsidRPr="00BC5365" w:rsidRDefault="002043CB" w:rsidP="00EF4F42">
            <w:pPr>
              <w:pStyle w:val="MDPI42tablebody"/>
            </w:pPr>
            <w:r w:rsidRPr="00BC5365">
              <w:t>Mesonet</w:t>
            </w:r>
          </w:p>
        </w:tc>
        <w:tc>
          <w:tcPr>
            <w:tcW w:w="1650" w:type="dxa"/>
            <w:tcBorders>
              <w:top w:val="single" w:sz="4" w:space="0" w:color="auto"/>
              <w:bottom w:val="single" w:sz="4" w:space="0" w:color="auto"/>
            </w:tcBorders>
          </w:tcPr>
          <w:p w14:paraId="65591F11" w14:textId="77777777" w:rsidR="002043CB" w:rsidRPr="00BC5365" w:rsidRDefault="002043CB" w:rsidP="00EF4F42">
            <w:pPr>
              <w:pStyle w:val="MDPI42tablebody"/>
            </w:pPr>
            <w:r w:rsidRPr="00BC5365">
              <w:t>Noah</w:t>
            </w:r>
          </w:p>
        </w:tc>
        <w:tc>
          <w:tcPr>
            <w:tcW w:w="1680" w:type="dxa"/>
            <w:tcBorders>
              <w:top w:val="single" w:sz="4" w:space="0" w:color="auto"/>
              <w:bottom w:val="single" w:sz="4" w:space="0" w:color="auto"/>
            </w:tcBorders>
          </w:tcPr>
          <w:p w14:paraId="2709B408" w14:textId="77777777" w:rsidR="002043CB" w:rsidRPr="00BC5365" w:rsidRDefault="002043CB" w:rsidP="00EF4F42">
            <w:pPr>
              <w:pStyle w:val="MDPI42tablebody"/>
            </w:pPr>
            <w:r w:rsidRPr="00BC5365">
              <w:t>SMAP</w:t>
            </w:r>
          </w:p>
        </w:tc>
      </w:tr>
      <w:tr w:rsidR="002043CB" w:rsidRPr="00BC5365" w14:paraId="48E3926E" w14:textId="77777777" w:rsidTr="002043CB">
        <w:trPr>
          <w:trHeight w:val="74"/>
          <w:jc w:val="center"/>
        </w:trPr>
        <w:tc>
          <w:tcPr>
            <w:tcW w:w="1820" w:type="dxa"/>
            <w:vMerge w:val="restart"/>
            <w:tcBorders>
              <w:top w:val="single" w:sz="4" w:space="0" w:color="auto"/>
            </w:tcBorders>
          </w:tcPr>
          <w:p w14:paraId="1E9D02F2" w14:textId="77777777" w:rsidR="002043CB" w:rsidRPr="00BC5365" w:rsidRDefault="002043CB" w:rsidP="00EF4F42">
            <w:pPr>
              <w:pStyle w:val="MDPI42tablebody"/>
            </w:pPr>
            <w:r w:rsidRPr="00BC5365">
              <w:t>Panhandle</w:t>
            </w:r>
          </w:p>
        </w:tc>
        <w:tc>
          <w:tcPr>
            <w:tcW w:w="1511" w:type="dxa"/>
            <w:tcBorders>
              <w:top w:val="single" w:sz="4" w:space="0" w:color="auto"/>
            </w:tcBorders>
          </w:tcPr>
          <w:p w14:paraId="0886B67D"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Borders>
              <w:top w:val="single" w:sz="4" w:space="0" w:color="auto"/>
            </w:tcBorders>
          </w:tcPr>
          <w:p w14:paraId="33139235" w14:textId="77777777" w:rsidR="002043CB" w:rsidRPr="00BC5365" w:rsidRDefault="002043CB" w:rsidP="00EF4F42">
            <w:pPr>
              <w:pStyle w:val="MDPI42tablebody"/>
            </w:pPr>
            <w:r w:rsidRPr="00BC5365">
              <w:t>0.</w:t>
            </w:r>
            <w:r>
              <w:t>84</w:t>
            </w:r>
          </w:p>
        </w:tc>
        <w:tc>
          <w:tcPr>
            <w:tcW w:w="1650" w:type="dxa"/>
            <w:tcBorders>
              <w:top w:val="single" w:sz="4" w:space="0" w:color="auto"/>
            </w:tcBorders>
          </w:tcPr>
          <w:p w14:paraId="10DCC8F5" w14:textId="77777777" w:rsidR="002043CB" w:rsidRPr="00BC5365" w:rsidRDefault="002043CB" w:rsidP="00EF4F42">
            <w:pPr>
              <w:pStyle w:val="MDPI42tablebody"/>
            </w:pPr>
            <w:r w:rsidRPr="00BC5365">
              <w:t>0.</w:t>
            </w:r>
            <w:r>
              <w:t>78</w:t>
            </w:r>
          </w:p>
        </w:tc>
        <w:tc>
          <w:tcPr>
            <w:tcW w:w="1680" w:type="dxa"/>
            <w:tcBorders>
              <w:top w:val="single" w:sz="4" w:space="0" w:color="auto"/>
            </w:tcBorders>
          </w:tcPr>
          <w:p w14:paraId="01162058" w14:textId="77777777" w:rsidR="002043CB" w:rsidRPr="00BC5365" w:rsidRDefault="002043CB" w:rsidP="00EF4F42">
            <w:pPr>
              <w:pStyle w:val="MDPI42tablebody"/>
            </w:pPr>
            <w:r w:rsidRPr="00BC5365">
              <w:t>0.</w:t>
            </w:r>
            <w:r>
              <w:t>59</w:t>
            </w:r>
          </w:p>
        </w:tc>
      </w:tr>
      <w:tr w:rsidR="002043CB" w:rsidRPr="00BC5365" w14:paraId="53AEBE9E" w14:textId="77777777" w:rsidTr="002043CB">
        <w:trPr>
          <w:trHeight w:val="73"/>
          <w:jc w:val="center"/>
        </w:trPr>
        <w:tc>
          <w:tcPr>
            <w:tcW w:w="1820" w:type="dxa"/>
            <w:vMerge/>
          </w:tcPr>
          <w:p w14:paraId="5D756438" w14:textId="77777777" w:rsidR="002043CB" w:rsidRPr="00BC5365" w:rsidRDefault="002043CB" w:rsidP="00EF4F42">
            <w:pPr>
              <w:pStyle w:val="MDPI42tablebody"/>
            </w:pPr>
          </w:p>
        </w:tc>
        <w:tc>
          <w:tcPr>
            <w:tcW w:w="1511" w:type="dxa"/>
          </w:tcPr>
          <w:p w14:paraId="7B92B0FA"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459C5198" w14:textId="77777777" w:rsidR="002043CB" w:rsidRPr="00BC5365" w:rsidRDefault="002043CB" w:rsidP="00EF4F42">
            <w:pPr>
              <w:pStyle w:val="MDPI42tablebody"/>
            </w:pPr>
            <w:r w:rsidRPr="00BC5365">
              <w:t>0.0</w:t>
            </w:r>
            <w:r>
              <w:t>6</w:t>
            </w:r>
          </w:p>
        </w:tc>
        <w:tc>
          <w:tcPr>
            <w:tcW w:w="1650" w:type="dxa"/>
          </w:tcPr>
          <w:p w14:paraId="18F307EB" w14:textId="77777777" w:rsidR="002043CB" w:rsidRPr="00BC5365" w:rsidRDefault="002043CB" w:rsidP="00EF4F42">
            <w:pPr>
              <w:pStyle w:val="MDPI42tablebody"/>
            </w:pPr>
            <w:r w:rsidRPr="00BC5365">
              <w:t>0.02</w:t>
            </w:r>
          </w:p>
        </w:tc>
        <w:tc>
          <w:tcPr>
            <w:tcW w:w="1680" w:type="dxa"/>
          </w:tcPr>
          <w:p w14:paraId="3E8371BA" w14:textId="77777777" w:rsidR="002043CB" w:rsidRPr="00BC5365" w:rsidRDefault="002043CB" w:rsidP="00EF4F42">
            <w:pPr>
              <w:pStyle w:val="MDPI42tablebody"/>
            </w:pPr>
            <w:r w:rsidRPr="00BC5365">
              <w:t>0.0</w:t>
            </w:r>
            <w:r>
              <w:t>4</w:t>
            </w:r>
          </w:p>
        </w:tc>
      </w:tr>
      <w:tr w:rsidR="002043CB" w:rsidRPr="00BC5365" w14:paraId="1C84F8B7" w14:textId="77777777" w:rsidTr="002043CB">
        <w:trPr>
          <w:trHeight w:val="74"/>
          <w:jc w:val="center"/>
        </w:trPr>
        <w:tc>
          <w:tcPr>
            <w:tcW w:w="1820" w:type="dxa"/>
            <w:vMerge w:val="restart"/>
          </w:tcPr>
          <w:p w14:paraId="71D38943" w14:textId="77777777" w:rsidR="002043CB" w:rsidRPr="00BC5365" w:rsidRDefault="002043CB" w:rsidP="00EF4F42">
            <w:pPr>
              <w:pStyle w:val="MDPI42tablebody"/>
            </w:pPr>
            <w:r w:rsidRPr="00BC5365">
              <w:lastRenderedPageBreak/>
              <w:t>West Central</w:t>
            </w:r>
          </w:p>
        </w:tc>
        <w:tc>
          <w:tcPr>
            <w:tcW w:w="1511" w:type="dxa"/>
          </w:tcPr>
          <w:p w14:paraId="5B45D5AF"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21238EA4" w14:textId="77777777" w:rsidR="002043CB" w:rsidRPr="00BC5365" w:rsidRDefault="002043CB" w:rsidP="00EF4F42">
            <w:pPr>
              <w:pStyle w:val="MDPI42tablebody"/>
            </w:pPr>
            <w:r w:rsidRPr="00BC5365">
              <w:t>0.</w:t>
            </w:r>
            <w:r>
              <w:t>86</w:t>
            </w:r>
          </w:p>
        </w:tc>
        <w:tc>
          <w:tcPr>
            <w:tcW w:w="1650" w:type="dxa"/>
          </w:tcPr>
          <w:p w14:paraId="6C23EAEA" w14:textId="77777777" w:rsidR="002043CB" w:rsidRPr="00BC5365" w:rsidRDefault="002043CB" w:rsidP="00EF4F42">
            <w:pPr>
              <w:pStyle w:val="MDPI42tablebody"/>
            </w:pPr>
            <w:r w:rsidRPr="00BC5365">
              <w:t>0.</w:t>
            </w:r>
            <w:r>
              <w:t>7</w:t>
            </w:r>
          </w:p>
        </w:tc>
        <w:tc>
          <w:tcPr>
            <w:tcW w:w="1680" w:type="dxa"/>
          </w:tcPr>
          <w:p w14:paraId="38F7FBD5" w14:textId="77777777" w:rsidR="002043CB" w:rsidRPr="00BC5365" w:rsidRDefault="002043CB" w:rsidP="00EF4F42">
            <w:pPr>
              <w:pStyle w:val="MDPI42tablebody"/>
            </w:pPr>
            <w:r w:rsidRPr="00BC5365">
              <w:t>0.</w:t>
            </w:r>
            <w:r>
              <w:t>52</w:t>
            </w:r>
          </w:p>
        </w:tc>
      </w:tr>
      <w:tr w:rsidR="002043CB" w:rsidRPr="00BC5365" w14:paraId="55344ADA" w14:textId="77777777" w:rsidTr="002043CB">
        <w:trPr>
          <w:trHeight w:val="73"/>
          <w:jc w:val="center"/>
        </w:trPr>
        <w:tc>
          <w:tcPr>
            <w:tcW w:w="1820" w:type="dxa"/>
            <w:vMerge/>
          </w:tcPr>
          <w:p w14:paraId="34465242" w14:textId="77777777" w:rsidR="002043CB" w:rsidRPr="00BC5365" w:rsidRDefault="002043CB" w:rsidP="00EF4F42">
            <w:pPr>
              <w:pStyle w:val="MDPI42tablebody"/>
            </w:pPr>
          </w:p>
        </w:tc>
        <w:tc>
          <w:tcPr>
            <w:tcW w:w="1511" w:type="dxa"/>
          </w:tcPr>
          <w:p w14:paraId="08CE7649"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39C8CDB" w14:textId="77777777" w:rsidR="002043CB" w:rsidRPr="00BC5365" w:rsidRDefault="002043CB" w:rsidP="00EF4F42">
            <w:pPr>
              <w:pStyle w:val="MDPI42tablebody"/>
            </w:pPr>
            <w:r w:rsidRPr="00BC5365">
              <w:t>0.0</w:t>
            </w:r>
            <w:r>
              <w:t>4</w:t>
            </w:r>
          </w:p>
        </w:tc>
        <w:tc>
          <w:tcPr>
            <w:tcW w:w="1650" w:type="dxa"/>
          </w:tcPr>
          <w:p w14:paraId="57D4B28E" w14:textId="77777777" w:rsidR="002043CB" w:rsidRPr="00BC5365" w:rsidRDefault="002043CB" w:rsidP="00EF4F42">
            <w:pPr>
              <w:pStyle w:val="MDPI42tablebody"/>
            </w:pPr>
            <w:r w:rsidRPr="00BC5365">
              <w:t>0.0</w:t>
            </w:r>
            <w:r>
              <w:t>2</w:t>
            </w:r>
          </w:p>
        </w:tc>
        <w:tc>
          <w:tcPr>
            <w:tcW w:w="1680" w:type="dxa"/>
          </w:tcPr>
          <w:p w14:paraId="15D2DB50" w14:textId="77777777" w:rsidR="002043CB" w:rsidRPr="00BC5365" w:rsidRDefault="002043CB" w:rsidP="00EF4F42">
            <w:pPr>
              <w:pStyle w:val="MDPI42tablebody"/>
            </w:pPr>
            <w:r w:rsidRPr="00BC5365">
              <w:t>0.0</w:t>
            </w:r>
            <w:r>
              <w:t>5</w:t>
            </w:r>
          </w:p>
        </w:tc>
      </w:tr>
      <w:tr w:rsidR="002043CB" w:rsidRPr="00BC5365" w14:paraId="73C31DEF" w14:textId="77777777" w:rsidTr="002043CB">
        <w:trPr>
          <w:trHeight w:val="74"/>
          <w:jc w:val="center"/>
        </w:trPr>
        <w:tc>
          <w:tcPr>
            <w:tcW w:w="1820" w:type="dxa"/>
            <w:vMerge w:val="restart"/>
          </w:tcPr>
          <w:p w14:paraId="52286F47" w14:textId="77777777" w:rsidR="002043CB" w:rsidRPr="00BC5365" w:rsidRDefault="002043CB" w:rsidP="00EF4F42">
            <w:pPr>
              <w:pStyle w:val="MDPI42tablebody"/>
            </w:pPr>
            <w:r w:rsidRPr="00BC5365">
              <w:t>Southwest</w:t>
            </w:r>
          </w:p>
        </w:tc>
        <w:tc>
          <w:tcPr>
            <w:tcW w:w="1511" w:type="dxa"/>
          </w:tcPr>
          <w:p w14:paraId="7441C7B6"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1A9797EA" w14:textId="77777777" w:rsidR="002043CB" w:rsidRPr="00BC5365" w:rsidRDefault="002043CB" w:rsidP="00EF4F42">
            <w:pPr>
              <w:pStyle w:val="MDPI42tablebody"/>
            </w:pPr>
            <w:r w:rsidRPr="00BC5365">
              <w:t>0.</w:t>
            </w:r>
            <w:r>
              <w:t>85</w:t>
            </w:r>
          </w:p>
        </w:tc>
        <w:tc>
          <w:tcPr>
            <w:tcW w:w="1650" w:type="dxa"/>
          </w:tcPr>
          <w:p w14:paraId="44ABBD28" w14:textId="77777777" w:rsidR="002043CB" w:rsidRPr="00BC5365" w:rsidRDefault="002043CB" w:rsidP="00EF4F42">
            <w:pPr>
              <w:pStyle w:val="MDPI42tablebody"/>
            </w:pPr>
            <w:r w:rsidRPr="00BC5365">
              <w:t>0.</w:t>
            </w:r>
            <w:r>
              <w:t>73</w:t>
            </w:r>
          </w:p>
        </w:tc>
        <w:tc>
          <w:tcPr>
            <w:tcW w:w="1680" w:type="dxa"/>
          </w:tcPr>
          <w:p w14:paraId="0B847682" w14:textId="77777777" w:rsidR="002043CB" w:rsidRPr="00BC5365" w:rsidRDefault="002043CB" w:rsidP="00EF4F42">
            <w:pPr>
              <w:pStyle w:val="MDPI42tablebody"/>
            </w:pPr>
            <w:r w:rsidRPr="00BC5365">
              <w:t>0.</w:t>
            </w:r>
            <w:r>
              <w:t>61</w:t>
            </w:r>
          </w:p>
        </w:tc>
      </w:tr>
      <w:tr w:rsidR="002043CB" w:rsidRPr="00BC5365" w14:paraId="125A295A" w14:textId="77777777" w:rsidTr="002043CB">
        <w:trPr>
          <w:trHeight w:val="73"/>
          <w:jc w:val="center"/>
        </w:trPr>
        <w:tc>
          <w:tcPr>
            <w:tcW w:w="1820" w:type="dxa"/>
            <w:vMerge/>
          </w:tcPr>
          <w:p w14:paraId="1F604952" w14:textId="77777777" w:rsidR="002043CB" w:rsidRPr="00BC5365" w:rsidRDefault="002043CB" w:rsidP="00EF4F42">
            <w:pPr>
              <w:pStyle w:val="MDPI42tablebody"/>
            </w:pPr>
          </w:p>
        </w:tc>
        <w:tc>
          <w:tcPr>
            <w:tcW w:w="1511" w:type="dxa"/>
          </w:tcPr>
          <w:p w14:paraId="4BE98D0E"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59D529C0" w14:textId="77777777" w:rsidR="002043CB" w:rsidRPr="00BC5365" w:rsidRDefault="002043CB" w:rsidP="00EF4F42">
            <w:pPr>
              <w:pStyle w:val="MDPI42tablebody"/>
            </w:pPr>
            <w:r w:rsidRPr="00BC5365">
              <w:t>0.0</w:t>
            </w:r>
            <w:r>
              <w:t>4</w:t>
            </w:r>
          </w:p>
        </w:tc>
        <w:tc>
          <w:tcPr>
            <w:tcW w:w="1650" w:type="dxa"/>
          </w:tcPr>
          <w:p w14:paraId="61AF9885" w14:textId="77777777" w:rsidR="002043CB" w:rsidRPr="00BC5365" w:rsidRDefault="002043CB" w:rsidP="00EF4F42">
            <w:pPr>
              <w:pStyle w:val="MDPI42tablebody"/>
            </w:pPr>
            <w:r w:rsidRPr="00BC5365">
              <w:t>0.02</w:t>
            </w:r>
          </w:p>
        </w:tc>
        <w:tc>
          <w:tcPr>
            <w:tcW w:w="1680" w:type="dxa"/>
          </w:tcPr>
          <w:p w14:paraId="287B0421" w14:textId="77777777" w:rsidR="002043CB" w:rsidRPr="00BC5365" w:rsidRDefault="002043CB" w:rsidP="00EF4F42">
            <w:pPr>
              <w:pStyle w:val="MDPI42tablebody"/>
            </w:pPr>
            <w:r w:rsidRPr="00BC5365">
              <w:t>0.0</w:t>
            </w:r>
            <w:r>
              <w:t>5</w:t>
            </w:r>
          </w:p>
        </w:tc>
      </w:tr>
      <w:tr w:rsidR="002043CB" w:rsidRPr="00BC5365" w14:paraId="275255C3" w14:textId="77777777" w:rsidTr="002043CB">
        <w:trPr>
          <w:trHeight w:val="74"/>
          <w:jc w:val="center"/>
        </w:trPr>
        <w:tc>
          <w:tcPr>
            <w:tcW w:w="1820" w:type="dxa"/>
            <w:vMerge w:val="restart"/>
          </w:tcPr>
          <w:p w14:paraId="27F1207D" w14:textId="77777777" w:rsidR="002043CB" w:rsidRPr="00BC5365" w:rsidRDefault="002043CB" w:rsidP="00EF4F42">
            <w:pPr>
              <w:pStyle w:val="MDPI42tablebody"/>
            </w:pPr>
            <w:r w:rsidRPr="00BC5365">
              <w:t>North Central</w:t>
            </w:r>
          </w:p>
        </w:tc>
        <w:tc>
          <w:tcPr>
            <w:tcW w:w="1511" w:type="dxa"/>
          </w:tcPr>
          <w:p w14:paraId="68781720"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621C1DE9" w14:textId="77777777" w:rsidR="002043CB" w:rsidRPr="00BC5365" w:rsidRDefault="002043CB" w:rsidP="00EF4F42">
            <w:pPr>
              <w:pStyle w:val="MDPI42tablebody"/>
            </w:pPr>
            <w:r w:rsidRPr="00BC5365">
              <w:t>0.</w:t>
            </w:r>
            <w:r>
              <w:t>78</w:t>
            </w:r>
          </w:p>
        </w:tc>
        <w:tc>
          <w:tcPr>
            <w:tcW w:w="1650" w:type="dxa"/>
          </w:tcPr>
          <w:p w14:paraId="6BB45413" w14:textId="77777777" w:rsidR="002043CB" w:rsidRPr="00BC5365" w:rsidRDefault="002043CB" w:rsidP="00EF4F42">
            <w:pPr>
              <w:pStyle w:val="MDPI42tablebody"/>
            </w:pPr>
            <w:r w:rsidRPr="00BC5365">
              <w:t>0.</w:t>
            </w:r>
            <w:r>
              <w:t>58</w:t>
            </w:r>
          </w:p>
        </w:tc>
        <w:tc>
          <w:tcPr>
            <w:tcW w:w="1680" w:type="dxa"/>
          </w:tcPr>
          <w:p w14:paraId="000A5458" w14:textId="77777777" w:rsidR="002043CB" w:rsidRPr="00BC5365" w:rsidRDefault="002043CB" w:rsidP="00EF4F42">
            <w:pPr>
              <w:pStyle w:val="MDPI42tablebody"/>
            </w:pPr>
            <w:r w:rsidRPr="00BC5365">
              <w:t>0.</w:t>
            </w:r>
            <w:r>
              <w:t>58</w:t>
            </w:r>
          </w:p>
        </w:tc>
      </w:tr>
      <w:tr w:rsidR="002043CB" w:rsidRPr="00BC5365" w14:paraId="4C5DBB16" w14:textId="77777777" w:rsidTr="002043CB">
        <w:trPr>
          <w:trHeight w:val="73"/>
          <w:jc w:val="center"/>
        </w:trPr>
        <w:tc>
          <w:tcPr>
            <w:tcW w:w="1820" w:type="dxa"/>
            <w:vMerge/>
          </w:tcPr>
          <w:p w14:paraId="1CB0F09C" w14:textId="77777777" w:rsidR="002043CB" w:rsidRPr="00BC5365" w:rsidRDefault="002043CB" w:rsidP="00EF4F42">
            <w:pPr>
              <w:pStyle w:val="MDPI42tablebody"/>
            </w:pPr>
          </w:p>
        </w:tc>
        <w:tc>
          <w:tcPr>
            <w:tcW w:w="1511" w:type="dxa"/>
          </w:tcPr>
          <w:p w14:paraId="4B0B5ED2"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0E418971" w14:textId="77777777" w:rsidR="002043CB" w:rsidRPr="00BC5365" w:rsidRDefault="002043CB" w:rsidP="00EF4F42">
            <w:pPr>
              <w:pStyle w:val="MDPI42tablebody"/>
            </w:pPr>
            <w:r w:rsidRPr="00BC5365">
              <w:t>0.0</w:t>
            </w:r>
            <w:r>
              <w:t>5</w:t>
            </w:r>
          </w:p>
        </w:tc>
        <w:tc>
          <w:tcPr>
            <w:tcW w:w="1650" w:type="dxa"/>
          </w:tcPr>
          <w:p w14:paraId="03425DCA" w14:textId="77777777" w:rsidR="002043CB" w:rsidRPr="00BC5365" w:rsidRDefault="002043CB" w:rsidP="00EF4F42">
            <w:pPr>
              <w:pStyle w:val="MDPI42tablebody"/>
            </w:pPr>
            <w:r w:rsidRPr="00BC5365">
              <w:t>0.0</w:t>
            </w:r>
            <w:r>
              <w:t>2</w:t>
            </w:r>
          </w:p>
        </w:tc>
        <w:tc>
          <w:tcPr>
            <w:tcW w:w="1680" w:type="dxa"/>
          </w:tcPr>
          <w:p w14:paraId="2414C887" w14:textId="77777777" w:rsidR="002043CB" w:rsidRPr="00BC5365" w:rsidRDefault="002043CB" w:rsidP="00EF4F42">
            <w:pPr>
              <w:pStyle w:val="MDPI42tablebody"/>
            </w:pPr>
            <w:r w:rsidRPr="00BC5365">
              <w:t>0.</w:t>
            </w:r>
            <w:r>
              <w:t>06</w:t>
            </w:r>
          </w:p>
        </w:tc>
      </w:tr>
      <w:tr w:rsidR="002043CB" w:rsidRPr="00BC5365" w14:paraId="4C8C52E3" w14:textId="77777777" w:rsidTr="002043CB">
        <w:trPr>
          <w:trHeight w:val="74"/>
          <w:jc w:val="center"/>
        </w:trPr>
        <w:tc>
          <w:tcPr>
            <w:tcW w:w="1820" w:type="dxa"/>
            <w:vMerge w:val="restart"/>
          </w:tcPr>
          <w:p w14:paraId="42DF15E1" w14:textId="77777777" w:rsidR="002043CB" w:rsidRPr="00BC5365" w:rsidRDefault="002043CB" w:rsidP="00EF4F42">
            <w:pPr>
              <w:pStyle w:val="MDPI42tablebody"/>
            </w:pPr>
            <w:r w:rsidRPr="00BC5365">
              <w:t>Central</w:t>
            </w:r>
          </w:p>
        </w:tc>
        <w:tc>
          <w:tcPr>
            <w:tcW w:w="1511" w:type="dxa"/>
          </w:tcPr>
          <w:p w14:paraId="03573F3F"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4521F395" w14:textId="77777777" w:rsidR="002043CB" w:rsidRPr="00BC5365" w:rsidRDefault="002043CB" w:rsidP="00EF4F42">
            <w:pPr>
              <w:pStyle w:val="MDPI42tablebody"/>
            </w:pPr>
            <w:r w:rsidRPr="00BC5365">
              <w:t>0.</w:t>
            </w:r>
            <w:r>
              <w:t>84</w:t>
            </w:r>
          </w:p>
        </w:tc>
        <w:tc>
          <w:tcPr>
            <w:tcW w:w="1650" w:type="dxa"/>
          </w:tcPr>
          <w:p w14:paraId="428A6E99" w14:textId="77777777" w:rsidR="002043CB" w:rsidRPr="00BC5365" w:rsidRDefault="002043CB" w:rsidP="00EF4F42">
            <w:pPr>
              <w:pStyle w:val="MDPI42tablebody"/>
            </w:pPr>
            <w:r w:rsidRPr="00BC5365">
              <w:t>0.</w:t>
            </w:r>
            <w:r>
              <w:t>55</w:t>
            </w:r>
          </w:p>
        </w:tc>
        <w:tc>
          <w:tcPr>
            <w:tcW w:w="1680" w:type="dxa"/>
          </w:tcPr>
          <w:p w14:paraId="53C1CAC2" w14:textId="77777777" w:rsidR="002043CB" w:rsidRPr="00BC5365" w:rsidRDefault="002043CB" w:rsidP="00EF4F42">
            <w:pPr>
              <w:pStyle w:val="MDPI42tablebody"/>
            </w:pPr>
            <w:r w:rsidRPr="00BC5365">
              <w:t>0.</w:t>
            </w:r>
            <w:r>
              <w:t>43</w:t>
            </w:r>
          </w:p>
        </w:tc>
      </w:tr>
      <w:tr w:rsidR="002043CB" w:rsidRPr="00BC5365" w14:paraId="352F4794" w14:textId="77777777" w:rsidTr="002043CB">
        <w:trPr>
          <w:trHeight w:val="73"/>
          <w:jc w:val="center"/>
        </w:trPr>
        <w:tc>
          <w:tcPr>
            <w:tcW w:w="1820" w:type="dxa"/>
            <w:vMerge/>
          </w:tcPr>
          <w:p w14:paraId="3E54A336" w14:textId="77777777" w:rsidR="002043CB" w:rsidRPr="00BC5365" w:rsidRDefault="002043CB" w:rsidP="00EF4F42">
            <w:pPr>
              <w:pStyle w:val="MDPI42tablebody"/>
            </w:pPr>
          </w:p>
        </w:tc>
        <w:tc>
          <w:tcPr>
            <w:tcW w:w="1511" w:type="dxa"/>
          </w:tcPr>
          <w:p w14:paraId="500612CD"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40C278E" w14:textId="77777777" w:rsidR="002043CB" w:rsidRPr="00BC5365" w:rsidRDefault="002043CB" w:rsidP="00EF4F42">
            <w:pPr>
              <w:pStyle w:val="MDPI42tablebody"/>
            </w:pPr>
            <w:r w:rsidRPr="00BC5365">
              <w:t>0.0</w:t>
            </w:r>
            <w:r>
              <w:t>8</w:t>
            </w:r>
          </w:p>
        </w:tc>
        <w:tc>
          <w:tcPr>
            <w:tcW w:w="1650" w:type="dxa"/>
          </w:tcPr>
          <w:p w14:paraId="31562756" w14:textId="77777777" w:rsidR="002043CB" w:rsidRPr="00BC5365" w:rsidRDefault="002043CB" w:rsidP="00EF4F42">
            <w:pPr>
              <w:pStyle w:val="MDPI42tablebody"/>
            </w:pPr>
            <w:r w:rsidRPr="00BC5365">
              <w:t>0.0</w:t>
            </w:r>
            <w:r>
              <w:t>3</w:t>
            </w:r>
          </w:p>
        </w:tc>
        <w:tc>
          <w:tcPr>
            <w:tcW w:w="1680" w:type="dxa"/>
          </w:tcPr>
          <w:p w14:paraId="512FE349" w14:textId="77777777" w:rsidR="002043CB" w:rsidRPr="00BC5365" w:rsidRDefault="002043CB" w:rsidP="00EF4F42">
            <w:pPr>
              <w:pStyle w:val="MDPI42tablebody"/>
            </w:pPr>
            <w:r w:rsidRPr="00BC5365">
              <w:t>0.</w:t>
            </w:r>
            <w:r>
              <w:t>06</w:t>
            </w:r>
          </w:p>
        </w:tc>
      </w:tr>
      <w:tr w:rsidR="002043CB" w:rsidRPr="00BC5365" w14:paraId="6F11770C" w14:textId="77777777" w:rsidTr="002043CB">
        <w:trPr>
          <w:trHeight w:val="74"/>
          <w:jc w:val="center"/>
        </w:trPr>
        <w:tc>
          <w:tcPr>
            <w:tcW w:w="1820" w:type="dxa"/>
            <w:vMerge w:val="restart"/>
          </w:tcPr>
          <w:p w14:paraId="71D9CD5B" w14:textId="77777777" w:rsidR="002043CB" w:rsidRPr="00BC5365" w:rsidRDefault="002043CB" w:rsidP="00EF4F42">
            <w:pPr>
              <w:pStyle w:val="MDPI42tablebody"/>
            </w:pPr>
            <w:r w:rsidRPr="00BC5365">
              <w:t>South Central</w:t>
            </w:r>
          </w:p>
        </w:tc>
        <w:tc>
          <w:tcPr>
            <w:tcW w:w="1511" w:type="dxa"/>
          </w:tcPr>
          <w:p w14:paraId="4BA81F08"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0BBB633B" w14:textId="77777777" w:rsidR="002043CB" w:rsidRPr="00BC5365" w:rsidRDefault="002043CB" w:rsidP="00EF4F42">
            <w:pPr>
              <w:pStyle w:val="MDPI42tablebody"/>
            </w:pPr>
            <w:r w:rsidRPr="00BC5365">
              <w:t>0.</w:t>
            </w:r>
            <w:r>
              <w:t>89</w:t>
            </w:r>
          </w:p>
        </w:tc>
        <w:tc>
          <w:tcPr>
            <w:tcW w:w="1650" w:type="dxa"/>
          </w:tcPr>
          <w:p w14:paraId="2EDA826F" w14:textId="77777777" w:rsidR="002043CB" w:rsidRPr="00BC5365" w:rsidRDefault="002043CB" w:rsidP="00EF4F42">
            <w:pPr>
              <w:pStyle w:val="MDPI42tablebody"/>
            </w:pPr>
            <w:r w:rsidRPr="00BC5365">
              <w:t>0.</w:t>
            </w:r>
            <w:r>
              <w:t>68</w:t>
            </w:r>
          </w:p>
        </w:tc>
        <w:tc>
          <w:tcPr>
            <w:tcW w:w="1680" w:type="dxa"/>
          </w:tcPr>
          <w:p w14:paraId="0FCAB86A" w14:textId="77777777" w:rsidR="002043CB" w:rsidRPr="00BC5365" w:rsidRDefault="002043CB" w:rsidP="00EF4F42">
            <w:pPr>
              <w:pStyle w:val="MDPI42tablebody"/>
            </w:pPr>
            <w:r w:rsidRPr="00BC5365">
              <w:t>0.</w:t>
            </w:r>
            <w:r>
              <w:t>4</w:t>
            </w:r>
          </w:p>
        </w:tc>
      </w:tr>
      <w:tr w:rsidR="002043CB" w:rsidRPr="00BC5365" w14:paraId="58B1A836" w14:textId="77777777" w:rsidTr="002043CB">
        <w:trPr>
          <w:trHeight w:val="73"/>
          <w:jc w:val="center"/>
        </w:trPr>
        <w:tc>
          <w:tcPr>
            <w:tcW w:w="1820" w:type="dxa"/>
            <w:vMerge/>
          </w:tcPr>
          <w:p w14:paraId="0C10FE93" w14:textId="77777777" w:rsidR="002043CB" w:rsidRPr="00BC5365" w:rsidRDefault="002043CB" w:rsidP="00EF4F42">
            <w:pPr>
              <w:pStyle w:val="MDPI42tablebody"/>
            </w:pPr>
          </w:p>
        </w:tc>
        <w:tc>
          <w:tcPr>
            <w:tcW w:w="1511" w:type="dxa"/>
          </w:tcPr>
          <w:p w14:paraId="03030095"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253A09EE" w14:textId="77777777" w:rsidR="002043CB" w:rsidRPr="00BC5365" w:rsidRDefault="002043CB" w:rsidP="00EF4F42">
            <w:pPr>
              <w:pStyle w:val="MDPI42tablebody"/>
            </w:pPr>
            <w:r w:rsidRPr="00BC5365">
              <w:t>0.0</w:t>
            </w:r>
            <w:r>
              <w:t>7</w:t>
            </w:r>
          </w:p>
        </w:tc>
        <w:tc>
          <w:tcPr>
            <w:tcW w:w="1650" w:type="dxa"/>
          </w:tcPr>
          <w:p w14:paraId="3E9BB2F9" w14:textId="77777777" w:rsidR="002043CB" w:rsidRPr="00BC5365" w:rsidRDefault="002043CB" w:rsidP="00EF4F42">
            <w:pPr>
              <w:pStyle w:val="MDPI42tablebody"/>
            </w:pPr>
            <w:r w:rsidRPr="00BC5365">
              <w:t>0.0</w:t>
            </w:r>
            <w:r>
              <w:t>3</w:t>
            </w:r>
          </w:p>
        </w:tc>
        <w:tc>
          <w:tcPr>
            <w:tcW w:w="1680" w:type="dxa"/>
          </w:tcPr>
          <w:p w14:paraId="762DDE2F" w14:textId="77777777" w:rsidR="002043CB" w:rsidRPr="00BC5365" w:rsidRDefault="002043CB" w:rsidP="00EF4F42">
            <w:pPr>
              <w:pStyle w:val="MDPI42tablebody"/>
            </w:pPr>
            <w:r w:rsidRPr="00BC5365">
              <w:t>0.</w:t>
            </w:r>
            <w:r>
              <w:t>07</w:t>
            </w:r>
          </w:p>
        </w:tc>
      </w:tr>
      <w:tr w:rsidR="002043CB" w:rsidRPr="00BC5365" w14:paraId="4717BB4D" w14:textId="77777777" w:rsidTr="002043CB">
        <w:trPr>
          <w:trHeight w:val="74"/>
          <w:jc w:val="center"/>
        </w:trPr>
        <w:tc>
          <w:tcPr>
            <w:tcW w:w="1820" w:type="dxa"/>
            <w:vMerge w:val="restart"/>
          </w:tcPr>
          <w:p w14:paraId="328EF244" w14:textId="77777777" w:rsidR="002043CB" w:rsidRPr="00BC5365" w:rsidRDefault="002043CB" w:rsidP="00EF4F42">
            <w:pPr>
              <w:pStyle w:val="MDPI42tablebody"/>
            </w:pPr>
            <w:r w:rsidRPr="00BC5365">
              <w:t>Northeast</w:t>
            </w:r>
          </w:p>
        </w:tc>
        <w:tc>
          <w:tcPr>
            <w:tcW w:w="1511" w:type="dxa"/>
          </w:tcPr>
          <w:p w14:paraId="30F0DB98"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2325153C" w14:textId="77777777" w:rsidR="002043CB" w:rsidRPr="00BC5365" w:rsidRDefault="002043CB" w:rsidP="00EF4F42">
            <w:pPr>
              <w:pStyle w:val="MDPI42tablebody"/>
            </w:pPr>
            <w:r w:rsidRPr="00BC5365">
              <w:t>0.</w:t>
            </w:r>
            <w:r>
              <w:t>81</w:t>
            </w:r>
          </w:p>
        </w:tc>
        <w:tc>
          <w:tcPr>
            <w:tcW w:w="1650" w:type="dxa"/>
          </w:tcPr>
          <w:p w14:paraId="60AC6F6B" w14:textId="77777777" w:rsidR="002043CB" w:rsidRPr="006D0DDF" w:rsidRDefault="002043CB" w:rsidP="00EF4F42">
            <w:pPr>
              <w:pStyle w:val="MDPI42tablebody"/>
              <w:rPr>
                <w:rFonts w:eastAsiaTheme="minorEastAsia"/>
                <w:lang w:eastAsia="zh-CN"/>
              </w:rPr>
            </w:pPr>
            <w:r w:rsidRPr="00BC5365">
              <w:t>0.</w:t>
            </w:r>
            <w:r>
              <w:t>66</w:t>
            </w:r>
          </w:p>
        </w:tc>
        <w:tc>
          <w:tcPr>
            <w:tcW w:w="1680" w:type="dxa"/>
          </w:tcPr>
          <w:p w14:paraId="523B46CB" w14:textId="77777777" w:rsidR="002043CB" w:rsidRPr="00BC5365" w:rsidRDefault="002043CB" w:rsidP="00EF4F42">
            <w:pPr>
              <w:pStyle w:val="MDPI42tablebody"/>
            </w:pPr>
            <w:r w:rsidRPr="00BC5365">
              <w:t>0.</w:t>
            </w:r>
            <w:r>
              <w:t>47</w:t>
            </w:r>
          </w:p>
        </w:tc>
      </w:tr>
      <w:tr w:rsidR="002043CB" w:rsidRPr="00BC5365" w14:paraId="279B2BB2" w14:textId="77777777" w:rsidTr="002043CB">
        <w:trPr>
          <w:trHeight w:val="73"/>
          <w:jc w:val="center"/>
        </w:trPr>
        <w:tc>
          <w:tcPr>
            <w:tcW w:w="1820" w:type="dxa"/>
            <w:vMerge/>
          </w:tcPr>
          <w:p w14:paraId="747965D7" w14:textId="77777777" w:rsidR="002043CB" w:rsidRPr="00BC5365" w:rsidRDefault="002043CB" w:rsidP="00EF4F42">
            <w:pPr>
              <w:pStyle w:val="MDPI42tablebody"/>
            </w:pPr>
          </w:p>
        </w:tc>
        <w:tc>
          <w:tcPr>
            <w:tcW w:w="1511" w:type="dxa"/>
          </w:tcPr>
          <w:p w14:paraId="7044E662"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1E47326B" w14:textId="77777777" w:rsidR="002043CB" w:rsidRPr="00BC5365" w:rsidRDefault="002043CB" w:rsidP="00EF4F42">
            <w:pPr>
              <w:pStyle w:val="MDPI42tablebody"/>
            </w:pPr>
            <w:r w:rsidRPr="00BC5365">
              <w:t>0.</w:t>
            </w:r>
            <w:r>
              <w:t>05</w:t>
            </w:r>
          </w:p>
        </w:tc>
        <w:tc>
          <w:tcPr>
            <w:tcW w:w="1650" w:type="dxa"/>
          </w:tcPr>
          <w:p w14:paraId="2C65ED3E" w14:textId="77777777" w:rsidR="002043CB" w:rsidRPr="00BC5365" w:rsidRDefault="002043CB" w:rsidP="00EF4F42">
            <w:pPr>
              <w:pStyle w:val="MDPI42tablebody"/>
            </w:pPr>
            <w:r w:rsidRPr="00BC5365">
              <w:t>0.0</w:t>
            </w:r>
            <w:r>
              <w:t>2</w:t>
            </w:r>
          </w:p>
        </w:tc>
        <w:tc>
          <w:tcPr>
            <w:tcW w:w="1680" w:type="dxa"/>
          </w:tcPr>
          <w:p w14:paraId="5D4B2A1B" w14:textId="77777777" w:rsidR="002043CB" w:rsidRPr="00BC5365" w:rsidRDefault="002043CB" w:rsidP="00EF4F42">
            <w:pPr>
              <w:pStyle w:val="MDPI42tablebody"/>
            </w:pPr>
            <w:r w:rsidRPr="00BC5365">
              <w:t>0.</w:t>
            </w:r>
            <w:r>
              <w:t>09</w:t>
            </w:r>
          </w:p>
        </w:tc>
      </w:tr>
      <w:tr w:rsidR="002043CB" w:rsidRPr="00BC5365" w14:paraId="71D22FAA" w14:textId="77777777" w:rsidTr="002043CB">
        <w:trPr>
          <w:trHeight w:val="74"/>
          <w:jc w:val="center"/>
        </w:trPr>
        <w:tc>
          <w:tcPr>
            <w:tcW w:w="1820" w:type="dxa"/>
            <w:vMerge w:val="restart"/>
          </w:tcPr>
          <w:p w14:paraId="06E815FF" w14:textId="77777777" w:rsidR="002043CB" w:rsidRPr="00BC5365" w:rsidRDefault="002043CB" w:rsidP="00EF4F42">
            <w:pPr>
              <w:pStyle w:val="MDPI42tablebody"/>
            </w:pPr>
            <w:r w:rsidRPr="00BC5365">
              <w:t>East Central</w:t>
            </w:r>
          </w:p>
        </w:tc>
        <w:tc>
          <w:tcPr>
            <w:tcW w:w="1511" w:type="dxa"/>
          </w:tcPr>
          <w:p w14:paraId="10A0924F"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7B199CCA" w14:textId="77777777" w:rsidR="002043CB" w:rsidRPr="00BC5365" w:rsidRDefault="002043CB" w:rsidP="00EF4F42">
            <w:pPr>
              <w:pStyle w:val="MDPI42tablebody"/>
            </w:pPr>
            <w:r w:rsidRPr="00BC5365">
              <w:t>0.</w:t>
            </w:r>
            <w:r>
              <w:t>87</w:t>
            </w:r>
          </w:p>
        </w:tc>
        <w:tc>
          <w:tcPr>
            <w:tcW w:w="1650" w:type="dxa"/>
          </w:tcPr>
          <w:p w14:paraId="20A0E526" w14:textId="77777777" w:rsidR="002043CB" w:rsidRPr="00BC5365" w:rsidRDefault="002043CB" w:rsidP="00EF4F42">
            <w:pPr>
              <w:pStyle w:val="MDPI42tablebody"/>
            </w:pPr>
            <w:r w:rsidRPr="00BC5365">
              <w:t>0.</w:t>
            </w:r>
            <w:r>
              <w:t>72</w:t>
            </w:r>
          </w:p>
        </w:tc>
        <w:tc>
          <w:tcPr>
            <w:tcW w:w="1680" w:type="dxa"/>
          </w:tcPr>
          <w:p w14:paraId="5783AEB5" w14:textId="77777777" w:rsidR="002043CB" w:rsidRPr="00BC5365" w:rsidRDefault="002043CB" w:rsidP="00EF4F42">
            <w:pPr>
              <w:pStyle w:val="MDPI42tablebody"/>
            </w:pPr>
            <w:r w:rsidRPr="00BC5365">
              <w:t>0.</w:t>
            </w:r>
            <w:r>
              <w:t>6</w:t>
            </w:r>
          </w:p>
        </w:tc>
      </w:tr>
      <w:tr w:rsidR="002043CB" w:rsidRPr="00BC5365" w14:paraId="6BB2C59C" w14:textId="77777777" w:rsidTr="002043CB">
        <w:trPr>
          <w:trHeight w:val="73"/>
          <w:jc w:val="center"/>
        </w:trPr>
        <w:tc>
          <w:tcPr>
            <w:tcW w:w="1820" w:type="dxa"/>
            <w:vMerge/>
          </w:tcPr>
          <w:p w14:paraId="277B8BC3" w14:textId="77777777" w:rsidR="002043CB" w:rsidRPr="00BC5365" w:rsidRDefault="002043CB" w:rsidP="00EF4F42">
            <w:pPr>
              <w:pStyle w:val="MDPI42tablebody"/>
            </w:pPr>
          </w:p>
        </w:tc>
        <w:tc>
          <w:tcPr>
            <w:tcW w:w="1511" w:type="dxa"/>
          </w:tcPr>
          <w:p w14:paraId="49AD8D2F"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220E19A5" w14:textId="77777777" w:rsidR="002043CB" w:rsidRPr="00BC5365" w:rsidRDefault="002043CB" w:rsidP="00EF4F42">
            <w:pPr>
              <w:pStyle w:val="MDPI42tablebody"/>
            </w:pPr>
            <w:r w:rsidRPr="00BC5365">
              <w:t>0.0</w:t>
            </w:r>
            <w:r>
              <w:t>5</w:t>
            </w:r>
          </w:p>
        </w:tc>
        <w:tc>
          <w:tcPr>
            <w:tcW w:w="1650" w:type="dxa"/>
          </w:tcPr>
          <w:p w14:paraId="11FA930E" w14:textId="77777777" w:rsidR="002043CB" w:rsidRPr="00BC5365" w:rsidRDefault="002043CB" w:rsidP="00EF4F42">
            <w:pPr>
              <w:pStyle w:val="MDPI42tablebody"/>
            </w:pPr>
            <w:r w:rsidRPr="00BC5365">
              <w:t>0.02</w:t>
            </w:r>
          </w:p>
        </w:tc>
        <w:tc>
          <w:tcPr>
            <w:tcW w:w="1680" w:type="dxa"/>
          </w:tcPr>
          <w:p w14:paraId="54E837D5" w14:textId="77777777" w:rsidR="002043CB" w:rsidRPr="00BC5365" w:rsidRDefault="002043CB" w:rsidP="00EF4F42">
            <w:pPr>
              <w:pStyle w:val="MDPI42tablebody"/>
            </w:pPr>
            <w:r w:rsidRPr="00BC5365">
              <w:t>0.</w:t>
            </w:r>
            <w:r>
              <w:t>08</w:t>
            </w:r>
          </w:p>
        </w:tc>
      </w:tr>
      <w:tr w:rsidR="002043CB" w:rsidRPr="00BC5365" w14:paraId="14A50794" w14:textId="77777777" w:rsidTr="002043CB">
        <w:trPr>
          <w:trHeight w:val="74"/>
          <w:jc w:val="center"/>
        </w:trPr>
        <w:tc>
          <w:tcPr>
            <w:tcW w:w="1820" w:type="dxa"/>
            <w:vMerge w:val="restart"/>
          </w:tcPr>
          <w:p w14:paraId="4453ECB4" w14:textId="77777777" w:rsidR="002043CB" w:rsidRPr="00BC5365" w:rsidRDefault="002043CB" w:rsidP="00EF4F42">
            <w:pPr>
              <w:pStyle w:val="MDPI42tablebody"/>
            </w:pPr>
            <w:r w:rsidRPr="00BC5365">
              <w:t>Southeast</w:t>
            </w:r>
          </w:p>
        </w:tc>
        <w:tc>
          <w:tcPr>
            <w:tcW w:w="1511" w:type="dxa"/>
          </w:tcPr>
          <w:p w14:paraId="62AC991E"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CC</m:t>
                    </m:r>
                  </m:e>
                  <m:sub>
                    <m:r>
                      <w:rPr>
                        <w:rFonts w:ascii="Cambria Math" w:hAnsi="Cambria Math"/>
                      </w:rPr>
                      <m:t>mean</m:t>
                    </m:r>
                  </m:sub>
                </m:sSub>
              </m:oMath>
            </m:oMathPara>
          </w:p>
        </w:tc>
        <w:tc>
          <w:tcPr>
            <w:tcW w:w="1748" w:type="dxa"/>
          </w:tcPr>
          <w:p w14:paraId="127B0B0A" w14:textId="77777777" w:rsidR="002043CB" w:rsidRPr="00BC5365" w:rsidRDefault="002043CB" w:rsidP="00EF4F42">
            <w:pPr>
              <w:pStyle w:val="MDPI42tablebody"/>
            </w:pPr>
            <w:r w:rsidRPr="00BC5365">
              <w:t>0.</w:t>
            </w:r>
            <w:r>
              <w:t>85</w:t>
            </w:r>
          </w:p>
        </w:tc>
        <w:tc>
          <w:tcPr>
            <w:tcW w:w="1650" w:type="dxa"/>
          </w:tcPr>
          <w:p w14:paraId="15632AC5" w14:textId="77777777" w:rsidR="002043CB" w:rsidRPr="00BC5365" w:rsidRDefault="002043CB" w:rsidP="00EF4F42">
            <w:pPr>
              <w:pStyle w:val="MDPI42tablebody"/>
            </w:pPr>
            <w:r w:rsidRPr="00BC5365">
              <w:t>0.</w:t>
            </w:r>
            <w:r>
              <w:t>66</w:t>
            </w:r>
          </w:p>
        </w:tc>
        <w:tc>
          <w:tcPr>
            <w:tcW w:w="1680" w:type="dxa"/>
          </w:tcPr>
          <w:p w14:paraId="186C7A85" w14:textId="77777777" w:rsidR="002043CB" w:rsidRPr="00BC5365" w:rsidRDefault="002043CB" w:rsidP="00EF4F42">
            <w:pPr>
              <w:pStyle w:val="MDPI42tablebody"/>
            </w:pPr>
            <w:r w:rsidRPr="00BC5365">
              <w:t>0.</w:t>
            </w:r>
            <w:r>
              <w:t>55</w:t>
            </w:r>
          </w:p>
        </w:tc>
      </w:tr>
      <w:tr w:rsidR="002043CB" w:rsidRPr="00BC5365" w14:paraId="0FE3CFB8" w14:textId="77777777" w:rsidTr="002043CB">
        <w:trPr>
          <w:trHeight w:val="73"/>
          <w:jc w:val="center"/>
        </w:trPr>
        <w:tc>
          <w:tcPr>
            <w:tcW w:w="1820" w:type="dxa"/>
            <w:vMerge/>
          </w:tcPr>
          <w:p w14:paraId="1A206247" w14:textId="77777777" w:rsidR="002043CB" w:rsidRPr="00BC5365" w:rsidRDefault="002043CB" w:rsidP="00EF4F42">
            <w:pPr>
              <w:pStyle w:val="MDPI42tablebody"/>
            </w:pPr>
          </w:p>
        </w:tc>
        <w:tc>
          <w:tcPr>
            <w:tcW w:w="1511" w:type="dxa"/>
          </w:tcPr>
          <w:p w14:paraId="67670965" w14:textId="77777777" w:rsidR="002043CB" w:rsidRPr="00BC5365" w:rsidRDefault="00143C6C" w:rsidP="00EF4F42">
            <w:pPr>
              <w:pStyle w:val="MDPI42tablebody"/>
            </w:pPr>
            <m:oMathPara>
              <m:oMath>
                <m:sSub>
                  <m:sSubPr>
                    <m:ctrlPr>
                      <w:rPr>
                        <w:rFonts w:ascii="Cambria Math" w:hAnsi="Cambria Math"/>
                      </w:rPr>
                    </m:ctrlPr>
                  </m:sSubPr>
                  <m:e>
                    <m:r>
                      <w:rPr>
                        <w:rFonts w:ascii="Cambria Math" w:hAnsi="Cambria Math"/>
                      </w:rPr>
                      <m:t>RMSE</m:t>
                    </m:r>
                  </m:e>
                  <m:sub>
                    <m:r>
                      <w:rPr>
                        <w:rFonts w:ascii="Cambria Math" w:hAnsi="Cambria Math"/>
                      </w:rPr>
                      <m:t>mean</m:t>
                    </m:r>
                  </m:sub>
                </m:sSub>
              </m:oMath>
            </m:oMathPara>
          </w:p>
        </w:tc>
        <w:tc>
          <w:tcPr>
            <w:tcW w:w="1748" w:type="dxa"/>
          </w:tcPr>
          <w:p w14:paraId="76E04C18" w14:textId="77777777" w:rsidR="002043CB" w:rsidRPr="00BC5365" w:rsidRDefault="002043CB" w:rsidP="00EF4F42">
            <w:pPr>
              <w:pStyle w:val="MDPI42tablebody"/>
            </w:pPr>
            <w:r w:rsidRPr="00BC5365">
              <w:t>0.0</w:t>
            </w:r>
            <w:r>
              <w:t>3</w:t>
            </w:r>
          </w:p>
        </w:tc>
        <w:tc>
          <w:tcPr>
            <w:tcW w:w="1650" w:type="dxa"/>
          </w:tcPr>
          <w:p w14:paraId="15D41DD9" w14:textId="77777777" w:rsidR="002043CB" w:rsidRPr="00BC5365" w:rsidRDefault="002043CB" w:rsidP="00EF4F42">
            <w:pPr>
              <w:pStyle w:val="MDPI42tablebody"/>
            </w:pPr>
            <w:r w:rsidRPr="00BC5365">
              <w:t>0.02</w:t>
            </w:r>
          </w:p>
        </w:tc>
        <w:tc>
          <w:tcPr>
            <w:tcW w:w="1680" w:type="dxa"/>
          </w:tcPr>
          <w:p w14:paraId="0589BB51" w14:textId="77777777" w:rsidR="002043CB" w:rsidRPr="00BC5365" w:rsidRDefault="002043CB" w:rsidP="00EF4F42">
            <w:pPr>
              <w:pStyle w:val="MDPI42tablebody"/>
            </w:pPr>
            <w:r w:rsidRPr="00BC5365">
              <w:t>0.1</w:t>
            </w:r>
          </w:p>
        </w:tc>
      </w:tr>
    </w:tbl>
    <w:p w14:paraId="525533DF" w14:textId="77777777" w:rsidR="00507302" w:rsidRPr="00507302" w:rsidRDefault="00507302" w:rsidP="002043CB">
      <w:pPr>
        <w:jc w:val="center"/>
      </w:pPr>
    </w:p>
    <w:p w14:paraId="42B22936" w14:textId="6C298D20" w:rsidR="00C1705E" w:rsidRDefault="0025792D" w:rsidP="00953B95">
      <w:pPr>
        <w:pStyle w:val="3"/>
      </w:pPr>
      <w:bookmarkStart w:id="143" w:name="_Toc75939857"/>
      <w:r>
        <w:t>3</w:t>
      </w:r>
      <w:r w:rsidR="74CFCC90">
        <w:t>.4.3 Sub-daily Soil Moisture Product Inter-comparison by Land Cover Type</w:t>
      </w:r>
      <w:bookmarkEnd w:id="143"/>
      <w:r w:rsidR="74CFCC90">
        <w:t xml:space="preserve">  </w:t>
      </w:r>
    </w:p>
    <w:p w14:paraId="53CA707F" w14:textId="2B977251" w:rsidR="008545D0" w:rsidRDefault="008545D0" w:rsidP="008545D0">
      <w:pPr>
        <w:rPr>
          <w:lang w:eastAsia="zh-CN"/>
        </w:rPr>
      </w:pPr>
      <w:r w:rsidRPr="006539E0">
        <w:rPr>
          <w:lang w:eastAsia="zh-CN"/>
        </w:rPr>
        <w:t xml:space="preserve">The TC </w:t>
      </w:r>
      <w:r>
        <w:rPr>
          <w:lang w:eastAsia="zh-CN"/>
        </w:rPr>
        <w:t>intercomparison</w:t>
      </w:r>
      <w:r w:rsidRPr="006539E0">
        <w:rPr>
          <w:lang w:eastAsia="zh-CN"/>
        </w:rPr>
        <w:t xml:space="preserve"> results</w:t>
      </w:r>
      <w:r>
        <w:rPr>
          <w:lang w:eastAsia="zh-CN"/>
        </w:rPr>
        <w:t xml:space="preserve"> for Mesonet, Noah, and SMAP </w:t>
      </w:r>
      <w:r w:rsidRPr="006539E0">
        <w:rPr>
          <w:lang w:eastAsia="zh-CN"/>
        </w:rPr>
        <w:t>over different land cover</w:t>
      </w:r>
      <w:r>
        <w:rPr>
          <w:lang w:eastAsia="zh-CN"/>
        </w:rPr>
        <w:t xml:space="preserve"> types</w:t>
      </w:r>
      <w:r w:rsidRPr="006539E0">
        <w:rPr>
          <w:lang w:eastAsia="zh-CN"/>
        </w:rPr>
        <w:t xml:space="preserve"> are shown in Fig</w:t>
      </w:r>
      <w:r>
        <w:rPr>
          <w:lang w:eastAsia="zh-CN"/>
        </w:rPr>
        <w:t xml:space="preserve">ure </w:t>
      </w:r>
      <w:r w:rsidR="0025792D">
        <w:rPr>
          <w:lang w:eastAsia="zh-CN"/>
        </w:rPr>
        <w:t>3.</w:t>
      </w:r>
      <w:r>
        <w:rPr>
          <w:lang w:eastAsia="zh-CN"/>
        </w:rPr>
        <w:t xml:space="preserve">10 (period-integrated), Figure </w:t>
      </w:r>
      <w:r w:rsidR="0025792D">
        <w:rPr>
          <w:lang w:eastAsia="zh-CN"/>
        </w:rPr>
        <w:t>3.</w:t>
      </w:r>
      <w:r>
        <w:rPr>
          <w:lang w:eastAsia="zh-CN"/>
        </w:rPr>
        <w:t xml:space="preserve">11 (CC, across seasons) and Figure </w:t>
      </w:r>
      <w:r w:rsidR="0025792D">
        <w:rPr>
          <w:lang w:eastAsia="zh-CN"/>
        </w:rPr>
        <w:t>3.</w:t>
      </w:r>
      <w:r>
        <w:rPr>
          <w:lang w:eastAsia="zh-CN"/>
        </w:rPr>
        <w:t>12 (RMSE, across seasons)</w:t>
      </w:r>
      <w:r w:rsidRPr="006539E0">
        <w:rPr>
          <w:lang w:eastAsia="zh-CN"/>
        </w:rPr>
        <w:t xml:space="preserve">. </w:t>
      </w:r>
      <w:r>
        <w:rPr>
          <w:lang w:eastAsia="zh-CN"/>
        </w:rPr>
        <w:t>Since results for 6:00 PM are highly similar to 6:00 AM, only the morning condition is presented.</w:t>
      </w:r>
    </w:p>
    <w:p w14:paraId="184AA90E" w14:textId="77D5327E" w:rsidR="008545D0" w:rsidRDefault="008545D0" w:rsidP="008545D0">
      <w:pPr>
        <w:rPr>
          <w:lang w:eastAsia="zh-CN"/>
        </w:rPr>
      </w:pPr>
      <w:r w:rsidRPr="005E131B">
        <w:rPr>
          <w:lang w:eastAsia="zh-CN"/>
        </w:rPr>
        <w:t xml:space="preserve">The </w:t>
      </w:r>
      <w:r>
        <w:rPr>
          <w:lang w:eastAsia="zh-CN"/>
        </w:rPr>
        <w:t xml:space="preserve">quartile </w:t>
      </w:r>
      <w:r w:rsidRPr="005E131B">
        <w:rPr>
          <w:lang w:eastAsia="zh-CN"/>
        </w:rPr>
        <w:t>distribution</w:t>
      </w:r>
      <w:r>
        <w:rPr>
          <w:lang w:eastAsia="zh-CN"/>
        </w:rPr>
        <w:t xml:space="preserve"> and data range</w:t>
      </w:r>
      <w:r w:rsidRPr="005E131B">
        <w:rPr>
          <w:lang w:eastAsia="zh-CN"/>
        </w:rPr>
        <w:t xml:space="preserve"> of the </w:t>
      </w:r>
      <w:r>
        <w:rPr>
          <w:lang w:eastAsia="zh-CN"/>
        </w:rPr>
        <w:t>CC</w:t>
      </w:r>
      <w:r w:rsidRPr="005E131B">
        <w:rPr>
          <w:lang w:eastAsia="zh-CN"/>
        </w:rPr>
        <w:t xml:space="preserve"> and </w:t>
      </w:r>
      <w:r>
        <w:rPr>
          <w:lang w:eastAsia="zh-CN"/>
        </w:rPr>
        <w:t>RMSE</w:t>
      </w:r>
      <w:r w:rsidRPr="005E131B">
        <w:rPr>
          <w:lang w:eastAsia="zh-CN"/>
        </w:rPr>
        <w:t xml:space="preserve"> </w:t>
      </w:r>
      <w:r>
        <w:rPr>
          <w:lang w:eastAsia="zh-CN"/>
        </w:rPr>
        <w:t xml:space="preserve">for each soil moisture product over different land cover types </w:t>
      </w:r>
      <w:r w:rsidRPr="005E131B">
        <w:rPr>
          <w:lang w:eastAsia="zh-CN"/>
        </w:rPr>
        <w:t xml:space="preserve">are </w:t>
      </w:r>
      <w:r>
        <w:rPr>
          <w:lang w:eastAsia="zh-CN"/>
        </w:rPr>
        <w:t>shown</w:t>
      </w:r>
      <w:r w:rsidRPr="005E131B">
        <w:rPr>
          <w:lang w:eastAsia="zh-CN"/>
        </w:rPr>
        <w:t xml:space="preserve"> in Fig. </w:t>
      </w:r>
      <w:r w:rsidR="0025792D">
        <w:rPr>
          <w:lang w:eastAsia="zh-CN"/>
        </w:rPr>
        <w:t>3.</w:t>
      </w:r>
      <w:r>
        <w:rPr>
          <w:lang w:eastAsia="zh-CN"/>
        </w:rPr>
        <w:t>10 through box and whisker representations</w:t>
      </w:r>
      <w:r w:rsidRPr="005E131B">
        <w:rPr>
          <w:lang w:eastAsia="zh-CN"/>
        </w:rPr>
        <w:t>.</w:t>
      </w:r>
      <w:r>
        <w:rPr>
          <w:lang w:eastAsia="zh-CN"/>
        </w:rPr>
        <w:t xml:space="preserve"> Figure </w:t>
      </w:r>
      <w:r w:rsidR="0025792D">
        <w:rPr>
          <w:lang w:eastAsia="zh-CN"/>
        </w:rPr>
        <w:t>3.</w:t>
      </w:r>
      <w:r>
        <w:rPr>
          <w:lang w:eastAsia="zh-CN"/>
        </w:rPr>
        <w:t xml:space="preserve">10 illustrates that, in terms of CC, Mesonet shows the highest correlations in evergreen forest, cultivated crops, and shrub/scrub land cover types but Noah has slightly better CC values (compared to Mesonet) in deciduous forest and pasture/hay land cover types. Inter-quartile variability and ranges are similar across categories for Mesonet and Noah except for Shrub/Scrub class where Noah shows significant, below-the-mean, variability and perhaps outliers. SMAP consistently provides the lowest correlations with the unknown truth in all land cover types. </w:t>
      </w:r>
      <w:r w:rsidRPr="00B21F2C">
        <w:rPr>
          <w:lang w:eastAsia="zh-CN"/>
        </w:rPr>
        <w:t>As for the RMSE</w:t>
      </w:r>
      <w:r>
        <w:rPr>
          <w:lang w:eastAsia="zh-CN"/>
        </w:rPr>
        <w:t xml:space="preserve">, Noah provides lowest mean values and interquartile ranges followed by Mesonet in all land cover types. </w:t>
      </w:r>
    </w:p>
    <w:p w14:paraId="58ADA06D" w14:textId="77777777" w:rsidR="003A067C" w:rsidRDefault="003A067C" w:rsidP="003940D3">
      <w:pPr>
        <w:keepNext/>
        <w:ind w:left="-432"/>
      </w:pPr>
      <w:r>
        <w:rPr>
          <w:noProof/>
        </w:rPr>
        <w:lastRenderedPageBreak/>
        <w:drawing>
          <wp:inline distT="0" distB="0" distL="0" distR="0" wp14:anchorId="2588E86E" wp14:editId="692A73BB">
            <wp:extent cx="5943600" cy="4906643"/>
            <wp:effectExtent l="0" t="0" r="0" b="8255"/>
            <wp:docPr id="19" name="图片 19" descr="图表, 瀑布图,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pic:nvPicPr>
                  <pic:blipFill>
                    <a:blip r:embed="rId70">
                      <a:extLst>
                        <a:ext uri="{28A0092B-C50C-407E-A947-70E740481C1C}">
                          <a14:useLocalDpi xmlns:a14="http://schemas.microsoft.com/office/drawing/2010/main" val="0"/>
                        </a:ext>
                      </a:extLst>
                    </a:blip>
                    <a:stretch>
                      <a:fillRect/>
                    </a:stretch>
                  </pic:blipFill>
                  <pic:spPr>
                    <a:xfrm>
                      <a:off x="0" y="0"/>
                      <a:ext cx="5943600" cy="4906643"/>
                    </a:xfrm>
                    <a:prstGeom prst="rect">
                      <a:avLst/>
                    </a:prstGeom>
                  </pic:spPr>
                </pic:pic>
              </a:graphicData>
            </a:graphic>
          </wp:inline>
        </w:drawing>
      </w:r>
    </w:p>
    <w:p w14:paraId="5064CAA9" w14:textId="42410268" w:rsidR="001C73EF" w:rsidRPr="003A067C" w:rsidRDefault="003A067C" w:rsidP="003A067C">
      <w:pPr>
        <w:pStyle w:val="a3"/>
        <w:ind w:firstLine="0"/>
        <w:rPr>
          <w:b w:val="0"/>
          <w:bCs w:val="0"/>
          <w:lang w:eastAsia="zh-CN"/>
        </w:rPr>
      </w:pPr>
      <w:bookmarkStart w:id="144" w:name="_Toc75360576"/>
      <w:bookmarkStart w:id="145" w:name="_Toc75361844"/>
      <w:bookmarkStart w:id="146" w:name="_Toc75361899"/>
      <w:r>
        <w:t xml:space="preserve">Figure </w:t>
      </w:r>
      <w:r w:rsidR="003F4A69">
        <w:t>3</w:t>
      </w:r>
      <w:r w:rsidR="00764D25">
        <w:t>.</w:t>
      </w:r>
      <w:r>
        <w:fldChar w:fldCharType="begin"/>
      </w:r>
      <w:r>
        <w:instrText>SEQ Figure \* ARABIC \s 1</w:instrText>
      </w:r>
      <w:r>
        <w:fldChar w:fldCharType="separate"/>
      </w:r>
      <w:r w:rsidR="00492676">
        <w:rPr>
          <w:noProof/>
        </w:rPr>
        <w:t>10</w:t>
      </w:r>
      <w:r>
        <w:fldChar w:fldCharType="end"/>
      </w:r>
      <w:r>
        <w:t xml:space="preserve">. </w:t>
      </w:r>
      <w:r w:rsidRPr="003A067C">
        <w:rPr>
          <w:b w:val="0"/>
          <w:bCs w:val="0"/>
        </w:rPr>
        <w:t>Soil moisture product inter-comparison results using the TC method for Mesonet, Noah and SMAP based on (a) CC and (b) RMSE for values at local 6 AM, over nine Oklahoma state representative land cover types (see Table 3) from April 2015 through July 2019.</w:t>
      </w:r>
      <w:bookmarkEnd w:id="144"/>
      <w:bookmarkEnd w:id="145"/>
      <w:bookmarkEnd w:id="146"/>
    </w:p>
    <w:p w14:paraId="5BB73394" w14:textId="56134A55" w:rsidR="00953B95" w:rsidRDefault="00953B95" w:rsidP="00953B95"/>
    <w:p w14:paraId="4262DFCA" w14:textId="29BE81D3" w:rsidR="000F22D1" w:rsidRDefault="000F22D1" w:rsidP="000F22D1">
      <w:pPr>
        <w:rPr>
          <w:rFonts w:eastAsia="Times New Roman"/>
          <w:snapToGrid w:val="0"/>
          <w:lang w:eastAsia="de-DE"/>
        </w:rPr>
      </w:pPr>
      <w:r w:rsidRPr="000F22D1">
        <w:rPr>
          <w:snapToGrid w:val="0"/>
          <w:lang w:eastAsia="zh-CN"/>
        </w:rPr>
        <w:t xml:space="preserve">The seasonal box and whiskers distribution of the CC for each soil moisture product over different land cover types is illustrated in </w:t>
      </w:r>
      <w:r w:rsidRPr="000F22D1">
        <w:rPr>
          <w:rFonts w:eastAsia="Times New Roman"/>
          <w:snapToGrid w:val="0"/>
          <w:lang w:eastAsia="de-DE"/>
        </w:rPr>
        <w:t xml:space="preserve">Figure </w:t>
      </w:r>
      <w:r w:rsidR="0025792D">
        <w:rPr>
          <w:rFonts w:eastAsia="Times New Roman"/>
          <w:snapToGrid w:val="0"/>
          <w:lang w:eastAsia="de-DE"/>
        </w:rPr>
        <w:t>3.</w:t>
      </w:r>
      <w:r w:rsidRPr="000F22D1">
        <w:rPr>
          <w:rFonts w:eastAsia="Times New Roman"/>
          <w:snapToGrid w:val="0"/>
          <w:lang w:eastAsia="de-DE"/>
        </w:rPr>
        <w:t xml:space="preserve">11. During </w:t>
      </w:r>
      <w:r w:rsidR="008A5F95">
        <w:rPr>
          <w:rFonts w:eastAsia="Times New Roman"/>
          <w:snapToGrid w:val="0"/>
          <w:lang w:eastAsia="de-DE"/>
        </w:rPr>
        <w:t>s</w:t>
      </w:r>
      <w:r w:rsidRPr="000F22D1">
        <w:rPr>
          <w:rFonts w:eastAsia="Times New Roman"/>
          <w:snapToGrid w:val="0"/>
          <w:lang w:eastAsia="de-DE"/>
        </w:rPr>
        <w:t xml:space="preserve">pring (Figure </w:t>
      </w:r>
      <w:r w:rsidR="0025792D">
        <w:rPr>
          <w:rFonts w:eastAsia="Times New Roman"/>
          <w:snapToGrid w:val="0"/>
          <w:lang w:eastAsia="de-DE"/>
        </w:rPr>
        <w:t>3.</w:t>
      </w:r>
      <w:r w:rsidRPr="000F22D1">
        <w:rPr>
          <w:rFonts w:eastAsia="Times New Roman"/>
          <w:snapToGrid w:val="0"/>
          <w:lang w:eastAsia="de-DE"/>
        </w:rPr>
        <w:t>11a), Mesonet, followed by Noah have the highest CC</w:t>
      </w:r>
      <w:r w:rsidRPr="000F22D1">
        <w:rPr>
          <w:rFonts w:eastAsia="Times New Roman"/>
          <w:snapToGrid w:val="0"/>
          <w:vertAlign w:val="subscript"/>
          <w:lang w:eastAsia="de-DE"/>
        </w:rPr>
        <w:t>mean</w:t>
      </w:r>
      <w:r w:rsidRPr="000F22D1">
        <w:rPr>
          <w:rFonts w:eastAsia="Times New Roman"/>
          <w:snapToGrid w:val="0"/>
          <w:lang w:eastAsia="de-DE"/>
        </w:rPr>
        <w:t xml:space="preserve"> values over all nine land cover types. SMAP values are consistently lower-than-Mesonet (or Noah) CC</w:t>
      </w:r>
      <w:r w:rsidRPr="000F22D1">
        <w:rPr>
          <w:rFonts w:eastAsia="Times New Roman"/>
          <w:snapToGrid w:val="0"/>
          <w:vertAlign w:val="subscript"/>
          <w:lang w:eastAsia="de-DE"/>
        </w:rPr>
        <w:t>mean</w:t>
      </w:r>
      <w:r w:rsidRPr="000F22D1">
        <w:rPr>
          <w:rFonts w:eastAsia="Times New Roman"/>
          <w:snapToGrid w:val="0"/>
          <w:lang w:eastAsia="de-DE"/>
        </w:rPr>
        <w:t xml:space="preserve"> values over all land cover types except for shrub/scrub. In this land cover type, the interquartile and overall data ranges are greater for Noah CC</w:t>
      </w:r>
      <w:r w:rsidRPr="000F22D1">
        <w:rPr>
          <w:rFonts w:eastAsia="Times New Roman"/>
          <w:snapToGrid w:val="0"/>
          <w:vertAlign w:val="subscript"/>
          <w:lang w:eastAsia="de-DE"/>
        </w:rPr>
        <w:t>mean</w:t>
      </w:r>
      <w:r w:rsidRPr="000F22D1">
        <w:rPr>
          <w:rFonts w:eastAsia="Times New Roman"/>
          <w:snapToGrid w:val="0"/>
          <w:lang w:eastAsia="de-DE"/>
        </w:rPr>
        <w:t xml:space="preserve"> than SMAP. </w:t>
      </w:r>
    </w:p>
    <w:p w14:paraId="0960793C" w14:textId="77777777" w:rsidR="00AD6733" w:rsidRDefault="00AD6733" w:rsidP="00AD6733">
      <w:pPr>
        <w:keepNext/>
      </w:pPr>
      <w:r>
        <w:rPr>
          <w:noProof/>
        </w:rPr>
        <w:lastRenderedPageBreak/>
        <w:drawing>
          <wp:inline distT="0" distB="0" distL="0" distR="0" wp14:anchorId="263B1FF6" wp14:editId="1DB4F860">
            <wp:extent cx="5301614" cy="8229600"/>
            <wp:effectExtent l="0" t="0" r="0" b="0"/>
            <wp:docPr id="20" name="图片 20"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pic:nvPicPr>
                  <pic:blipFill>
                    <a:blip r:embed="rId71">
                      <a:extLst>
                        <a:ext uri="{28A0092B-C50C-407E-A947-70E740481C1C}">
                          <a14:useLocalDpi xmlns:a14="http://schemas.microsoft.com/office/drawing/2010/main" val="0"/>
                        </a:ext>
                      </a:extLst>
                    </a:blip>
                    <a:stretch>
                      <a:fillRect/>
                    </a:stretch>
                  </pic:blipFill>
                  <pic:spPr>
                    <a:xfrm>
                      <a:off x="0" y="0"/>
                      <a:ext cx="5301614" cy="8229600"/>
                    </a:xfrm>
                    <a:prstGeom prst="rect">
                      <a:avLst/>
                    </a:prstGeom>
                  </pic:spPr>
                </pic:pic>
              </a:graphicData>
            </a:graphic>
          </wp:inline>
        </w:drawing>
      </w:r>
    </w:p>
    <w:p w14:paraId="787F234C" w14:textId="291671B4" w:rsidR="002725DF" w:rsidRPr="00AD6733" w:rsidRDefault="00AD6733" w:rsidP="00AD6733">
      <w:pPr>
        <w:pStyle w:val="a3"/>
        <w:ind w:firstLine="0"/>
        <w:rPr>
          <w:rFonts w:eastAsia="Times New Roman"/>
          <w:b w:val="0"/>
          <w:bCs w:val="0"/>
          <w:snapToGrid w:val="0"/>
          <w:lang w:eastAsia="de-DE"/>
        </w:rPr>
      </w:pPr>
      <w:bookmarkStart w:id="147" w:name="_Toc75360577"/>
      <w:bookmarkStart w:id="148" w:name="_Toc75361845"/>
      <w:bookmarkStart w:id="149" w:name="_Toc75361900"/>
      <w:r>
        <w:lastRenderedPageBreak/>
        <w:t xml:space="preserve">Figure </w:t>
      </w:r>
      <w:r w:rsidR="003F4A69">
        <w:t>3</w:t>
      </w:r>
      <w:r w:rsidR="00764D25">
        <w:t>.</w:t>
      </w:r>
      <w:r>
        <w:fldChar w:fldCharType="begin"/>
      </w:r>
      <w:r>
        <w:instrText>SEQ Figure \* ARABIC \s 1</w:instrText>
      </w:r>
      <w:r>
        <w:fldChar w:fldCharType="separate"/>
      </w:r>
      <w:r w:rsidR="00492676">
        <w:rPr>
          <w:noProof/>
        </w:rPr>
        <w:t>11</w:t>
      </w:r>
      <w:r>
        <w:fldChar w:fldCharType="end"/>
      </w:r>
      <w:r>
        <w:t xml:space="preserve">. </w:t>
      </w:r>
      <w:r w:rsidRPr="00AD6733">
        <w:rPr>
          <w:b w:val="0"/>
          <w:bCs w:val="0"/>
        </w:rPr>
        <w:t xml:space="preserve">Mean correlation coefficient (CCmean) between each soil moisture product and the TC-derived “unknown truth” at local 6 AM, over nine Oklahoma state representative land cover types (see Table 3). Results are discretized by season: (a) </w:t>
      </w:r>
      <w:r w:rsidR="008A5F95">
        <w:rPr>
          <w:b w:val="0"/>
          <w:bCs w:val="0"/>
        </w:rPr>
        <w:t>s</w:t>
      </w:r>
      <w:r w:rsidRPr="00AD6733">
        <w:rPr>
          <w:b w:val="0"/>
          <w:bCs w:val="0"/>
        </w:rPr>
        <w:t xml:space="preserve">pring, (b) </w:t>
      </w:r>
      <w:r w:rsidR="008A5F95">
        <w:rPr>
          <w:b w:val="0"/>
          <w:bCs w:val="0"/>
        </w:rPr>
        <w:t>s</w:t>
      </w:r>
      <w:r w:rsidRPr="00AD6733">
        <w:rPr>
          <w:b w:val="0"/>
          <w:bCs w:val="0"/>
        </w:rPr>
        <w:t xml:space="preserve">ummer, (c) </w:t>
      </w:r>
      <w:r w:rsidR="008A5F95">
        <w:rPr>
          <w:b w:val="0"/>
          <w:bCs w:val="0"/>
        </w:rPr>
        <w:t>f</w:t>
      </w:r>
      <w:r w:rsidRPr="00AD6733">
        <w:rPr>
          <w:b w:val="0"/>
          <w:bCs w:val="0"/>
        </w:rPr>
        <w:t xml:space="preserve">all and (d) </w:t>
      </w:r>
      <w:r w:rsidR="008A5F95">
        <w:rPr>
          <w:b w:val="0"/>
          <w:bCs w:val="0"/>
        </w:rPr>
        <w:t>w</w:t>
      </w:r>
      <w:r w:rsidRPr="00AD6733">
        <w:rPr>
          <w:b w:val="0"/>
          <w:bCs w:val="0"/>
        </w:rPr>
        <w:t>inter for the period from April 2015 to July 2019.</w:t>
      </w:r>
      <w:bookmarkEnd w:id="147"/>
      <w:bookmarkEnd w:id="148"/>
      <w:bookmarkEnd w:id="149"/>
    </w:p>
    <w:p w14:paraId="3D177340" w14:textId="27225746" w:rsidR="001336E9" w:rsidRDefault="001336E9" w:rsidP="00953B95"/>
    <w:p w14:paraId="75F81C54" w14:textId="0C8747EF" w:rsidR="00105EF4" w:rsidRPr="00105EF4" w:rsidRDefault="0025792D" w:rsidP="00105EF4">
      <w:pPr>
        <w:rPr>
          <w:rFonts w:eastAsia="DengXian"/>
          <w:snapToGrid w:val="0"/>
          <w:lang w:eastAsia="zh-CN"/>
        </w:rPr>
      </w:pPr>
      <w:r w:rsidRPr="00105EF4">
        <w:rPr>
          <w:snapToGrid w:val="0"/>
          <w:lang w:eastAsia="de-DE"/>
        </w:rPr>
        <w:t>During summer</w:t>
      </w:r>
      <w:r w:rsidR="00105EF4" w:rsidRPr="00105EF4">
        <w:rPr>
          <w:snapToGrid w:val="0"/>
          <w:lang w:eastAsia="de-DE"/>
        </w:rPr>
        <w:t xml:space="preserve"> (Figure </w:t>
      </w:r>
      <w:r>
        <w:rPr>
          <w:snapToGrid w:val="0"/>
          <w:lang w:eastAsia="de-DE"/>
        </w:rPr>
        <w:t>3.</w:t>
      </w:r>
      <w:r w:rsidR="00105EF4" w:rsidRPr="00105EF4">
        <w:rPr>
          <w:snapToGrid w:val="0"/>
          <w:lang w:eastAsia="de-DE"/>
        </w:rPr>
        <w:t xml:space="preserve">11b), Mesonet provides the highest correlations with the TC values in evergreen forest, mixed forest, and shrub/scrub land covers. </w:t>
      </w:r>
      <w:r w:rsidR="00105EF4" w:rsidRPr="00105EF4">
        <w:rPr>
          <w:rFonts w:eastAsia="DengXian"/>
          <w:snapToGrid w:val="0"/>
          <w:lang w:eastAsia="zh-CN"/>
        </w:rPr>
        <w:t>Noah provides similar correlative distributions but</w:t>
      </w:r>
      <w:r w:rsidR="00105EF4" w:rsidRPr="00105EF4">
        <w:rPr>
          <w:snapToGrid w:val="0"/>
          <w:lang w:eastAsia="de-DE"/>
        </w:rPr>
        <w:t xml:space="preserve"> slightly –lower –than Mesonet CC</w:t>
      </w:r>
      <w:r w:rsidR="00105EF4" w:rsidRPr="00105EF4">
        <w:rPr>
          <w:snapToGrid w:val="0"/>
          <w:vertAlign w:val="subscript"/>
          <w:lang w:eastAsia="de-DE"/>
        </w:rPr>
        <w:t>mean</w:t>
      </w:r>
      <w:r w:rsidR="00105EF4" w:rsidRPr="00105EF4">
        <w:rPr>
          <w:snapToGrid w:val="0"/>
          <w:lang w:eastAsia="de-DE"/>
        </w:rPr>
        <w:t xml:space="preserve"> values </w:t>
      </w:r>
      <w:r w:rsidR="00105EF4" w:rsidRPr="00105EF4">
        <w:rPr>
          <w:rFonts w:eastAsia="DengXian"/>
          <w:snapToGrid w:val="0"/>
          <w:lang w:eastAsia="zh-CN"/>
        </w:rPr>
        <w:t>in other land cover types (e.g., open space, grassland, developed, deciduous forest, pasture/hay and cultivated crops). On the other hand, SMAP consistently illustrates lower –than Mesonet (or Noah) CC</w:t>
      </w:r>
      <w:r w:rsidR="00105EF4" w:rsidRPr="00105EF4">
        <w:rPr>
          <w:rFonts w:eastAsia="DengXian"/>
          <w:snapToGrid w:val="0"/>
          <w:vertAlign w:val="subscript"/>
          <w:lang w:eastAsia="zh-CN"/>
        </w:rPr>
        <w:t>mean</w:t>
      </w:r>
      <w:r w:rsidR="00105EF4" w:rsidRPr="00105EF4">
        <w:rPr>
          <w:rFonts w:eastAsia="DengXian"/>
          <w:snapToGrid w:val="0"/>
          <w:lang w:eastAsia="zh-CN"/>
        </w:rPr>
        <w:t xml:space="preserve"> values over all land cover types. During Fall (Figure </w:t>
      </w:r>
      <w:r>
        <w:rPr>
          <w:rFonts w:eastAsia="DengXian"/>
          <w:snapToGrid w:val="0"/>
          <w:lang w:eastAsia="zh-CN"/>
        </w:rPr>
        <w:t>3.</w:t>
      </w:r>
      <w:r w:rsidR="00105EF4" w:rsidRPr="00105EF4">
        <w:rPr>
          <w:rFonts w:eastAsia="DengXian"/>
          <w:snapToGrid w:val="0"/>
          <w:lang w:eastAsia="zh-CN"/>
        </w:rPr>
        <w:t xml:space="preserve">11c), </w:t>
      </w:r>
      <w:r w:rsidR="00105EF4" w:rsidRPr="00105EF4">
        <w:rPr>
          <w:snapToGrid w:val="0"/>
          <w:lang w:eastAsia="de-DE"/>
        </w:rPr>
        <w:t>Mesonet provides the highest correlation values with the unknown TC truth over shrub/scrub, open space, grassland, pasture/hay, and cultivated crops land cover types. Noah has highest CC</w:t>
      </w:r>
      <w:r w:rsidR="00105EF4" w:rsidRPr="00105EF4">
        <w:rPr>
          <w:snapToGrid w:val="0"/>
          <w:vertAlign w:val="subscript"/>
          <w:lang w:eastAsia="de-DE"/>
        </w:rPr>
        <w:t xml:space="preserve">mean </w:t>
      </w:r>
      <w:r w:rsidR="00105EF4" w:rsidRPr="00105EF4">
        <w:rPr>
          <w:snapToGrid w:val="0"/>
          <w:lang w:eastAsia="de-DE"/>
        </w:rPr>
        <w:t>in developed, evergreen forest, deciduous forest, and mixed forest. The CC</w:t>
      </w:r>
      <w:r w:rsidR="00105EF4" w:rsidRPr="00105EF4">
        <w:rPr>
          <w:snapToGrid w:val="0"/>
          <w:vertAlign w:val="subscript"/>
          <w:lang w:eastAsia="de-DE"/>
        </w:rPr>
        <w:t xml:space="preserve">mean </w:t>
      </w:r>
      <w:r w:rsidR="00105EF4" w:rsidRPr="00105EF4">
        <w:rPr>
          <w:snapToGrid w:val="0"/>
          <w:lang w:eastAsia="de-DE"/>
        </w:rPr>
        <w:t xml:space="preserve">values of SMAP are the lowest over all land cover types. Finally, during Winter, Mesonet provides the highest </w:t>
      </w:r>
      <w:r w:rsidR="00105EF4" w:rsidRPr="00105EF4">
        <w:rPr>
          <w:rFonts w:eastAsia="DengXian"/>
          <w:snapToGrid w:val="0"/>
          <w:lang w:eastAsia="zh-CN"/>
        </w:rPr>
        <w:t>CC</w:t>
      </w:r>
      <w:r w:rsidR="00105EF4" w:rsidRPr="00105EF4">
        <w:rPr>
          <w:rFonts w:eastAsia="DengXian"/>
          <w:snapToGrid w:val="0"/>
          <w:vertAlign w:val="subscript"/>
          <w:lang w:eastAsia="zh-CN"/>
        </w:rPr>
        <w:t>mean</w:t>
      </w:r>
      <w:r w:rsidR="00105EF4" w:rsidRPr="00105EF4">
        <w:rPr>
          <w:rFonts w:eastAsia="DengXian"/>
          <w:snapToGrid w:val="0"/>
          <w:lang w:eastAsia="zh-CN"/>
        </w:rPr>
        <w:t xml:space="preserve"> values in all land cover types.</w:t>
      </w:r>
      <w:r w:rsidR="00105EF4" w:rsidRPr="00105EF4">
        <w:rPr>
          <w:snapToGrid w:val="0"/>
          <w:lang w:eastAsia="de-DE"/>
        </w:rPr>
        <w:t xml:space="preserve"> </w:t>
      </w:r>
      <w:r w:rsidR="00105EF4" w:rsidRPr="00105EF4">
        <w:rPr>
          <w:rFonts w:eastAsia="DengXian"/>
          <w:snapToGrid w:val="0"/>
          <w:lang w:eastAsia="zh-CN"/>
        </w:rPr>
        <w:t xml:space="preserve">The seasonal distributions of the RMSE of each soil moisture product over different land cover types are shown in </w:t>
      </w:r>
      <w:r w:rsidR="00105EF4" w:rsidRPr="00105EF4">
        <w:rPr>
          <w:snapToGrid w:val="0"/>
          <w:lang w:eastAsia="de-DE"/>
        </w:rPr>
        <w:t xml:space="preserve">Figure </w:t>
      </w:r>
      <w:r>
        <w:rPr>
          <w:snapToGrid w:val="0"/>
          <w:lang w:eastAsia="de-DE"/>
        </w:rPr>
        <w:t>3.</w:t>
      </w:r>
      <w:r w:rsidR="00105EF4" w:rsidRPr="00105EF4">
        <w:rPr>
          <w:snapToGrid w:val="0"/>
          <w:lang w:eastAsia="de-DE"/>
        </w:rPr>
        <w:t xml:space="preserve">12 (a through d). In </w:t>
      </w:r>
      <w:r w:rsidR="008A5F95">
        <w:rPr>
          <w:snapToGrid w:val="0"/>
          <w:lang w:eastAsia="de-DE"/>
        </w:rPr>
        <w:t>s</w:t>
      </w:r>
      <w:r w:rsidR="00105EF4" w:rsidRPr="00105EF4">
        <w:rPr>
          <w:snapToGrid w:val="0"/>
          <w:lang w:eastAsia="de-DE"/>
        </w:rPr>
        <w:t>pring,</w:t>
      </w:r>
      <w:r w:rsidR="00105EF4" w:rsidRPr="00105EF4">
        <w:rPr>
          <w:rFonts w:eastAsia="DengXian"/>
          <w:snapToGrid w:val="0"/>
          <w:lang w:eastAsia="zh-CN"/>
        </w:rPr>
        <w:t xml:space="preserve"> </w:t>
      </w:r>
      <w:r w:rsidR="008A5F95">
        <w:rPr>
          <w:rFonts w:eastAsia="DengXian"/>
          <w:snapToGrid w:val="0"/>
          <w:lang w:eastAsia="zh-CN"/>
        </w:rPr>
        <w:t>s</w:t>
      </w:r>
      <w:r w:rsidR="00105EF4" w:rsidRPr="00105EF4">
        <w:rPr>
          <w:rFonts w:eastAsia="DengXian"/>
          <w:snapToGrid w:val="0"/>
          <w:lang w:eastAsia="zh-CN"/>
        </w:rPr>
        <w:t xml:space="preserve">ummer, </w:t>
      </w:r>
      <w:r w:rsidR="008A5F95">
        <w:rPr>
          <w:rFonts w:eastAsia="DengXian"/>
          <w:snapToGrid w:val="0"/>
          <w:lang w:eastAsia="zh-CN"/>
        </w:rPr>
        <w:t>f</w:t>
      </w:r>
      <w:r w:rsidR="00105EF4" w:rsidRPr="00105EF4">
        <w:rPr>
          <w:rFonts w:eastAsia="DengXian"/>
          <w:snapToGrid w:val="0"/>
          <w:lang w:eastAsia="zh-CN"/>
        </w:rPr>
        <w:t xml:space="preserve">all and </w:t>
      </w:r>
      <w:r w:rsidR="008A5F95">
        <w:rPr>
          <w:rFonts w:eastAsia="DengXian"/>
          <w:snapToGrid w:val="0"/>
          <w:lang w:eastAsia="zh-CN"/>
        </w:rPr>
        <w:t>w</w:t>
      </w:r>
      <w:r w:rsidR="00105EF4" w:rsidRPr="00105EF4">
        <w:rPr>
          <w:rFonts w:eastAsia="DengXian"/>
          <w:snapToGrid w:val="0"/>
          <w:lang w:eastAsia="zh-CN"/>
        </w:rPr>
        <w:t xml:space="preserve">inter, Noah provides the lowest RMSE values across land cover types, but SMAP, the highest errors, except by </w:t>
      </w:r>
      <w:r w:rsidR="008A5F95">
        <w:rPr>
          <w:rFonts w:eastAsia="DengXian"/>
          <w:snapToGrid w:val="0"/>
          <w:lang w:eastAsia="zh-CN"/>
        </w:rPr>
        <w:t>w</w:t>
      </w:r>
      <w:r w:rsidR="00105EF4" w:rsidRPr="00105EF4">
        <w:rPr>
          <w:rFonts w:eastAsia="DengXian"/>
          <w:snapToGrid w:val="0"/>
          <w:lang w:eastAsia="zh-CN"/>
        </w:rPr>
        <w:t>inter in open space, shrub/scrub, and grassland when the performance is similar to that exhibited by Mesonet.</w:t>
      </w:r>
    </w:p>
    <w:p w14:paraId="4A63B48E" w14:textId="4404D6C7" w:rsidR="00105EF4" w:rsidRPr="00105EF4" w:rsidRDefault="00105EF4" w:rsidP="00105EF4">
      <w:pPr>
        <w:rPr>
          <w:rFonts w:eastAsia="DengXian"/>
          <w:snapToGrid w:val="0"/>
          <w:lang w:eastAsia="zh-CN"/>
        </w:rPr>
      </w:pPr>
      <w:r w:rsidRPr="00105EF4">
        <w:rPr>
          <w:rFonts w:eastAsia="DengXian"/>
          <w:snapToGrid w:val="0"/>
          <w:lang w:eastAsia="zh-CN"/>
        </w:rPr>
        <w:t xml:space="preserve">In summary, the period-integrated TC intercomparison results for Mesonet, Noah, and SMAP over different land cover types (Figure </w:t>
      </w:r>
      <w:r w:rsidR="0025792D">
        <w:rPr>
          <w:rFonts w:eastAsia="DengXian"/>
          <w:snapToGrid w:val="0"/>
          <w:lang w:eastAsia="zh-CN"/>
        </w:rPr>
        <w:t>3.</w:t>
      </w:r>
      <w:r w:rsidRPr="00105EF4">
        <w:rPr>
          <w:rFonts w:eastAsia="DengXian"/>
          <w:snapToGrid w:val="0"/>
          <w:lang w:eastAsia="zh-CN"/>
        </w:rPr>
        <w:t>10) indicate that Noah provided the best performance (with highest averaged CC and lowest averaged RMSE values) over deciduous forest, and pasture/hay land cover types. For the other land cover types, Mesonet has highest mean CC values, while Noah provides lowest averaged RMSE values.</w:t>
      </w:r>
      <w:r w:rsidRPr="00105EF4">
        <w:rPr>
          <w:snapToGrid w:val="0"/>
          <w:lang w:eastAsia="de-DE"/>
        </w:rPr>
        <w:t xml:space="preserve"> SMAP exhibits the poorest performance </w:t>
      </w:r>
      <w:r w:rsidRPr="00105EF4">
        <w:rPr>
          <w:rFonts w:eastAsia="DengXian"/>
          <w:snapToGrid w:val="0"/>
          <w:lang w:eastAsia="zh-CN"/>
        </w:rPr>
        <w:t xml:space="preserve">over all land cover types. The seasonal TC intercomparison results for Mesonet, Noah, and SMAP over </w:t>
      </w:r>
      <w:r w:rsidRPr="00105EF4">
        <w:rPr>
          <w:rFonts w:eastAsia="DengXian"/>
          <w:snapToGrid w:val="0"/>
          <w:lang w:eastAsia="zh-CN"/>
        </w:rPr>
        <w:lastRenderedPageBreak/>
        <w:t xml:space="preserve">different land cover types (Figure </w:t>
      </w:r>
      <w:r w:rsidR="0025792D">
        <w:rPr>
          <w:rFonts w:eastAsia="DengXian"/>
          <w:snapToGrid w:val="0"/>
          <w:lang w:eastAsia="zh-CN"/>
        </w:rPr>
        <w:t>3.</w:t>
      </w:r>
      <w:r w:rsidRPr="00105EF4">
        <w:rPr>
          <w:rFonts w:eastAsia="DengXian"/>
          <w:snapToGrid w:val="0"/>
          <w:lang w:eastAsia="zh-CN"/>
        </w:rPr>
        <w:t xml:space="preserve">11 and </w:t>
      </w:r>
      <w:r w:rsidR="0025792D">
        <w:rPr>
          <w:rFonts w:eastAsia="DengXian"/>
          <w:snapToGrid w:val="0"/>
          <w:lang w:eastAsia="zh-CN"/>
        </w:rPr>
        <w:t>3.</w:t>
      </w:r>
      <w:r w:rsidRPr="00105EF4">
        <w:rPr>
          <w:rFonts w:eastAsia="DengXian"/>
          <w:snapToGrid w:val="0"/>
          <w:lang w:eastAsia="zh-CN"/>
        </w:rPr>
        <w:t xml:space="preserve">12) indicate that </w:t>
      </w:r>
      <w:r w:rsidR="008A5F95">
        <w:rPr>
          <w:rFonts w:eastAsia="DengXian"/>
          <w:snapToGrid w:val="0"/>
          <w:lang w:eastAsia="zh-CN"/>
        </w:rPr>
        <w:t>f</w:t>
      </w:r>
      <w:r w:rsidRPr="00105EF4">
        <w:rPr>
          <w:rFonts w:eastAsia="DengXian"/>
          <w:snapToGrid w:val="0"/>
          <w:lang w:eastAsia="zh-CN"/>
        </w:rPr>
        <w:t>all, Noah provided the best performance (with the highest averaged CC and lowest averaged RMSE values) in developed, evergreen forest, deciduous forest and mixed forest land cover types.</w:t>
      </w:r>
      <w:r w:rsidRPr="00105EF4">
        <w:rPr>
          <w:snapToGrid w:val="0"/>
          <w:lang w:eastAsia="de-DE"/>
        </w:rPr>
        <w:t xml:space="preserve"> In </w:t>
      </w:r>
      <w:r w:rsidR="008A5F95">
        <w:rPr>
          <w:snapToGrid w:val="0"/>
          <w:lang w:eastAsia="de-DE"/>
        </w:rPr>
        <w:t>s</w:t>
      </w:r>
      <w:r w:rsidRPr="00105EF4">
        <w:rPr>
          <w:snapToGrid w:val="0"/>
          <w:lang w:eastAsia="de-DE"/>
        </w:rPr>
        <w:t xml:space="preserve">pring, </w:t>
      </w:r>
      <w:r w:rsidR="008A5F95">
        <w:rPr>
          <w:snapToGrid w:val="0"/>
          <w:lang w:eastAsia="de-DE"/>
        </w:rPr>
        <w:t>s</w:t>
      </w:r>
      <w:r w:rsidRPr="00105EF4">
        <w:rPr>
          <w:snapToGrid w:val="0"/>
          <w:lang w:eastAsia="de-DE"/>
        </w:rPr>
        <w:t xml:space="preserve">ummer and </w:t>
      </w:r>
      <w:r w:rsidR="008A5F95">
        <w:rPr>
          <w:snapToGrid w:val="0"/>
          <w:lang w:eastAsia="de-DE"/>
        </w:rPr>
        <w:t>w</w:t>
      </w:r>
      <w:r w:rsidRPr="00105EF4">
        <w:rPr>
          <w:snapToGrid w:val="0"/>
          <w:lang w:eastAsia="de-DE"/>
        </w:rPr>
        <w:t xml:space="preserve">inter, </w:t>
      </w:r>
      <w:r w:rsidRPr="00105EF4">
        <w:rPr>
          <w:rFonts w:eastAsia="DengXian"/>
          <w:snapToGrid w:val="0"/>
          <w:lang w:eastAsia="zh-CN"/>
        </w:rPr>
        <w:t>Mesonet reaches the highest mean CC values, while Noah provides lowest averaged RMSE values over all land cover types.</w:t>
      </w:r>
      <w:r w:rsidRPr="00105EF4">
        <w:rPr>
          <w:snapToGrid w:val="0"/>
          <w:lang w:eastAsia="de-DE"/>
        </w:rPr>
        <w:t xml:space="preserve"> SMAP exhibits the least desirable performance over all land cover types across all seasons. In addition, the larger inter-quartile ranges presented by Noah for the period-integrated assessment for Shrub/Scrub (Figure </w:t>
      </w:r>
      <w:r w:rsidR="0025792D">
        <w:rPr>
          <w:snapToGrid w:val="0"/>
          <w:lang w:eastAsia="de-DE"/>
        </w:rPr>
        <w:t>3.</w:t>
      </w:r>
      <w:r w:rsidRPr="00105EF4">
        <w:rPr>
          <w:snapToGrid w:val="0"/>
          <w:lang w:eastAsia="de-DE"/>
        </w:rPr>
        <w:t xml:space="preserve">10) seem to be induced by large correlation variability during the Spring and Winter seasons (Figure </w:t>
      </w:r>
      <w:r w:rsidR="0025792D">
        <w:rPr>
          <w:snapToGrid w:val="0"/>
          <w:lang w:eastAsia="de-DE"/>
        </w:rPr>
        <w:t>3.</w:t>
      </w:r>
      <w:r w:rsidRPr="00105EF4">
        <w:rPr>
          <w:snapToGrid w:val="0"/>
          <w:lang w:eastAsia="de-DE"/>
        </w:rPr>
        <w:t>11a and d). On the other hand, SMAP illustrates lower than Mesonet (or Noah) CC</w:t>
      </w:r>
      <w:r w:rsidRPr="00105EF4">
        <w:rPr>
          <w:snapToGrid w:val="0"/>
          <w:vertAlign w:val="subscript"/>
          <w:lang w:eastAsia="de-DE"/>
        </w:rPr>
        <w:t>mean</w:t>
      </w:r>
      <w:r w:rsidRPr="00105EF4">
        <w:rPr>
          <w:snapToGrid w:val="0"/>
          <w:lang w:eastAsia="de-DE"/>
        </w:rPr>
        <w:t xml:space="preserve"> values specially during </w:t>
      </w:r>
      <w:r w:rsidR="008A5F95">
        <w:rPr>
          <w:snapToGrid w:val="0"/>
          <w:lang w:eastAsia="de-DE"/>
        </w:rPr>
        <w:t>s</w:t>
      </w:r>
      <w:r w:rsidRPr="00105EF4">
        <w:rPr>
          <w:snapToGrid w:val="0"/>
          <w:lang w:eastAsia="de-DE"/>
        </w:rPr>
        <w:t xml:space="preserve">pring, </w:t>
      </w:r>
      <w:r w:rsidR="008A5F95">
        <w:rPr>
          <w:snapToGrid w:val="0"/>
          <w:lang w:eastAsia="de-DE"/>
        </w:rPr>
        <w:t>s</w:t>
      </w:r>
      <w:r w:rsidRPr="00105EF4">
        <w:rPr>
          <w:snapToGrid w:val="0"/>
          <w:lang w:eastAsia="de-DE"/>
        </w:rPr>
        <w:t xml:space="preserve">ummer and </w:t>
      </w:r>
      <w:r w:rsidR="008A5F95">
        <w:rPr>
          <w:snapToGrid w:val="0"/>
          <w:lang w:eastAsia="de-DE"/>
        </w:rPr>
        <w:t>f</w:t>
      </w:r>
      <w:r w:rsidRPr="00105EF4">
        <w:rPr>
          <w:snapToGrid w:val="0"/>
          <w:lang w:eastAsia="de-DE"/>
        </w:rPr>
        <w:t>all that explain the low period-integrated values.</w:t>
      </w:r>
    </w:p>
    <w:p w14:paraId="1BEA4CC1" w14:textId="77777777" w:rsidR="004145FF" w:rsidRDefault="00025638" w:rsidP="00A875A7">
      <w:pPr>
        <w:keepNext/>
        <w:ind w:left="288"/>
      </w:pPr>
      <w:r>
        <w:rPr>
          <w:noProof/>
        </w:rPr>
        <w:lastRenderedPageBreak/>
        <w:drawing>
          <wp:inline distT="0" distB="0" distL="0" distR="0" wp14:anchorId="0BEAF756" wp14:editId="3C701AB2">
            <wp:extent cx="5141594" cy="8229600"/>
            <wp:effectExtent l="0" t="0" r="1905" b="0"/>
            <wp:docPr id="21" name="图片 21"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pic:nvPicPr>
                  <pic:blipFill>
                    <a:blip r:embed="rId72">
                      <a:extLst>
                        <a:ext uri="{28A0092B-C50C-407E-A947-70E740481C1C}">
                          <a14:useLocalDpi xmlns:a14="http://schemas.microsoft.com/office/drawing/2010/main" val="0"/>
                        </a:ext>
                      </a:extLst>
                    </a:blip>
                    <a:stretch>
                      <a:fillRect/>
                    </a:stretch>
                  </pic:blipFill>
                  <pic:spPr>
                    <a:xfrm>
                      <a:off x="0" y="0"/>
                      <a:ext cx="5141594" cy="8229600"/>
                    </a:xfrm>
                    <a:prstGeom prst="rect">
                      <a:avLst/>
                    </a:prstGeom>
                  </pic:spPr>
                </pic:pic>
              </a:graphicData>
            </a:graphic>
          </wp:inline>
        </w:drawing>
      </w:r>
    </w:p>
    <w:p w14:paraId="3B50D83C" w14:textId="47ECA7A3" w:rsidR="004145FF" w:rsidRDefault="004145FF" w:rsidP="00904E52">
      <w:pPr>
        <w:pStyle w:val="a3"/>
        <w:ind w:firstLine="0"/>
        <w:rPr>
          <w:b w:val="0"/>
          <w:bCs w:val="0"/>
        </w:rPr>
      </w:pPr>
      <w:bookmarkStart w:id="150" w:name="_Toc75360578"/>
      <w:bookmarkStart w:id="151" w:name="_Toc75361846"/>
      <w:bookmarkStart w:id="152" w:name="_Toc75361901"/>
      <w:r>
        <w:lastRenderedPageBreak/>
        <w:t xml:space="preserve">Figure </w:t>
      </w:r>
      <w:r w:rsidR="003F4A69">
        <w:t>3</w:t>
      </w:r>
      <w:r w:rsidR="00764D25">
        <w:t>.</w:t>
      </w:r>
      <w:r>
        <w:fldChar w:fldCharType="begin"/>
      </w:r>
      <w:r>
        <w:instrText>SEQ Figure \* ARABIC \s 1</w:instrText>
      </w:r>
      <w:r>
        <w:fldChar w:fldCharType="separate"/>
      </w:r>
      <w:r w:rsidR="00492676">
        <w:rPr>
          <w:noProof/>
        </w:rPr>
        <w:t>12</w:t>
      </w:r>
      <w:r>
        <w:fldChar w:fldCharType="end"/>
      </w:r>
      <w:r>
        <w:t xml:space="preserve">. </w:t>
      </w:r>
      <w:r w:rsidR="00F0118D" w:rsidRPr="00F0118D">
        <w:rPr>
          <w:b w:val="0"/>
          <w:bCs w:val="0"/>
        </w:rPr>
        <w:t xml:space="preserve">Mean RMSE between each soil moisture product and the TC-derived “unknown truth” at local 6 AM, over nine Oklahoma state representative land cover types (see Table 3). Results are discretized by season: (a) </w:t>
      </w:r>
      <w:r w:rsidR="008A5F95">
        <w:rPr>
          <w:b w:val="0"/>
          <w:bCs w:val="0"/>
        </w:rPr>
        <w:t>s</w:t>
      </w:r>
      <w:r w:rsidR="00F0118D" w:rsidRPr="00F0118D">
        <w:rPr>
          <w:b w:val="0"/>
          <w:bCs w:val="0"/>
        </w:rPr>
        <w:t xml:space="preserve">pring, (b) </w:t>
      </w:r>
      <w:r w:rsidR="008A5F95">
        <w:rPr>
          <w:b w:val="0"/>
          <w:bCs w:val="0"/>
        </w:rPr>
        <w:t>s</w:t>
      </w:r>
      <w:r w:rsidR="00F0118D" w:rsidRPr="00F0118D">
        <w:rPr>
          <w:b w:val="0"/>
          <w:bCs w:val="0"/>
        </w:rPr>
        <w:t xml:space="preserve">ummer, (c) </w:t>
      </w:r>
      <w:r w:rsidR="008A5F95">
        <w:rPr>
          <w:b w:val="0"/>
          <w:bCs w:val="0"/>
        </w:rPr>
        <w:t>f</w:t>
      </w:r>
      <w:r w:rsidR="00F0118D" w:rsidRPr="00F0118D">
        <w:rPr>
          <w:b w:val="0"/>
          <w:bCs w:val="0"/>
        </w:rPr>
        <w:t xml:space="preserve">all and (d) </w:t>
      </w:r>
      <w:r w:rsidR="008A5F95">
        <w:rPr>
          <w:b w:val="0"/>
          <w:bCs w:val="0"/>
        </w:rPr>
        <w:t>w</w:t>
      </w:r>
      <w:r w:rsidR="00F0118D" w:rsidRPr="00F0118D">
        <w:rPr>
          <w:b w:val="0"/>
          <w:bCs w:val="0"/>
        </w:rPr>
        <w:t>inter for the period from April 2015 to July 2019.</w:t>
      </w:r>
      <w:bookmarkEnd w:id="150"/>
      <w:bookmarkEnd w:id="151"/>
      <w:bookmarkEnd w:id="152"/>
    </w:p>
    <w:p w14:paraId="02C0568E" w14:textId="77777777" w:rsidR="00904E52" w:rsidRPr="00904E52" w:rsidRDefault="00904E52" w:rsidP="00904E52"/>
    <w:p w14:paraId="18B0E03F" w14:textId="27C52D86" w:rsidR="004145FF" w:rsidRDefault="00904E52" w:rsidP="00904E52">
      <w:pPr>
        <w:pStyle w:val="2"/>
      </w:pPr>
      <w:bookmarkStart w:id="153" w:name="_Toc75939858"/>
      <w:r>
        <w:t xml:space="preserve">3.5 </w:t>
      </w:r>
      <w:r w:rsidRPr="00904E52">
        <w:t>Discussion</w:t>
      </w:r>
      <w:bookmarkEnd w:id="153"/>
    </w:p>
    <w:p w14:paraId="040FA75E" w14:textId="40F43C83" w:rsidR="009A1C4F" w:rsidRDefault="5E4FB5CC" w:rsidP="009A1C4F">
      <w:r>
        <w:t xml:space="preserve">Soil moisture plays a critical role in the climate system and the hydrological cycle </w:t>
      </w:r>
      <w:r w:rsidR="009A1C4F">
        <w:fldChar w:fldCharType="begin"/>
      </w:r>
      <w:r w:rsidR="009A1C4F">
        <w:instrText xml:space="preserve"> ADDIN ZOTERO_ITEM CSL_CITATION {"citationID":"atKWASjp","properties":{"formattedCitation":"(Dingman, 2015; Seneviratne et al., 2010)","plainCitation":"(Dingman, 2015; Seneviratne et al., 2010)","noteIndex":0},"citationItems":[{"id":105,"uris":["http://zotero.org/users/7782726/items/4TS8A6DL"],"uri":["http://zotero.org/users/7782726/items/4TS8A6DL"],"itemData":{"id":105,"type":"book","abstract":"For twenty years, Lawrence  Dingman’s well-written, comprehensive Physical Hydrology has set  standards for balancing theoretical depth and breadth of applications.  Rich in substance and written to meet the needs of future researchers  and experts in the field, Dingman treats hydrology as a distinct  geoscience that is continually expanding to deal with large-scale  changes in land use and climate. The third edition provides a solid  conceptual basis of the subject and introduces the quantitative  relations involved in answering scientific and management questions  about water resources. The text is organized around three principal  themes: the basic concepts underlying the science of hydrology; the  exchange of water and energy between the atmosphere and the earth’s  surface; and the land phase of the hydrologic cycle. Dingman supplies  the basic physical principles necessary for developing a sound,  instructive sense of the way in which water moves on and through the  land; in addition, he describes the assumptions behind each analytical  approach and identifies the limitations of each.","ISBN":"978-1-4786-2807-1","language":"en","note":"Google-Books-ID: rUUaBgAAQBAJ","number-of-pages":"657","publisher":"Waveland Press","source":"Google Books","title":"Physical Hydrology: Third Edition","title-short":"Physical Hydrology","author":[{"family":"Dingman","given":"S. Lawrence"}],"issued":{"date-parts":[["2015",1,9]]}}},{"id":103,"uris":["http://zotero.org/users/7782726/items/XJ25NP9P"],"uri":["http://zotero.org/users/7782726/items/XJ25NP9P"],"itemData":{"id":103,"type":"article-journal","abstract":"Soil moisture is a key variable of the climate system. It constrains plant transpiration and photosynthesis in several regions of the world, with consequent impacts on the water, energy and biogeochemical cycles. Moreover it is a storage component for precipitation and radiation anomalies, inducing persistence in the climate system. Finally, it is involved in a number of feedbacks at the local, regional and global scales, and plays a major role in climate-change projections. In this review, we provide a synthesis of past research on the role of soil moisture for the climate system, based both on modelling and observational studies. We focus on soil moisture–temperature and soil moisture–precipitation feedbacks, and their possible modifications with climate change. We also highlight further impacts of soil moisture on climate, and the state of research regarding the validation of the relevant processes. There are promises for major advances in this research field in coming years thanks to the development of new validation datasets and multi-model initiatives. However, the availability of ground observations continues to be critical in limiting progress and should therefore strongly be fostered at the international level. Exchanges across disciplines will also be essential for bridging current knowledge gaps in this field. This is of key importance given the manifold impacts of soil moisture on climate, and their relevance for climate-change projections. A better understanding and quantification of the relevant processes would significantly help to reduce uncertainties in future-climate scenarios, in particular with regard to changes in climate variability and extreme events, as well as ecosystem and agricultural impacts.","container-title":"Earth-Science Reviews","DOI":"10.1016/j.earscirev.2010.02.004","ISSN":"0012-8252","issue":"3","journalAbbreviation":"Earth-Science Reviews","language":"en","page":"125-161","source":"ScienceDirect","title":"Investigating soil moisture–climate interactions in a changing climate: A review","title-short":"Investigating soil moisture–climate interactions in a changing climate","volume":"99","author":[{"family":"Seneviratne","given":"Sonia I."},{"family":"Corti","given":"Thierry"},{"family":"Davin","given":"Edouard L."},{"family":"Hirschi","given":"Martin"},{"family":"Jaeger","given":"Eric B."},{"family":"Lehner","given":"Irene"},{"family":"Orlowsky","given":"Boris"},{"family":"Teuling","given":"Adriaan J."}],"issued":{"date-parts":[["2010",5,1]]}}}],"schema":"https://github.com/citation-style-language/schema/raw/master/csl-citation.json"} </w:instrText>
      </w:r>
      <w:r w:rsidR="009A1C4F">
        <w:fldChar w:fldCharType="separate"/>
      </w:r>
      <w:r>
        <w:t>(Dingman, 2015; Seneviratne et al., 2010)</w:t>
      </w:r>
      <w:r w:rsidR="009A1C4F">
        <w:fldChar w:fldCharType="end"/>
      </w:r>
      <w:r>
        <w:t xml:space="preserve">. However, all three main soil moisture measurements are subject to representativeness inadequacies over various land cover types, and correct interpretation and application of their products requires an in-depth understanding of their accuracy. Although triple collocation analysis has been widely used in the validation of the satellite-based and modeled soil moisture retrievals in recent years </w:t>
      </w:r>
      <w:r w:rsidR="009A1C4F">
        <w:fldChar w:fldCharType="begin"/>
      </w:r>
      <w:r w:rsidR="009A1C4F">
        <w:instrText xml:space="preserve"> ADDIN ZOTERO_ITEM CSL_CITATION {"citationID":"eRQEmInC","properties":{"formattedCitation":"(F. Chen et al., 2016, 2018; Wu et al., 2020; Xu et al., 2021)","plainCitation":"(F. Chen et al., 2016, 2018; Wu et al., 2020; Xu et al., 2021)","dontUpdate":true,"noteIndex":0},"citationItems":[{"id":159,"uris":["http://zotero.org/users/7782726/items/AXWCQKWV"],"uri":["http://zotero.org/users/7782726/items/AXWCQKWV"],"itemData":{"id":159,"type":"article-journal","container-title":"IEEE Journal of Selected Topics in Applied Earth Observations and Remote Sensing","issue":"2","note":"ISBN: 1939-1404\npublisher: IEEE","page":"489-502","title":"Application of triple collocation in ground-based validation of Soil Moisture Active/Passive (SMAP) level 2 data products","volume":"10","author":[{"family":"Chen","given":"Fan"},{"family":"Crow","given":"Wade T."},{"family":"Colliander","given":"Andreas"},{"family":"Cosh","given":"Michael H."},{"family":"Jackson","given":"Thomas J."},{"family":"Bindlish","given":"Rajat"},{"family":"Reichle","given":"Rolf H."},{"family":"Chan","given":"Steven K."},{"family":"Bosch","given":"David D."},{"family":"Starks","given":"Patrick J."}],"issued":{"date-parts":[["2016"]]}}},{"id":13,"uris":["http://zotero.org/users/7782726/items/7ZJ637EZ"],"uri":["http://zotero.org/users/7782726/items/7ZJ637EZ"],"itemData":{"id":13,"type":"article-journal","abstract":"Global-scale surface soil moisture products are currently available from multiple remote sensing platforms. Footprint-scale assessments of these products are generally restricted to limited number of densely-instrumented validation sites. However, by taking active and passive soil moisture products together with a third independent soil moisture estimates via land surface modeling, triple collocation (TC) can be applied to estimate the correlation metric of satellite soil moisture products (versus an unknown ground truth) over a quasi-global domain. Here, an assessment of Soil Moisture Active Passive (SMAP), Soil Moisture Ocean Salinity (SMOS) and Advanced SCATterometer (ASCAT) surface soil moisture retrievals via TC is presented. Considering the potential violation of TC error assumptions, the impact of active-passive and satellite-model error cross correlations on the TC-derived inter-comparison results is examined at in situ sites using quadruple collocation analysis. In addition, confidence intervals for the TC-estimated correlation metric are constructed from moving-block bootstrap sampling designed to preserve the temporal persistence of the original (unevenly-sampled) soil moisture time-series. This study is the first to apply TC to obtain a robust global-scale cross-assessment of SMAP, SMOS and ASCAT soil moisture retrieval accuracy in terms of anomaly temporal correlation. Our results confirm the overall advantage of SMAP (with a global average anomaly correlation of 0.76) over SMOS (0.66) and ASCAT (0.63) that has been established in several recent regional, ground-based studies. SMAP is also the best-performing product over the majority of applicable land pixels (52%), although SMOS and ASCAT each shows advantage in distinct geographic regions.","container-title":"Remote Sensing of Environment","DOI":"10.1016/j.rse.2018.05.008","ISSN":"0034-4257","journalAbbreviation":"Remote Sensing of Environment","page":"1-13","title":"Global-scale evaluation of SMAP, SMOS and ASCAT soil moisture products using triple collocation","volume":"214","author":[{"family":"Chen","given":"Fan"},{"family":"Crow","given":"Wade T."},{"family":"Bindlish","given":"Rajat"},{"family":"Colliander","given":"Andreas"},{"family":"Burgin","given":"Mariko S."},{"family":"Asanuma","given":"Jun"},{"family":"Aida","given":"Kentaro"}],"issued":{"date-parts":[["2018",9,1]]}}},{"id":160,"uris":["http://zotero.org/users/7782726/items/6P9U8FU8"],"uri":["http://zotero.org/users/7782726/items/6P9U8FU8"],"itemData":{"id":160,"type":"article-journal","container-title":"Remote Sensing of Environment","note":"ISBN: 0034-4257\npublisher: Elsevier","page":"112248","title":"In-situ and triple-collocation based evaluations of eight global root zone soil moisture products","volume":"254","author":[{"family":"Xu","given":"Lei"},{"family":"Chen","given":"Nengcheng"},{"family":"Zhang","given":"Xiang"},{"family":"Moradkhani","given":"Hamid"},{"family":"Zhang","given":"Chong"},{"family":"Hu","given":"Chuli"}],"issued":{"date-parts":[["2021"]]}}},{"id":14,"uris":["http://zotero.org/users/7782726/items/F4XAQZFI"],"uri":["http://zotero.org/users/7782726/items/F4XAQZFI"],"itemData":{"id":14,"type":"article-journal","abstract":"With the increasing utilization of satellite-based soil moisture products, a primary challenge is knowing their accuracy and robustness. This study presents a comprehensive assessment over China of three widely used global satellite soil moisture products, i.e., Soil Moisture Active Passive (SMAP), European Space Agency (ESA) Climate Change Initiative (CCI) Soil Moisture, Soil Moisture and Ocean Salinity (SMOS). In situ soil moisture from 1682 stations and Variable Infiltration Capacity (VIC) model are used to evaluate the performance of SMAP_L3, ESA_CCI_SM_COMBINED, SMOS_CATDS_L3 from 31 March 2015 to 3 June 2018. The Triple Collocation (TC) approach is used to minimize the uncertainty (e.g., scale issue) during the validation process. The TC analysis is conducted using three triplets, i.e., [SMAP-Insitu-VIC], [CCI-Insitu-VIC], [SMOS-Insitu-VIC]. In general, SMAP is the most reliable product, reflecting the main spatiotemporal characteristics of soil moisture, while SMOS has the lowest accuracy. The results demonstrate that the overall root mean square error of SMAP, CCI, SMOS is 0.040, 0.028, 0.107 m3m&amp;minus;3, respectively. The overall temporal correlation coefficient of SMAP, CCI, SMOS is 0.68, 0.65, 0.38, respectively. The overall fractional root mean square error of SMAP, CCI, SMOS is 0.707, 0.750, 0.897, respectively. In irrigated areas, the accuracy of CCI is reduced due to the land surface model (which does not consider irrigation) used for the rescaling of the CCI_COMBINED soil moisture product during the merging process, while SMAP and SMOS preserve the irrigation signal. The quality of SMOS is most strongly impacted by land surface temperature, vegetation, and soil texture, while the quality of CCI is the least affected by these factors. With the increase of Radio Frequency Interference, the accuracy of SMOS decreases dramatically, followed by SMAP and CCI. Higher representativeness error of in situ stations is noted in regions with higher topographic complexity. This study helps to provide a guideline for the application of satellite soil moisture products in scientific research and gives some references (e.g., modify data algorithm according to the main error sources) for improving the data quality.","container-title":"Remote Sensing","DOI":"10.3390/rs12142275","issue":"14","language":"en","note":"number: 14\npublisher: Multidisciplinary Digital Publishing Institute","page":"2275","source":"www.mdpi.com","title":"Triple Collocation-Based Assessment of Satellite Soil Moisture Products with In Situ Measurements in China: Understanding the Error Sources","title-short":"Triple Collocation-Based Assessment of Satellite Soil Moisture Products with In Situ Measurements in China","volume":"12","author":[{"family":"Wu","given":"Xiaotao"},{"family":"Lu","given":"Guihua"},{"family":"Wu","given":"Zhiyong"},{"family":"He","given":"Hai"},{"family":"Scanlon","given":"Tracy"},{"family":"Dorigo","given":"Wouter"}],"issued":{"date-parts":[["2020",1]]}}}],"schema":"https://github.com/citation-style-language/schema/raw/master/csl-citation.json"} </w:instrText>
      </w:r>
      <w:r w:rsidR="009A1C4F">
        <w:fldChar w:fldCharType="separate"/>
      </w:r>
      <w:r>
        <w:t>(Chen et al., 2016, 2018; Wu et al., 2020; Xu et al., 2021),</w:t>
      </w:r>
      <w:r w:rsidR="009A1C4F">
        <w:fldChar w:fldCharType="end"/>
      </w:r>
      <w:r>
        <w:t xml:space="preserve"> here are several knowledge gaps that still exist, including: (1) of the lack of evaluation of in-situ soil moisture products as previous studies mainly focus on the evaluation of modeled and satellite-based soil moisture, rather than assessment of all three sources (modeled, remote sensing and in-situ) together; (2) There is no comprehensive evaluation of different soil moisture products at the seasonal scale and; (3) The impact of land cover on the data quality or the representativeness of each product is not often analyzed. This paper addresses all three of these knowledge gaps by conducting a comprehensive assessment of the Satellite SMAP_L3, Land Surface NOAH Model, and the interpolated Mesonet soil moisture products across Oklahoma at daily and seasonal timescales using the TC method evaluated over different land cover types during more than 4 consecutive years.</w:t>
      </w:r>
    </w:p>
    <w:p w14:paraId="67946DA7" w14:textId="1F64FA8F" w:rsidR="009A1C4F" w:rsidRDefault="009A1C4F" w:rsidP="009A1C4F">
      <w:r>
        <w:rPr>
          <w:rFonts w:eastAsia="DengXian"/>
          <w:lang w:eastAsia="zh-CN"/>
        </w:rPr>
        <w:t>T</w:t>
      </w:r>
      <w:r w:rsidRPr="006539E0">
        <w:rPr>
          <w:rFonts w:eastAsia="DengXian"/>
          <w:lang w:eastAsia="zh-CN"/>
        </w:rPr>
        <w:t xml:space="preserve">he </w:t>
      </w:r>
      <w:r>
        <w:rPr>
          <w:rFonts w:eastAsia="DengXian"/>
          <w:lang w:eastAsia="zh-CN"/>
        </w:rPr>
        <w:t xml:space="preserve">period-integrated </w:t>
      </w:r>
      <w:r w:rsidRPr="006539E0">
        <w:rPr>
          <w:rFonts w:eastAsia="DengXian"/>
          <w:lang w:eastAsia="zh-CN"/>
        </w:rPr>
        <w:t xml:space="preserve">TC </w:t>
      </w:r>
      <w:r>
        <w:rPr>
          <w:rFonts w:eastAsia="DengXian"/>
          <w:lang w:eastAsia="zh-CN"/>
        </w:rPr>
        <w:t>intercomparison</w:t>
      </w:r>
      <w:r w:rsidRPr="006539E0">
        <w:rPr>
          <w:rFonts w:eastAsia="DengXian"/>
          <w:lang w:eastAsia="zh-CN"/>
        </w:rPr>
        <w:t xml:space="preserve"> results</w:t>
      </w:r>
      <w:r>
        <w:rPr>
          <w:rFonts w:eastAsia="DengXian"/>
          <w:lang w:eastAsia="zh-CN"/>
        </w:rPr>
        <w:t xml:space="preserve"> for Mesonet, Noah, and SMAP </w:t>
      </w:r>
      <w:r w:rsidRPr="006539E0">
        <w:rPr>
          <w:rFonts w:eastAsia="DengXian"/>
          <w:lang w:eastAsia="zh-CN"/>
        </w:rPr>
        <w:t xml:space="preserve">over </w:t>
      </w:r>
      <w:r>
        <w:rPr>
          <w:rFonts w:eastAsia="DengXian"/>
          <w:lang w:eastAsia="zh-CN"/>
        </w:rPr>
        <w:t xml:space="preserve">nine Oklahoma state climate divisions indicate that Noah provided the best performance </w:t>
      </w:r>
      <w:r w:rsidRPr="009F72DC">
        <w:rPr>
          <w:rFonts w:eastAsia="DengXian"/>
          <w:lang w:eastAsia="zh-CN"/>
        </w:rPr>
        <w:t xml:space="preserve">in </w:t>
      </w:r>
      <w:r>
        <w:rPr>
          <w:rFonts w:eastAsia="DengXian"/>
          <w:lang w:eastAsia="zh-CN"/>
        </w:rPr>
        <w:t xml:space="preserve">the </w:t>
      </w:r>
      <w:r w:rsidRPr="009F72DC">
        <w:rPr>
          <w:rFonts w:eastAsia="DengXian"/>
          <w:lang w:eastAsia="zh-CN"/>
        </w:rPr>
        <w:t>Central, Northeast, and East Central</w:t>
      </w:r>
      <w:r>
        <w:rPr>
          <w:rFonts w:eastAsia="DengXian"/>
          <w:lang w:eastAsia="zh-CN"/>
        </w:rPr>
        <w:t xml:space="preserve"> regions</w:t>
      </w:r>
      <w:r w:rsidRPr="009F72DC">
        <w:rPr>
          <w:rFonts w:eastAsia="DengXian"/>
          <w:lang w:eastAsia="zh-CN"/>
        </w:rPr>
        <w:t>.</w:t>
      </w:r>
      <w:r>
        <w:rPr>
          <w:rFonts w:eastAsia="DengXian"/>
          <w:lang w:eastAsia="zh-CN"/>
        </w:rPr>
        <w:t xml:space="preserve"> The same pattern is found in the seasonal </w:t>
      </w:r>
      <w:r w:rsidRPr="006539E0">
        <w:rPr>
          <w:rFonts w:eastAsia="DengXian"/>
          <w:lang w:eastAsia="zh-CN"/>
        </w:rPr>
        <w:t xml:space="preserve">TC </w:t>
      </w:r>
      <w:r>
        <w:rPr>
          <w:rFonts w:eastAsia="DengXian"/>
          <w:lang w:eastAsia="zh-CN"/>
        </w:rPr>
        <w:t xml:space="preserve">intercomparison </w:t>
      </w:r>
      <w:r>
        <w:rPr>
          <w:rFonts w:eastAsia="DengXian"/>
          <w:lang w:eastAsia="zh-CN"/>
        </w:rPr>
        <w:lastRenderedPageBreak/>
        <w:t xml:space="preserve">results during the Fall season. This suggests that it might be inappropriate to regard Mesonet measurements as the benchmark in the Central, Northeast, and East Central regions of Oklahoma. The reason why Noah has better quality and representativeness in these regions are: (1) </w:t>
      </w:r>
      <w:r w:rsidRPr="000B7D1F">
        <w:rPr>
          <w:rFonts w:eastAsia="DengXian"/>
          <w:lang w:eastAsia="zh-CN"/>
        </w:rPr>
        <w:t>the Oklahoma Mesonet site standards</w:t>
      </w:r>
      <w:r>
        <w:rPr>
          <w:rFonts w:eastAsia="DengXian"/>
          <w:lang w:eastAsia="zh-CN"/>
        </w:rPr>
        <w:t xml:space="preserve"> require the sites to be far away from </w:t>
      </w:r>
      <w:r w:rsidRPr="000B7D1F">
        <w:rPr>
          <w:rFonts w:eastAsia="DengXian"/>
          <w:lang w:eastAsia="zh-CN"/>
        </w:rPr>
        <w:t xml:space="preserve">urban landscapes, irrigation, forest, bare soil, fast growing vegetation, and large bodies of water </w:t>
      </w:r>
      <w:r>
        <w:rPr>
          <w:rFonts w:eastAsia="DengXian"/>
          <w:lang w:eastAsia="zh-CN"/>
        </w:rPr>
        <w:t xml:space="preserve">to </w:t>
      </w:r>
      <w:r w:rsidRPr="000B7D1F">
        <w:rPr>
          <w:rFonts w:eastAsia="DengXian"/>
          <w:lang w:eastAsia="zh-CN"/>
        </w:rPr>
        <w:t>minimize th</w:t>
      </w:r>
      <w:r>
        <w:rPr>
          <w:rFonts w:eastAsia="DengXian"/>
          <w:lang w:eastAsia="zh-CN"/>
        </w:rPr>
        <w:t>ose influences</w:t>
      </w:r>
      <w:r>
        <w:rPr>
          <w:rFonts w:eastAsia="DengXian"/>
          <w:noProof/>
          <w:lang w:eastAsia="zh-CN"/>
        </w:rPr>
        <w:t xml:space="preserve"> </w:t>
      </w:r>
      <w:r>
        <w:rPr>
          <w:rFonts w:eastAsia="DengXian"/>
          <w:noProof/>
          <w:lang w:eastAsia="zh-CN"/>
        </w:rPr>
        <w:fldChar w:fldCharType="begin"/>
      </w:r>
      <w:r w:rsidR="00775C01">
        <w:rPr>
          <w:rFonts w:eastAsia="DengXian"/>
          <w:noProof/>
          <w:lang w:eastAsia="zh-CN"/>
        </w:rPr>
        <w:instrText xml:space="preserve"> ADDIN ZOTERO_ITEM CSL_CITATION {"citationID":"FzDCWPUD","properties":{"formattedCitation":"(Brock et al., 1995; McPherson et al., 2007)","plainCitation":"(Brock et al., 1995; McPherson et al., 2007)","noteIndex":0},"citationItems":[{"id":20,"uris":["http://zotero.org/users/7782726/items/24NAA64A"],"uri":["http://zotero.org/users/7782726/items/24NAA64A"],"itemData":{"id":20,"type":"article-journal","abstract":"&lt;section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D."}],"issued":{"date-parts":[["1995",2,1]]}}}],"schema":"https://github.com/citation-style-language/schema/raw/master/csl-citation.json"} </w:instrText>
      </w:r>
      <w:r>
        <w:rPr>
          <w:rFonts w:eastAsia="DengXian"/>
          <w:noProof/>
          <w:lang w:eastAsia="zh-CN"/>
        </w:rPr>
        <w:fldChar w:fldCharType="separate"/>
      </w:r>
      <w:r w:rsidR="00775C01" w:rsidRPr="00775C01">
        <w:t>(Brock et al., 1995; McPherson et al., 2007)</w:t>
      </w:r>
      <w:r>
        <w:rPr>
          <w:rFonts w:eastAsia="DengXian"/>
          <w:noProof/>
          <w:lang w:eastAsia="zh-CN"/>
        </w:rPr>
        <w:fldChar w:fldCharType="end"/>
      </w:r>
      <w:r>
        <w:rPr>
          <w:rFonts w:eastAsia="DengXian"/>
          <w:lang w:eastAsia="zh-CN"/>
        </w:rPr>
        <w:t xml:space="preserve">. (2) </w:t>
      </w:r>
      <w:r>
        <w:rPr>
          <w:rFonts w:eastAsia="DengXian"/>
        </w:rPr>
        <w:t xml:space="preserve">The majority land cover types of these climate divisions are grassland with urban landscapes, pasture/hay, and deciduous forest (Figure </w:t>
      </w:r>
      <w:r w:rsidR="00A5601C">
        <w:rPr>
          <w:rFonts w:eastAsia="DengXian"/>
        </w:rPr>
        <w:t>3.</w:t>
      </w:r>
      <w:r>
        <w:rPr>
          <w:rFonts w:eastAsia="DengXian"/>
        </w:rPr>
        <w:t xml:space="preserve">2). (3) </w:t>
      </w:r>
      <w:r>
        <w:t xml:space="preserve">The </w:t>
      </w:r>
      <w:r w:rsidRPr="009805E2">
        <w:t xml:space="preserve">Mesonet product used in our TC intercomparison is interpolated from point-scaled to </w:t>
      </w:r>
      <w:r>
        <w:t>match the spatial resolution of SMAP (</w:t>
      </w:r>
      <w:r w:rsidRPr="009805E2">
        <w:t>9 km</w:t>
      </w:r>
      <w:r>
        <w:t>)</w:t>
      </w:r>
      <w:r w:rsidRPr="009805E2">
        <w:t xml:space="preserve"> using the ordinary kriging method</w:t>
      </w:r>
      <w:r>
        <w:t xml:space="preserve"> </w:t>
      </w:r>
      <w:r>
        <w:rPr>
          <w:spacing w:val="-2"/>
        </w:rPr>
        <w:fldChar w:fldCharType="begin"/>
      </w:r>
      <w:r w:rsidR="00775C01">
        <w:rPr>
          <w:spacing w:val="-2"/>
        </w:rPr>
        <w:instrText xml:space="preserve"> ADDIN ZOTERO_ITEM CSL_CITATION {"citationID":"Biw0jOsB","properties":{"formattedCitation":"(Lakhankar et al., 2010)","plainCitation":"(Lakhankar et al., 2010)","noteIndex":0},"citationItems":[{"id":171,"uris":["http://zotero.org/users/7782726/items/U5IPDYIM"],"uri":["http://zotero.org/users/7782726/items/U5IPDYIM"],"itemData":{"id":171,"type":"article-journal","container-title":"Sensors","issue":"1","note":"publisher: Molecular Diversity Preservation International","page":"913-932","title":"Analysis of large scale spatial variability of soil moisture using a geostatistical method","volume":"10","author":[{"family":"Lakhankar","given":"Tarendra"},{"family":"Jones","given":"Andrew S."},{"family":"Combs","given":"Cynthia L."},{"family":"Sengupta","given":"Manajit"},{"family":"Vonder Haar","given":"Thomas H."},{"family":"Khanbilvardi","given":"Reza"}],"issued":{"date-parts":[["2010"]]}}}],"schema":"https://github.com/citation-style-language/schema/raw/master/csl-citation.json"} </w:instrText>
      </w:r>
      <w:r>
        <w:rPr>
          <w:spacing w:val="-2"/>
        </w:rPr>
        <w:fldChar w:fldCharType="separate"/>
      </w:r>
      <w:r w:rsidR="00775C01" w:rsidRPr="00775C01">
        <w:t>(Lakhankar et al., 2010)</w:t>
      </w:r>
      <w:r>
        <w:rPr>
          <w:spacing w:val="-2"/>
        </w:rPr>
        <w:fldChar w:fldCharType="end"/>
      </w:r>
      <w:r w:rsidRPr="009805E2">
        <w:t xml:space="preserve">. </w:t>
      </w:r>
      <w:r w:rsidRPr="00104087">
        <w:t xml:space="preserve">This interpolation method did not consider factors including soil type, land cover and topography </w:t>
      </w:r>
      <w:r>
        <w:t xml:space="preserve">that definitely </w:t>
      </w:r>
      <w:r w:rsidRPr="00104087">
        <w:t>affect the</w:t>
      </w:r>
      <w:r>
        <w:t xml:space="preserve"> true</w:t>
      </w:r>
      <w:r w:rsidRPr="00104087">
        <w:t xml:space="preserve"> variation of surface soil moisture. Therefore, our interpolated Mesonet product </w:t>
      </w:r>
      <w:r>
        <w:t>might</w:t>
      </w:r>
      <w:r w:rsidRPr="00104087">
        <w:t xml:space="preserve"> not able to well represent the true soil moisture variations </w:t>
      </w:r>
      <w:r>
        <w:t xml:space="preserve">in the </w:t>
      </w:r>
      <w:r>
        <w:rPr>
          <w:rFonts w:eastAsia="DengXian"/>
          <w:lang w:eastAsia="zh-CN"/>
        </w:rPr>
        <w:t>Central, Northeast, and East Central regions</w:t>
      </w:r>
      <w:r w:rsidRPr="00104087">
        <w:t>.</w:t>
      </w:r>
      <w:r>
        <w:t xml:space="preserve"> </w:t>
      </w:r>
    </w:p>
    <w:p w14:paraId="443F9BD3" w14:textId="45622D27" w:rsidR="009A1C4F" w:rsidRDefault="009A1C4F" w:rsidP="009A1C4F">
      <w:pPr>
        <w:rPr>
          <w:rFonts w:eastAsia="DengXian"/>
          <w:lang w:eastAsia="zh-CN"/>
        </w:rPr>
      </w:pPr>
      <w:r>
        <w:rPr>
          <w:rFonts w:eastAsia="DengXian"/>
          <w:lang w:eastAsia="zh-CN"/>
        </w:rPr>
        <w:t>T</w:t>
      </w:r>
      <w:r w:rsidRPr="006539E0">
        <w:rPr>
          <w:rFonts w:eastAsia="DengXian"/>
          <w:lang w:eastAsia="zh-CN"/>
        </w:rPr>
        <w:t xml:space="preserve">he </w:t>
      </w:r>
      <w:r>
        <w:rPr>
          <w:rFonts w:eastAsia="DengXian"/>
          <w:lang w:eastAsia="zh-CN"/>
        </w:rPr>
        <w:t xml:space="preserve">seasonal </w:t>
      </w:r>
      <w:r w:rsidRPr="006539E0">
        <w:rPr>
          <w:rFonts w:eastAsia="DengXian"/>
          <w:lang w:eastAsia="zh-CN"/>
        </w:rPr>
        <w:t xml:space="preserve">TC </w:t>
      </w:r>
      <w:r>
        <w:rPr>
          <w:rFonts w:eastAsia="DengXian"/>
          <w:lang w:eastAsia="zh-CN"/>
        </w:rPr>
        <w:t>intercomparison</w:t>
      </w:r>
      <w:r w:rsidRPr="006539E0">
        <w:rPr>
          <w:rFonts w:eastAsia="DengXian"/>
          <w:lang w:eastAsia="zh-CN"/>
        </w:rPr>
        <w:t xml:space="preserve"> results</w:t>
      </w:r>
      <w:r>
        <w:rPr>
          <w:rFonts w:eastAsia="DengXian"/>
          <w:lang w:eastAsia="zh-CN"/>
        </w:rPr>
        <w:t xml:space="preserve"> for Mesonet, Noah, and SMAP </w:t>
      </w:r>
      <w:r w:rsidRPr="006539E0">
        <w:rPr>
          <w:rFonts w:eastAsia="DengXian"/>
          <w:lang w:eastAsia="zh-CN"/>
        </w:rPr>
        <w:t xml:space="preserve">over </w:t>
      </w:r>
      <w:r>
        <w:rPr>
          <w:rFonts w:eastAsia="DengXian"/>
          <w:lang w:eastAsia="zh-CN"/>
        </w:rPr>
        <w:t xml:space="preserve">nine climate divisions indicate that in </w:t>
      </w:r>
      <w:r w:rsidR="005D493D">
        <w:rPr>
          <w:rFonts w:eastAsia="DengXian"/>
          <w:lang w:eastAsia="zh-CN"/>
        </w:rPr>
        <w:t>s</w:t>
      </w:r>
      <w:r>
        <w:rPr>
          <w:rFonts w:eastAsia="DengXian"/>
          <w:lang w:eastAsia="zh-CN"/>
        </w:rPr>
        <w:t xml:space="preserve">pring and </w:t>
      </w:r>
      <w:r w:rsidR="005D493D">
        <w:rPr>
          <w:rFonts w:eastAsia="DengXian"/>
          <w:lang w:eastAsia="zh-CN"/>
        </w:rPr>
        <w:t>w</w:t>
      </w:r>
      <w:r>
        <w:rPr>
          <w:rFonts w:eastAsia="DengXian"/>
          <w:lang w:eastAsia="zh-CN"/>
        </w:rPr>
        <w:t xml:space="preserve">inter, </w:t>
      </w:r>
      <w:r w:rsidRPr="00B62ADA">
        <w:rPr>
          <w:rFonts w:eastAsia="DengXian"/>
          <w:lang w:eastAsia="zh-CN"/>
        </w:rPr>
        <w:t>Mesonet has higher mean CC values than Noah, while Noah provides lower averaged RMSE values than Mesonet</w:t>
      </w:r>
      <w:r>
        <w:rPr>
          <w:rFonts w:eastAsia="DengXian"/>
          <w:lang w:eastAsia="zh-CN"/>
        </w:rPr>
        <w:t xml:space="preserve">. </w:t>
      </w:r>
      <w:r w:rsidRPr="009805E2">
        <w:t xml:space="preserve">Obviously, there is some disagreement between the </w:t>
      </w:r>
      <w:r>
        <w:t>CC</w:t>
      </w:r>
      <w:r w:rsidRPr="009805E2">
        <w:t xml:space="preserve"> and RMSE metrics, i.e., Mesonet is better than Noah in terms of</w:t>
      </w:r>
      <w:r>
        <w:t xml:space="preserve"> CC</w:t>
      </w:r>
      <w:r w:rsidRPr="009805E2">
        <w:t xml:space="preserve"> while Noah is better than Mesonet in terms of RMSE. The reason for this </w:t>
      </w:r>
      <w:r>
        <w:t xml:space="preserve">is that the representativeness of errors occurred in the TC analysis </w:t>
      </w:r>
      <w:r w:rsidRPr="00B32A45">
        <w:t>can lead to biases in the TC-based error variance estimates</w:t>
      </w:r>
      <w:r>
        <w:t xml:space="preserve"> </w:t>
      </w:r>
      <w:r>
        <w:fldChar w:fldCharType="begin"/>
      </w:r>
      <w:r w:rsidR="00775C01">
        <w:instrText xml:space="preserve"> ADDIN ZOTERO_ITEM CSL_CITATION {"citationID":"eicOtzr4","properties":{"formattedCitation":"(Gruber et al., 2016)","plainCitation":"(Gruber et al., 2016)","noteIndex":0},"citationItems":[{"id":175,"uris":["http://zotero.org/users/7782726/items/JYZMSUP3"],"uri":["http://zotero.org/users/7782726/items/JYZMSUP3"],"itemData":{"id":175,"type":"article-journal","container-title":"International Journal of Applied Earth Observation and Geoinformation","note":"ISBN: 0303-2434\npublisher: Elsevier","page":"200-211","title":"Recent advances in (soil moisture) triple collocation analysis","volume":"45","author":[{"family":"Gruber","given":"Alexander"},{"family":"Su","given":"C.-H."},{"family":"Zwieback","given":"Simon"},{"family":"Crow","given":"Wade"},{"family":"Dorigo","given":"Wouter"},{"family":"Wagner","given":"Wolfgang"}],"issued":{"date-parts":[["2016"]]}}}],"schema":"https://github.com/citation-style-language/schema/raw/master/csl-citation.json"} </w:instrText>
      </w:r>
      <w:r>
        <w:fldChar w:fldCharType="separate"/>
      </w:r>
      <w:r w:rsidR="00775C01" w:rsidRPr="00775C01">
        <w:t>(Gruber et al., 2016)</w:t>
      </w:r>
      <w:r>
        <w:fldChar w:fldCharType="end"/>
      </w:r>
      <w:r w:rsidRPr="00B32A45">
        <w:t>.</w:t>
      </w:r>
      <w:r>
        <w:t xml:space="preserve"> In our study, </w:t>
      </w:r>
      <w:r w:rsidRPr="00B32A45">
        <w:t>TC is</w:t>
      </w:r>
      <w:r>
        <w:t xml:space="preserve"> </w:t>
      </w:r>
      <w:r w:rsidRPr="00B32A45">
        <w:t>applied on one point-scale in situ data set</w:t>
      </w:r>
      <w:r>
        <w:t xml:space="preserve"> (Mesonet)</w:t>
      </w:r>
      <w:r w:rsidRPr="00B32A45">
        <w:t xml:space="preserve"> together with two coarse-scale data sets that have a comparable spatial representativeness</w:t>
      </w:r>
      <w:r>
        <w:t xml:space="preserve"> (SMAP and Noah), even though the </w:t>
      </w:r>
      <w:r w:rsidRPr="009805E2">
        <w:t xml:space="preserve">Mesonet product used in our TC intercomparison is interpolated from point-scale Oklahoma Mesonet </w:t>
      </w:r>
      <w:r>
        <w:t xml:space="preserve">and re-gridded </w:t>
      </w:r>
      <w:r w:rsidRPr="009805E2">
        <w:t xml:space="preserve">to </w:t>
      </w:r>
      <w:r>
        <w:t xml:space="preserve">the same spatial resolution of SMAP </w:t>
      </w:r>
      <w:r w:rsidRPr="009805E2">
        <w:t xml:space="preserve">using the ordinary </w:t>
      </w:r>
      <w:r w:rsidRPr="009805E2">
        <w:lastRenderedPageBreak/>
        <w:t>kriging method</w:t>
      </w:r>
      <w:r>
        <w:t xml:space="preserve"> as suggested by Lakhankar et al. </w:t>
      </w:r>
      <w:r>
        <w:fldChar w:fldCharType="begin"/>
      </w:r>
      <w:r w:rsidR="00775C01">
        <w:instrText xml:space="preserve"> ADDIN ZOTERO_ITEM CSL_CITATION {"citationID":"zeQD5jza","properties":{"formattedCitation":"(Lakhankar et al., 2010)","plainCitation":"(Lakhankar et al., 2010)","noteIndex":0},"citationItems":[{"id":171,"uris":["http://zotero.org/users/7782726/items/U5IPDYIM"],"uri":["http://zotero.org/users/7782726/items/U5IPDYIM"],"itemData":{"id":171,"type":"article-journal","container-title":"Sensors","issue":"1","note":"publisher: Molecular Diversity Preservation International","page":"913-932","title":"Analysis of large scale spatial variability of soil moisture using a geostatistical method","volume":"10","author":[{"family":"Lakhankar","given":"Tarendra"},{"family":"Jones","given":"Andrew S."},{"family":"Combs","given":"Cynthia L."},{"family":"Sengupta","given":"Manajit"},{"family":"Vonder Haar","given":"Thomas H."},{"family":"Khanbilvardi","given":"Reza"}],"issued":{"date-parts":[["2010"]]}}}],"schema":"https://github.com/citation-style-language/schema/raw/master/csl-citation.json"} </w:instrText>
      </w:r>
      <w:r>
        <w:fldChar w:fldCharType="separate"/>
      </w:r>
      <w:r w:rsidR="00775C01" w:rsidRPr="00775C01">
        <w:t>(Lakhankar et al., 2010)</w:t>
      </w:r>
      <w:r>
        <w:fldChar w:fldCharType="end"/>
      </w:r>
      <w:r w:rsidRPr="009805E2">
        <w:t xml:space="preserve">. </w:t>
      </w:r>
      <w:r w:rsidRPr="00104087">
        <w:t>This interpolation method</w:t>
      </w:r>
      <w:r>
        <w:t>,</w:t>
      </w:r>
      <w:r w:rsidRPr="00104087">
        <w:t xml:space="preserve"> </w:t>
      </w:r>
      <w:r>
        <w:t xml:space="preserve">however, </w:t>
      </w:r>
      <w:r w:rsidRPr="00104087">
        <w:t xml:space="preserve">did not </w:t>
      </w:r>
      <w:r>
        <w:t>account for</w:t>
      </w:r>
      <w:r w:rsidRPr="00104087">
        <w:t xml:space="preserve"> </w:t>
      </w:r>
      <w:r>
        <w:t xml:space="preserve">large scale hydrological </w:t>
      </w:r>
      <w:r w:rsidRPr="00104087">
        <w:t xml:space="preserve">factors including </w:t>
      </w:r>
      <w:r>
        <w:t>precipitation and evapotranspiration</w:t>
      </w:r>
      <w:r w:rsidRPr="00104087">
        <w:t xml:space="preserve"> affecting the variation of surface soil moisture.</w:t>
      </w:r>
      <w:r>
        <w:t xml:space="preserve"> Therefore, the coarse-scale data sets (SMAP and Noah) might better capture soil moisture spatial variations that do not appear at the site location of Mesonet (e.g., localized rainfall events). In this case, the error variance estimate for the coarse-scale data sets will remain unbiased since TC will penalize the in situ site for its missing ability to capture the coarse-scale soil moisture variations </w:t>
      </w:r>
      <w:r>
        <w:fldChar w:fldCharType="begin"/>
      </w:r>
      <w:r w:rsidR="00775C01">
        <w:instrText xml:space="preserve"> ADDIN ZOTERO_ITEM CSL_CITATION {"citationID":"xHycCLiU","properties":{"formattedCitation":"(Gruber et al., 2016)","plainCitation":"(Gruber et al., 2016)","noteIndex":0},"citationItems":[{"id":175,"uris":["http://zotero.org/users/7782726/items/JYZMSUP3"],"uri":["http://zotero.org/users/7782726/items/JYZMSUP3"],"itemData":{"id":175,"type":"article-journal","container-title":"International Journal of Applied Earth Observation and Geoinformation","note":"ISBN: 0303-2434\npublisher: Elsevier","page":"200-211","title":"Recent advances in (soil moisture) triple collocation analysis","volume":"45","author":[{"family":"Gruber","given":"Alexander"},{"family":"Su","given":"C.-H."},{"family":"Zwieback","given":"Simon"},{"family":"Crow","given":"Wade"},{"family":"Dorigo","given":"Wouter"},{"family":"Wagner","given":"Wolfgang"}],"issued":{"date-parts":[["2016"]]}}}],"schema":"https://github.com/citation-style-language/schema/raw/master/csl-citation.json"} </w:instrText>
      </w:r>
      <w:r>
        <w:fldChar w:fldCharType="separate"/>
      </w:r>
      <w:r w:rsidR="00775C01" w:rsidRPr="00775C01">
        <w:t>(Gruber et al., 2016)</w:t>
      </w:r>
      <w:r>
        <w:fldChar w:fldCharType="end"/>
      </w:r>
      <w:r>
        <w:t>.</w:t>
      </w:r>
    </w:p>
    <w:p w14:paraId="5749C6AB" w14:textId="09413503" w:rsidR="009A1C4F" w:rsidRDefault="009A1C4F" w:rsidP="009A1C4F">
      <w:r>
        <w:rPr>
          <w:rFonts w:eastAsia="DengXian"/>
          <w:lang w:eastAsia="zh-CN"/>
        </w:rPr>
        <w:t>Both t</w:t>
      </w:r>
      <w:r w:rsidRPr="006539E0">
        <w:rPr>
          <w:rFonts w:eastAsia="DengXian"/>
          <w:lang w:eastAsia="zh-CN"/>
        </w:rPr>
        <w:t xml:space="preserve">he </w:t>
      </w:r>
      <w:r>
        <w:rPr>
          <w:rFonts w:eastAsia="DengXian"/>
          <w:lang w:eastAsia="zh-CN"/>
        </w:rPr>
        <w:t xml:space="preserve">period-integrated </w:t>
      </w:r>
      <w:r w:rsidRPr="006539E0">
        <w:rPr>
          <w:rFonts w:eastAsia="DengXian"/>
          <w:lang w:eastAsia="zh-CN"/>
        </w:rPr>
        <w:t xml:space="preserve">TC </w:t>
      </w:r>
      <w:r>
        <w:rPr>
          <w:rFonts w:eastAsia="DengXian"/>
          <w:lang w:eastAsia="zh-CN"/>
        </w:rPr>
        <w:t>intercomparison</w:t>
      </w:r>
      <w:r w:rsidRPr="006539E0">
        <w:rPr>
          <w:rFonts w:eastAsia="DengXian"/>
          <w:lang w:eastAsia="zh-CN"/>
        </w:rPr>
        <w:t xml:space="preserve"> </w:t>
      </w:r>
      <w:r>
        <w:rPr>
          <w:rFonts w:eastAsia="DengXian"/>
          <w:lang w:eastAsia="zh-CN"/>
        </w:rPr>
        <w:t>and t</w:t>
      </w:r>
      <w:r w:rsidRPr="006539E0">
        <w:rPr>
          <w:rFonts w:eastAsia="DengXian"/>
          <w:lang w:eastAsia="zh-CN"/>
        </w:rPr>
        <w:t xml:space="preserve">he </w:t>
      </w:r>
      <w:r>
        <w:rPr>
          <w:rFonts w:eastAsia="DengXian"/>
          <w:lang w:eastAsia="zh-CN"/>
        </w:rPr>
        <w:t xml:space="preserve">seasonal </w:t>
      </w:r>
      <w:r w:rsidRPr="006539E0">
        <w:rPr>
          <w:rFonts w:eastAsia="DengXian"/>
          <w:lang w:eastAsia="zh-CN"/>
        </w:rPr>
        <w:t xml:space="preserve">TC </w:t>
      </w:r>
      <w:r>
        <w:rPr>
          <w:rFonts w:eastAsia="DengXian"/>
          <w:lang w:eastAsia="zh-CN"/>
        </w:rPr>
        <w:t>intercomparison</w:t>
      </w:r>
      <w:r w:rsidRPr="006539E0">
        <w:rPr>
          <w:rFonts w:eastAsia="DengXian"/>
          <w:lang w:eastAsia="zh-CN"/>
        </w:rPr>
        <w:t xml:space="preserve"> results</w:t>
      </w:r>
      <w:r w:rsidRPr="00D9526A">
        <w:t xml:space="preserve"> </w:t>
      </w:r>
      <w:r>
        <w:t xml:space="preserve">show that </w:t>
      </w:r>
      <w:r w:rsidRPr="00D9526A">
        <w:t>SMAP exhibits</w:t>
      </w:r>
      <w:r>
        <w:t xml:space="preserve"> the</w:t>
      </w:r>
      <w:r w:rsidRPr="00D9526A">
        <w:t xml:space="preserve"> third highest performance over all climate divisions</w:t>
      </w:r>
      <w:r>
        <w:t xml:space="preserve"> across all seasons. The reasons for this performance could be (1) </w:t>
      </w:r>
      <w:r w:rsidR="005D493D">
        <w:t>m</w:t>
      </w:r>
      <w:r>
        <w:t xml:space="preserve">icrowave remote sensing is responsive to surface (~5-cm) soil moisture in regions with sparse to moderate vegetation density </w:t>
      </w:r>
      <w:r>
        <w:rPr>
          <w:noProof/>
        </w:rPr>
        <w:fldChar w:fldCharType="begin"/>
      </w:r>
      <w:r w:rsidR="00775C01">
        <w:rPr>
          <w:noProof/>
        </w:rPr>
        <w:instrText xml:space="preserve"> ADDIN ZOTERO_ITEM CSL_CITATION {"citationID":"HJOhtsVD","properties":{"formattedCitation":"(Entekhabi et al., 2014)","plainCitation":"(Entekhabi et al., 2014)","noteIndex":0},"citationItems":[{"id":155,"uris":["http://zotero.org/users/7782726/items/JUDVIJHB"],"uri":["http://zotero.org/users/7782726/items/JUDVIJHB"],"itemData":{"id":155,"type":"article-journal","note":"publisher: JPL publication 400-1567; https://www. google. com/url? sa= t&amp;rct= j&amp;q …","title":"SMAP handbook","author":[{"family":"Entekhabi","given":"Dara"},{"family":"Yueh","given":"Simon"},{"family":"De Lannoy","given":"Gabrielle"}],"issued":{"date-parts":[["2014"]]}}}],"schema":"https://github.com/citation-style-language/schema/raw/master/csl-citation.json"} </w:instrText>
      </w:r>
      <w:r>
        <w:rPr>
          <w:noProof/>
        </w:rPr>
        <w:fldChar w:fldCharType="separate"/>
      </w:r>
      <w:r w:rsidR="00775C01" w:rsidRPr="00775C01">
        <w:t>(Entekhabi et al., 2014)</w:t>
      </w:r>
      <w:r>
        <w:rPr>
          <w:noProof/>
        </w:rPr>
        <w:fldChar w:fldCharType="end"/>
      </w:r>
      <w:r w:rsidR="005D493D">
        <w:t xml:space="preserve"> and</w:t>
      </w:r>
      <w:r>
        <w:t xml:space="preserve"> (2) </w:t>
      </w:r>
      <w:r w:rsidR="005D493D">
        <w:t>t</w:t>
      </w:r>
      <w:r>
        <w:t xml:space="preserve">here are also challenges with retrievals in areas with complex topography, dense vegetation, near water bodies, or cities </w:t>
      </w:r>
      <w:r>
        <w:fldChar w:fldCharType="begin"/>
      </w:r>
      <w:r w:rsidR="00775C01">
        <w:instrText xml:space="preserve"> ADDIN ZOTERO_ITEM CSL_CITATION {"citationID":"700QLoT7","properties":{"formattedCitation":"(Parinussa et al., 2011; Wagner et al., 1999)","plainCitation":"(Parinussa et al., 2011; Wagner et al., 1999)","noteIndex":0},"citationItems":[{"id":177,"uris":["http://zotero.org/users/7782726/items/RM7BWNJ5"],"uri":["http://zotero.org/users/7782726/items/RM7BWNJ5"],"itemData":{"id":177,"type":"article-journal","container-title":"IEEE Geoscience and Remote Sensing Letters","issue":"4","note":"ISBN: 1545-598X\npublisher: IEEE","page":"779-783","title":"Error estimates for near-real-time satellite soil moisture as derived from the land parameter retrieval model","volume":"8","author":[{"family":"Parinussa","given":"Robert M."},{"family":"Meesters","given":"Antoon GCA"},{"family":"Liu","given":"Yi Y."},{"family":"Dorigo","given":"Wouter"},{"family":"Wagner","given":"Wolfgang"},{"family":"Jeu","given":"Richard AM","non-dropping-particle":"de"}],"issued":{"date-parts":[["2011"]]}}},{"id":176,"uris":["http://zotero.org/users/7782726/items/XF4LNRRW"],"uri":["http://zotero.org/users/7782726/items/XF4LNRRW"],"itemData":{"id":176,"type":"article-journal","container-title":"IEEE Transactions on Geoscience and Remote Sensing","issue":"2","note":"ISBN: 0196-2892\npublisher: IEEE","page":"938-948","title":"A study of vegetation cover effects on ERS scatterometer data","volume":"37","author":[{"family":"Wagner","given":"Wolfgang"},{"family":"Lemoine","given":"Guido"},{"family":"Borgeaud","given":"Maurice"},{"family":"Rott","given":"Helmut"}],"issued":{"date-parts":[["1999"]]}}}],"schema":"https://github.com/citation-style-language/schema/raw/master/csl-citation.json"} </w:instrText>
      </w:r>
      <w:r>
        <w:fldChar w:fldCharType="separate"/>
      </w:r>
      <w:r w:rsidR="00775C01" w:rsidRPr="00775C01">
        <w:t>(Parinussa et al., 2011; Wagner et al., 1999)</w:t>
      </w:r>
      <w:r>
        <w:fldChar w:fldCharType="end"/>
      </w:r>
      <w:r>
        <w:t>. However, it is worth not</w:t>
      </w:r>
      <w:r w:rsidR="000E5738">
        <w:t>ing</w:t>
      </w:r>
      <w:r>
        <w:t xml:space="preserve"> that in several areas in the Panhandle, West Central, and Southwest regions (Figure </w:t>
      </w:r>
      <w:r w:rsidR="00A5601C">
        <w:t>3.</w:t>
      </w:r>
      <w:r>
        <w:t xml:space="preserve">4 and </w:t>
      </w:r>
      <w:r w:rsidR="00A5601C">
        <w:t>3.</w:t>
      </w:r>
      <w:r>
        <w:t xml:space="preserve">5), where Mesonet and Noah exhibit low averaged CC and high averaged RMSE values (outliers in Figure </w:t>
      </w:r>
      <w:r w:rsidR="00A5601C">
        <w:t>3.</w:t>
      </w:r>
      <w:r>
        <w:t>10), SMAP shows better performance than these two data sets.</w:t>
      </w:r>
    </w:p>
    <w:p w14:paraId="44575FDE" w14:textId="189DD96D" w:rsidR="009A1C4F" w:rsidRDefault="009A1C4F" w:rsidP="009A1C4F">
      <w:r>
        <w:t xml:space="preserve">In terms of their performance over different land cover types, </w:t>
      </w:r>
      <w:r w:rsidRPr="0047280A">
        <w:t xml:space="preserve">Mesonet provides the best estimates of volumetric soil moisture over shrub/scrub, </w:t>
      </w:r>
      <w:r>
        <w:t>grassland</w:t>
      </w:r>
      <w:r w:rsidRPr="0047280A">
        <w:t xml:space="preserve">, </w:t>
      </w:r>
      <w:r>
        <w:t xml:space="preserve">and </w:t>
      </w:r>
      <w:r w:rsidRPr="0047280A">
        <w:t>cultivated crops</w:t>
      </w:r>
      <w:r>
        <w:t xml:space="preserve">, because </w:t>
      </w:r>
      <w:r>
        <w:rPr>
          <w:rFonts w:eastAsiaTheme="minorEastAsia"/>
          <w:lang w:eastAsia="zh-CN"/>
        </w:rPr>
        <w:t>the Oklahoma Mesonet site standards minimize the influence of urban landscapes, irrigation, forest, bare soil, fast growing vegetation, and large bodies of water</w:t>
      </w:r>
      <w:r>
        <w:rPr>
          <w:rFonts w:eastAsiaTheme="minorEastAsia"/>
          <w:noProof/>
          <w:lang w:eastAsia="zh-CN"/>
        </w:rPr>
        <w:t xml:space="preserve"> </w:t>
      </w:r>
      <w:r>
        <w:rPr>
          <w:rFonts w:eastAsiaTheme="minorEastAsia"/>
          <w:noProof/>
          <w:lang w:eastAsia="zh-CN"/>
        </w:rPr>
        <w:fldChar w:fldCharType="begin"/>
      </w:r>
      <w:r w:rsidR="00775C01">
        <w:rPr>
          <w:rFonts w:eastAsiaTheme="minorEastAsia"/>
          <w:noProof/>
          <w:lang w:eastAsia="zh-CN"/>
        </w:rPr>
        <w:instrText xml:space="preserve"> ADDIN ZOTERO_ITEM CSL_CITATION {"citationID":"fgTeohyy","properties":{"formattedCitation":"(McPherson et al., 2007)","plainCitation":"(McPherson et al., 2007)","noteIndex":0},"citationItems":[{"id":20,"uris":["http://zotero.org/users/7782726/items/24NAA64A"],"uri":["http://zotero.org/users/7782726/items/24NAA64A"],"itemData":{"id":20,"type":"article-journal","abstract":"&lt;section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rPr>
          <w:rFonts w:eastAsiaTheme="minorEastAsia"/>
          <w:noProof/>
          <w:lang w:eastAsia="zh-CN"/>
        </w:rPr>
        <w:fldChar w:fldCharType="separate"/>
      </w:r>
      <w:r w:rsidR="00775C01" w:rsidRPr="00775C01">
        <w:t>(McPherson et al., 2007)</w:t>
      </w:r>
      <w:r>
        <w:rPr>
          <w:rFonts w:eastAsiaTheme="minorEastAsia"/>
          <w:noProof/>
          <w:lang w:eastAsia="zh-CN"/>
        </w:rPr>
        <w:fldChar w:fldCharType="end"/>
      </w:r>
      <w:r>
        <w:rPr>
          <w:rFonts w:eastAsiaTheme="minorEastAsia"/>
          <w:lang w:eastAsia="zh-CN"/>
        </w:rPr>
        <w:t>. It is suggested that vegetation at the Mesonet sites should be uniform and low growing such as short grasses</w:t>
      </w:r>
      <w:r>
        <w:rPr>
          <w:rFonts w:eastAsiaTheme="minorEastAsia"/>
          <w:noProof/>
          <w:lang w:eastAsia="zh-CN"/>
        </w:rPr>
        <w:t xml:space="preserve"> </w:t>
      </w:r>
      <w:r>
        <w:rPr>
          <w:rFonts w:eastAsiaTheme="minorEastAsia"/>
          <w:noProof/>
          <w:lang w:eastAsia="zh-CN"/>
        </w:rPr>
        <w:fldChar w:fldCharType="begin"/>
      </w:r>
      <w:r w:rsidR="00775C01">
        <w:rPr>
          <w:rFonts w:eastAsiaTheme="minorEastAsia"/>
          <w:noProof/>
          <w:lang w:eastAsia="zh-CN"/>
        </w:rPr>
        <w:instrText xml:space="preserve"> ADDIN ZOTERO_ITEM CSL_CITATION {"citationID":"uhmHvl6Y","properties":{"formattedCitation":"(Brock et al., 1995)","plainCitation":"(Brock et al., 1995)","noteIndex":0},"citationItems":[{"id":17,"uris":["http://zotero.org/users/7782726/items/42KGE6UN"],"uri":["http://zotero.org/users/7782726/items/42KGE6UN"],"itemData":{"id":17,"type":"article-journal","abstract":"&lt;section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D."}],"issued":{"date-parts":[["1995",2,1]]}}}],"schema":"https://github.com/citation-style-language/schema/raw/master/csl-citation.json"} </w:instrText>
      </w:r>
      <w:r>
        <w:rPr>
          <w:rFonts w:eastAsiaTheme="minorEastAsia"/>
          <w:noProof/>
          <w:lang w:eastAsia="zh-CN"/>
        </w:rPr>
        <w:fldChar w:fldCharType="separate"/>
      </w:r>
      <w:r w:rsidR="00775C01" w:rsidRPr="00775C01">
        <w:t>(Brock et al., 1995)</w:t>
      </w:r>
      <w:r>
        <w:rPr>
          <w:rFonts w:eastAsiaTheme="minorEastAsia"/>
          <w:noProof/>
          <w:lang w:eastAsia="zh-CN"/>
        </w:rPr>
        <w:fldChar w:fldCharType="end"/>
      </w:r>
      <w:r>
        <w:rPr>
          <w:rFonts w:eastAsiaTheme="minorEastAsia"/>
          <w:lang w:eastAsia="zh-CN"/>
        </w:rPr>
        <w:t xml:space="preserve">. </w:t>
      </w:r>
      <w:r w:rsidRPr="0047280A">
        <w:t xml:space="preserve">Noah provides the best estimates of volumetric soil moisture over </w:t>
      </w:r>
      <w:r w:rsidRPr="007F2DD4">
        <w:t>hay/pasture, deciduous forest, mixed forest, and evergreen forest</w:t>
      </w:r>
      <w:r w:rsidRPr="0047280A">
        <w:t>.</w:t>
      </w:r>
      <w:r>
        <w:t xml:space="preserve"> </w:t>
      </w:r>
    </w:p>
    <w:p w14:paraId="6705A801" w14:textId="501D4DA4" w:rsidR="009A1C4F" w:rsidRDefault="009A1C4F" w:rsidP="009A1C4F">
      <w:pPr>
        <w:rPr>
          <w:lang w:eastAsia="zh-CN"/>
        </w:rPr>
      </w:pPr>
      <w:r>
        <w:lastRenderedPageBreak/>
        <w:t xml:space="preserve">One limitation of this study is that the </w:t>
      </w:r>
      <w:r w:rsidRPr="009805E2">
        <w:t xml:space="preserve">Mesonet product used in our TC intercomparison is interpolated from point-scaled Oklahoma Mesonet to </w:t>
      </w:r>
      <w:r>
        <w:t>spatial resolution of SMAP (</w:t>
      </w:r>
      <w:r w:rsidRPr="009805E2">
        <w:t>9 km</w:t>
      </w:r>
      <w:r>
        <w:t>)</w:t>
      </w:r>
      <w:r w:rsidRPr="009805E2">
        <w:t xml:space="preserve"> using ordinary kriging</w:t>
      </w:r>
      <w:r>
        <w:t>. Future work could use regression kriging approaches and includ</w:t>
      </w:r>
      <w:r w:rsidR="000E5738">
        <w:t>e</w:t>
      </w:r>
      <w:r>
        <w:t xml:space="preserve"> </w:t>
      </w:r>
      <w:r w:rsidRPr="009B1BBE">
        <w:t xml:space="preserve">independent predictors such as </w:t>
      </w:r>
      <w:r w:rsidRPr="009B1BBE">
        <w:rPr>
          <w:lang w:eastAsia="zh-CN"/>
        </w:rPr>
        <w:t>soil properties, land cover, topography and precipitation to increase the accuracy of the interpolated Mesonet product.</w:t>
      </w:r>
    </w:p>
    <w:p w14:paraId="5C1BA138" w14:textId="77777777" w:rsidR="000E5738" w:rsidRDefault="000E5738" w:rsidP="009A1C4F">
      <w:pPr>
        <w:rPr>
          <w:lang w:eastAsia="zh-CN"/>
        </w:rPr>
      </w:pPr>
    </w:p>
    <w:p w14:paraId="0CA00C4A" w14:textId="2ECD9686" w:rsidR="00326204" w:rsidRDefault="006A5BF4" w:rsidP="006A5BF4">
      <w:pPr>
        <w:pStyle w:val="2"/>
      </w:pPr>
      <w:bookmarkStart w:id="154" w:name="_Toc75939859"/>
      <w:r>
        <w:t xml:space="preserve">3.6 </w:t>
      </w:r>
      <w:r w:rsidRPr="006A5BF4">
        <w:t>Conclusions</w:t>
      </w:r>
      <w:bookmarkEnd w:id="154"/>
    </w:p>
    <w:p w14:paraId="5E3A61CD" w14:textId="0F387050" w:rsidR="008F0C2E" w:rsidRDefault="008F0C2E" w:rsidP="008F0C2E">
      <w:r>
        <w:t xml:space="preserve">The objective of this </w:t>
      </w:r>
      <w:r w:rsidR="000E5738">
        <w:t>chapter</w:t>
      </w:r>
      <w:r>
        <w:t xml:space="preserve"> was to cross-</w:t>
      </w:r>
      <w:r w:rsidRPr="0047280A">
        <w:t xml:space="preserve">evaluate the accuracy and error characteristics of </w:t>
      </w:r>
      <w:r>
        <w:t xml:space="preserve">the </w:t>
      </w:r>
      <w:r w:rsidRPr="0047280A">
        <w:t>most commonly used</w:t>
      </w:r>
      <w:r>
        <w:t>,</w:t>
      </w:r>
      <w:r w:rsidRPr="0047280A">
        <w:t xml:space="preserve"> </w:t>
      </w:r>
      <w:r>
        <w:t xml:space="preserve">yet independent, </w:t>
      </w:r>
      <w:r w:rsidRPr="0047280A">
        <w:t xml:space="preserve">satellite, model-based, and in situ soil moisture products. </w:t>
      </w:r>
      <w:r>
        <w:t xml:space="preserve">Specifically, </w:t>
      </w:r>
      <w:r w:rsidRPr="0047280A">
        <w:t xml:space="preserve">the assessment of the </w:t>
      </w:r>
      <w:r w:rsidRPr="001C58A3">
        <w:t>SMAP L3_SM_P_E</w:t>
      </w:r>
      <w:r>
        <w:t xml:space="preserve"> (i.e</w:t>
      </w:r>
      <w:r w:rsidR="000E5738">
        <w:t>.,</w:t>
      </w:r>
      <w:r>
        <w:t xml:space="preserve"> SMAP)</w:t>
      </w:r>
      <w:r w:rsidRPr="0047280A">
        <w:t xml:space="preserve">, </w:t>
      </w:r>
      <w:r w:rsidRPr="001864CA">
        <w:t>NLDAS_NOAH0125_H</w:t>
      </w:r>
      <w:r>
        <w:t xml:space="preserve"> (i.e.</w:t>
      </w:r>
      <w:r w:rsidR="000E5738">
        <w:t>,</w:t>
      </w:r>
      <w:r>
        <w:t xml:space="preserve"> Noah)</w:t>
      </w:r>
      <w:r w:rsidRPr="0047280A">
        <w:t>, and interpolated Oklahoma Mesonet</w:t>
      </w:r>
      <w:r>
        <w:t xml:space="preserve"> (i.e.</w:t>
      </w:r>
      <w:r w:rsidR="000E5738">
        <w:t>,</w:t>
      </w:r>
      <w:r>
        <w:t xml:space="preserve"> Mesonet)</w:t>
      </w:r>
      <w:r w:rsidRPr="0047280A">
        <w:t xml:space="preserve"> soil moisture products at daily and seasonal timescales was conducted over Oklahoma using </w:t>
      </w:r>
      <w:r>
        <w:t xml:space="preserve">the </w:t>
      </w:r>
      <w:r w:rsidRPr="0047280A">
        <w:t xml:space="preserve">triple collocation method. Moreover, their performances </w:t>
      </w:r>
      <w:r>
        <w:t>were</w:t>
      </w:r>
      <w:r w:rsidRPr="0047280A">
        <w:t xml:space="preserve"> evaluated over different land cover types. Several conclusions are summarized as follows:</w:t>
      </w:r>
    </w:p>
    <w:p w14:paraId="00C6E100" w14:textId="0339577A" w:rsidR="008F0C2E" w:rsidRPr="0047280A" w:rsidRDefault="008F0C2E" w:rsidP="0068531F">
      <w:pPr>
        <w:pStyle w:val="aff0"/>
        <w:numPr>
          <w:ilvl w:val="0"/>
          <w:numId w:val="38"/>
        </w:numPr>
      </w:pPr>
      <w:r w:rsidRPr="0047280A">
        <w:t xml:space="preserve">At </w:t>
      </w:r>
      <w:r>
        <w:t xml:space="preserve">the </w:t>
      </w:r>
      <w:r w:rsidRPr="0047280A">
        <w:t>daily timescale, the interpolated Oklahoma Mesonet and Noah are found to be more reliable than SMAP for all metrics. Specifically, Mesonet provides the best estimates of volumetric soil moisture with a</w:t>
      </w:r>
      <w:r>
        <w:t xml:space="preserve"> mean Pearson correlation coefficient </w:t>
      </w:r>
      <w:r w:rsidRPr="0047280A">
        <w:t xml:space="preserve">of 0.805, followed by Noah with 0.747. However, Noah represents the true soil moisture variation better than our interpolated Mesonet product at meso-scale with an averaged RMSE of 0.026 </w:t>
      </w:r>
      <m:oMath>
        <m:f>
          <m:fPr>
            <m:type m:val="lin"/>
            <m:ctrlPr>
              <w:rPr>
                <w:rFonts w:ascii="Cambria Math" w:hAnsi="Cambria Math"/>
              </w:rPr>
            </m:ctrlPr>
          </m:fPr>
          <m:num>
            <m:sSup>
              <m:sSupPr>
                <m:ctrlPr>
                  <w:rPr>
                    <w:rFonts w:ascii="Cambria Math" w:hAnsi="Cambria Math"/>
                  </w:rPr>
                </m:ctrlPr>
              </m:sSupPr>
              <m:e>
                <m:r>
                  <w:rPr>
                    <w:rFonts w:ascii="Cambria Math" w:hAnsi="Cambria Math"/>
                  </w:rPr>
                  <m:t>m</m:t>
                </m:r>
              </m:e>
              <m:sup>
                <m:r>
                  <m:rPr>
                    <m:sty m:val="p"/>
                  </m:rPr>
                  <w:rPr>
                    <w:rFonts w:ascii="Cambria Math" w:hAnsi="Cambria Math"/>
                  </w:rPr>
                  <m:t>3</m:t>
                </m:r>
              </m:sup>
            </m:sSup>
          </m:num>
          <m:den>
            <m:sSup>
              <m:sSupPr>
                <m:ctrlPr>
                  <w:rPr>
                    <w:rFonts w:ascii="Cambria Math" w:hAnsi="Cambria Math"/>
                  </w:rPr>
                </m:ctrlPr>
              </m:sSupPr>
              <m:e>
                <m:r>
                  <w:rPr>
                    <w:rFonts w:ascii="Cambria Math" w:hAnsi="Cambria Math"/>
                  </w:rPr>
                  <m:t>m</m:t>
                </m:r>
              </m:e>
              <m:sup>
                <m:r>
                  <m:rPr>
                    <m:sty m:val="p"/>
                  </m:rPr>
                  <w:rPr>
                    <w:rFonts w:ascii="Cambria Math" w:hAnsi="Cambria Math"/>
                  </w:rPr>
                  <m:t>3</m:t>
                </m:r>
              </m:sup>
            </m:sSup>
          </m:den>
        </m:f>
      </m:oMath>
      <w:r w:rsidRPr="0047280A">
        <w:t>.</w:t>
      </w:r>
      <w:r>
        <w:t xml:space="preserve"> </w:t>
      </w:r>
      <w:r w:rsidRPr="00F21961">
        <w:t xml:space="preserve">The period-integrated TC intercomparison results for Mesonet, Noah, and SMAP over nine climate divisions indicate that Noah provided the best performance in the Central, Northeast, and East Central regions. Moreover, </w:t>
      </w:r>
      <w:r w:rsidRPr="00F21961">
        <w:lastRenderedPageBreak/>
        <w:t xml:space="preserve">the same pattern is found in the seasonal TC intercomparison results for Mesonet, Noah, and SMAP over nine climate divisions </w:t>
      </w:r>
      <w:r>
        <w:t>during the</w:t>
      </w:r>
      <w:r w:rsidRPr="00F21961">
        <w:t xml:space="preserve"> </w:t>
      </w:r>
      <w:r>
        <w:t>F</w:t>
      </w:r>
      <w:r w:rsidRPr="00F21961">
        <w:t>all season.</w:t>
      </w:r>
    </w:p>
    <w:p w14:paraId="68B26336" w14:textId="7FB05202" w:rsidR="008F0C2E" w:rsidRPr="0047280A" w:rsidRDefault="008F0C2E" w:rsidP="0068531F">
      <w:pPr>
        <w:pStyle w:val="aff0"/>
        <w:numPr>
          <w:ilvl w:val="0"/>
          <w:numId w:val="38"/>
        </w:numPr>
      </w:pPr>
      <w:r w:rsidRPr="0047280A">
        <w:t xml:space="preserve">At </w:t>
      </w:r>
      <w:r>
        <w:t xml:space="preserve">dissaggregated </w:t>
      </w:r>
      <w:r w:rsidRPr="0047280A">
        <w:t>sea</w:t>
      </w:r>
      <w:r>
        <w:t>s</w:t>
      </w:r>
      <w:r w:rsidRPr="0047280A">
        <w:t>onal time</w:t>
      </w:r>
      <w:r>
        <w:t xml:space="preserve"> </w:t>
      </w:r>
      <w:r w:rsidRPr="0047280A">
        <w:t>scale</w:t>
      </w:r>
      <w:r>
        <w:t>s</w:t>
      </w:r>
      <w:r w:rsidRPr="0047280A">
        <w:t>, the interpolated Oklahoma Mesonet and Noah are found to be more reliable than SMAP for all metrics in all four seasons. Specifically, Mesonet provides the best estimates of volumetric soil moisture</w:t>
      </w:r>
      <w:r>
        <w:t xml:space="preserve"> with an averaged correlation coefficient of 0.753, 0.807, 0.855, and 0.811 in</w:t>
      </w:r>
      <w:r w:rsidR="000E5738">
        <w:t xml:space="preserve"> s</w:t>
      </w:r>
      <w:r>
        <w:t xml:space="preserve">pring, </w:t>
      </w:r>
      <w:r w:rsidR="000E5738">
        <w:t>s</w:t>
      </w:r>
      <w:r>
        <w:t xml:space="preserve">ummer, </w:t>
      </w:r>
      <w:r w:rsidR="000E5738">
        <w:t>f</w:t>
      </w:r>
      <w:r>
        <w:t xml:space="preserve">all and </w:t>
      </w:r>
      <w:r w:rsidR="000E5738">
        <w:t>w</w:t>
      </w:r>
      <w:r>
        <w:t>inter respectively.</w:t>
      </w:r>
      <w:r w:rsidRPr="0068531F">
        <w:rPr>
          <w:rFonts w:eastAsiaTheme="minorEastAsia"/>
        </w:rPr>
        <w:t xml:space="preserve"> </w:t>
      </w:r>
      <w:r w:rsidRPr="0047280A">
        <w:t xml:space="preserve">However, Noah provides the best performance in representing the true soil moisture variation </w:t>
      </w:r>
      <w:r>
        <w:t xml:space="preserve">with an averaged RMSE of 0.0229, 0.0244, 0.0204, and 0.0217 </w:t>
      </w:r>
      <m:oMath>
        <m:f>
          <m:fPr>
            <m:type m:val="lin"/>
            <m:ctrlPr>
              <w:rPr>
                <w:rFonts w:ascii="Cambria Math" w:hAnsi="Cambria Math"/>
              </w:rPr>
            </m:ctrlPr>
          </m:fPr>
          <m:num>
            <m:sSup>
              <m:sSupPr>
                <m:ctrlPr>
                  <w:rPr>
                    <w:rFonts w:ascii="Cambria Math" w:hAnsi="Cambria Math"/>
                  </w:rPr>
                </m:ctrlPr>
              </m:sSupPr>
              <m:e>
                <m:r>
                  <w:rPr>
                    <w:rFonts w:ascii="Cambria Math" w:hAnsi="Cambria Math"/>
                  </w:rPr>
                  <m:t>m</m:t>
                </m:r>
              </m:e>
              <m:sup>
                <m:r>
                  <m:rPr>
                    <m:sty m:val="p"/>
                  </m:rPr>
                  <w:rPr>
                    <w:rFonts w:ascii="Cambria Math" w:hAnsi="Cambria Math"/>
                  </w:rPr>
                  <m:t>3</m:t>
                </m:r>
              </m:sup>
            </m:sSup>
          </m:num>
          <m:den>
            <m:sSup>
              <m:sSupPr>
                <m:ctrlPr>
                  <w:rPr>
                    <w:rFonts w:ascii="Cambria Math" w:hAnsi="Cambria Math"/>
                  </w:rPr>
                </m:ctrlPr>
              </m:sSupPr>
              <m:e>
                <m:r>
                  <w:rPr>
                    <w:rFonts w:ascii="Cambria Math" w:hAnsi="Cambria Math"/>
                  </w:rPr>
                  <m:t>m</m:t>
                </m:r>
              </m:e>
              <m:sup>
                <m:r>
                  <m:rPr>
                    <m:sty m:val="p"/>
                  </m:rPr>
                  <w:rPr>
                    <w:rFonts w:ascii="Cambria Math" w:hAnsi="Cambria Math"/>
                  </w:rPr>
                  <m:t>3</m:t>
                </m:r>
              </m:sup>
            </m:sSup>
          </m:den>
        </m:f>
      </m:oMath>
      <w:r w:rsidRPr="0047280A">
        <w:t xml:space="preserve"> </w:t>
      </w:r>
      <w:r>
        <w:t xml:space="preserve">in each season respectively. </w:t>
      </w:r>
    </w:p>
    <w:p w14:paraId="1E9500E3" w14:textId="74C2500B" w:rsidR="008F0C2E" w:rsidRDefault="5E4FB5CC" w:rsidP="0068531F">
      <w:pPr>
        <w:pStyle w:val="aff0"/>
        <w:numPr>
          <w:ilvl w:val="0"/>
          <w:numId w:val="38"/>
        </w:numPr>
      </w:pPr>
      <w:r>
        <w:t>In terms of their performance over different land cover types, Mesonet provided the best estimates of volumetric soil moisture over shrub/scrub, grassland, and cultivated crops but Noah provided the best estimates of volumetric soil moisture over hay/pasture, deciduous forest, mixed forest, and evergreen forest. This illustrates that</w:t>
      </w:r>
      <w:r w:rsidRPr="5E4FB5CC">
        <w:rPr>
          <w:rFonts w:eastAsiaTheme="minorEastAsia"/>
          <w:lang w:eastAsia="zh-CN"/>
        </w:rPr>
        <w:t xml:space="preserve"> Oklahoma Mesonet site standards minimize the influence of urban landscapes, irrigation, forest, bare soil, fast growing vegetation, and large bodies of water </w:t>
      </w:r>
      <w:r w:rsidR="008F0C2E" w:rsidRPr="5E4FB5CC">
        <w:rPr>
          <w:rFonts w:eastAsiaTheme="minorEastAsia"/>
          <w:lang w:eastAsia="zh-CN"/>
        </w:rPr>
        <w:fldChar w:fldCharType="begin"/>
      </w:r>
      <w:r w:rsidR="008F0C2E" w:rsidRPr="5E4FB5CC">
        <w:rPr>
          <w:rFonts w:eastAsiaTheme="minorEastAsia"/>
          <w:lang w:eastAsia="zh-CN"/>
        </w:rPr>
        <w:instrText xml:space="preserve"> ADDIN ZOTERO_ITEM CSL_CITATION {"citationID":"ldvcqnW7","properties":{"formattedCitation":"(McPherson et al., 2007)","plainCitation":"(McPherson et al., 2007)","noteIndex":0},"citationItems":[{"id":20,"uris":["http://zotero.org/users/7782726/items/24NAA64A"],"uri":["http://zotero.org/users/7782726/items/24NAA64A"],"itemData":{"id":20,"type":"article-journal","abstract":"&lt;section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rsidR="008F0C2E" w:rsidRPr="5E4FB5CC">
        <w:rPr>
          <w:rFonts w:eastAsiaTheme="minorEastAsia"/>
          <w:lang w:eastAsia="zh-CN"/>
        </w:rPr>
        <w:fldChar w:fldCharType="separate"/>
      </w:r>
      <w:r>
        <w:t>(McPherson et al., 2007)</w:t>
      </w:r>
      <w:r w:rsidR="008F0C2E" w:rsidRPr="5E4FB5CC">
        <w:rPr>
          <w:rFonts w:eastAsiaTheme="minorEastAsia"/>
          <w:lang w:eastAsia="zh-CN"/>
        </w:rPr>
        <w:fldChar w:fldCharType="end"/>
      </w:r>
      <w:r w:rsidRPr="5E4FB5CC">
        <w:rPr>
          <w:rFonts w:eastAsiaTheme="minorEastAsia"/>
          <w:lang w:eastAsia="zh-CN"/>
        </w:rPr>
        <w:t>. It is suggested that vegetation at the site should be uniform and low growing such as short grasses</w:t>
      </w:r>
      <w:r w:rsidRPr="5E4FB5CC">
        <w:rPr>
          <w:rFonts w:eastAsiaTheme="minorEastAsia"/>
          <w:noProof/>
          <w:lang w:eastAsia="zh-CN"/>
        </w:rPr>
        <w:t xml:space="preserve"> </w:t>
      </w:r>
      <w:r w:rsidR="008F0C2E" w:rsidRPr="5E4FB5CC">
        <w:rPr>
          <w:rFonts w:eastAsiaTheme="minorEastAsia"/>
          <w:noProof/>
          <w:lang w:eastAsia="zh-CN"/>
        </w:rPr>
        <w:fldChar w:fldCharType="begin"/>
      </w:r>
      <w:r w:rsidR="008F0C2E" w:rsidRPr="5E4FB5CC">
        <w:rPr>
          <w:rFonts w:eastAsiaTheme="minorEastAsia"/>
          <w:noProof/>
          <w:lang w:eastAsia="zh-CN"/>
        </w:rPr>
        <w:instrText xml:space="preserve"> ADDIN ZOTERO_ITEM CSL_CITATION {"citationID":"5FIu0Urx","properties":{"formattedCitation":"(Brock et al., 1995)","plainCitation":"(Brock et al., 1995)","noteIndex":0},"citationItems":[{"id":17,"uris":["http://zotero.org/users/7782726/items/42KGE6UN"],"uri":["http://zotero.org/users/7782726/items/42KGE6UN"],"itemData":{"id":17,"type":"article-journal","abstract":"&lt;section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D."}],"issued":{"date-parts":[["1995",2,1]]}}}],"schema":"https://github.com/citation-style-language/schema/raw/master/csl-citation.json"} </w:instrText>
      </w:r>
      <w:r w:rsidR="008F0C2E" w:rsidRPr="5E4FB5CC">
        <w:rPr>
          <w:rFonts w:eastAsiaTheme="minorEastAsia"/>
          <w:noProof/>
          <w:lang w:eastAsia="zh-CN"/>
        </w:rPr>
        <w:fldChar w:fldCharType="separate"/>
      </w:r>
      <w:r>
        <w:t>(Brock et al., 1995)</w:t>
      </w:r>
      <w:r w:rsidR="008F0C2E" w:rsidRPr="5E4FB5CC">
        <w:rPr>
          <w:rFonts w:eastAsiaTheme="minorEastAsia"/>
          <w:noProof/>
          <w:lang w:eastAsia="zh-CN"/>
        </w:rPr>
        <w:fldChar w:fldCharType="end"/>
      </w:r>
      <w:r w:rsidRPr="5E4FB5CC">
        <w:rPr>
          <w:rFonts w:eastAsiaTheme="minorEastAsia"/>
          <w:lang w:eastAsia="zh-CN"/>
        </w:rPr>
        <w:t>.</w:t>
      </w:r>
    </w:p>
    <w:p w14:paraId="554FC37B" w14:textId="492C612B" w:rsidR="008F0C2E" w:rsidRDefault="008F0C2E" w:rsidP="008F0C2E">
      <w:r>
        <w:t>The TC method-based results of this study can potentially provide</w:t>
      </w:r>
      <w:r w:rsidRPr="0047280A">
        <w:t xml:space="preserve"> a new perspective for comparatively assessing multi-source soil moisture products and a basis for objective data merging</w:t>
      </w:r>
      <w:r>
        <w:t xml:space="preserve"> to capitalize the strengths of the multi-sensor soil moisture products for the State of Oklahoma and beyond. </w:t>
      </w:r>
    </w:p>
    <w:p w14:paraId="46989174" w14:textId="77777777" w:rsidR="000E5738" w:rsidRDefault="000E5738" w:rsidP="008F0C2E"/>
    <w:p w14:paraId="20146CD2" w14:textId="6610D905" w:rsidR="006A5BF4" w:rsidRPr="006A5BF4" w:rsidRDefault="005F4EE0" w:rsidP="005F4EE0">
      <w:pPr>
        <w:pStyle w:val="2"/>
      </w:pPr>
      <w:bookmarkStart w:id="155" w:name="_Toc75939860"/>
      <w:r>
        <w:lastRenderedPageBreak/>
        <w:t>Reference</w:t>
      </w:r>
      <w:r w:rsidR="000E5738">
        <w:t>s</w:t>
      </w:r>
      <w:bookmarkEnd w:id="155"/>
    </w:p>
    <w:bookmarkStart w:id="156" w:name="_Hlk75358547"/>
    <w:p w14:paraId="1A12CCB8" w14:textId="77777777" w:rsidR="00AF082A" w:rsidRDefault="00470D14" w:rsidP="00AF082A">
      <w:pPr>
        <w:pStyle w:val="aff"/>
      </w:pPr>
      <w:r w:rsidRPr="00345E42">
        <w:fldChar w:fldCharType="begin"/>
      </w:r>
      <w:r w:rsidR="006B2ACE">
        <w:instrText xml:space="preserve"> ADDIN ZOTERO_BIBL {"uncited":[],"omitted":[["http://zotero.org/users/7782726/items/FCHBZ99F"],["http://zotero.org/users/7782726/items/4KXE4UA9"],["http://zotero.org/users/7782726/items/MGSKYMY9"],["http://zotero.org/users/7782726/items/ABQFN278"],["http://zotero.org/users/7782726/items/EASHM95F"],["http://zotero.org/users/7782726/items/ETV3UGBF"],["http://zotero.org/users/7782726/items/PUGHLY3C"],["http://zotero.org/users/7782726/items/XTD48FX5"],["http://zotero.org/users/7782726/items/HJLSY7DP"],["http://zotero.org/users/7782726/items/JNFLPVTZ"],["http://zotero.org/users/7782726/items/UHG5JIKF"],["http://zotero.org/users/7782726/items/IJ48E3KZ"],["http://zotero.org/users/7782726/items/7LKWRVZG"],["http://zotero.org/users/7782726/items/EW2SJD9J"],["http://zotero.org/users/7782726/items/Q6YGPG5J"],["http://zotero.org/users/7782726/items/T32L7QNL"],["http://zotero.org/users/7782726/items/8R7BYTJ4"],["http://zotero.org/users/7782726/items/FHKFPR9A"],["http://zotero.org/users/7782726/items/G88675T2"],["http://zotero.org/users/7782726/items/8XLDP8AR"],["http://zotero.org/users/7782726/items/7LJE3IUB"],["http://zotero.org/users/7782726/items/NAVGBEPK"],["http://zotero.org/users/7782726/items/X82WY4UK"],["http://zotero.org/users/7782726/items/7R22WWZ9"],["http://zotero.org/users/7782726/items/WFKZXX4R"],["http://zotero.org/users/7782726/items/E2XBREBT"],["http://zotero.org/users/7782726/items/DMET4QWV"],["http://zotero.org/users/7782726/items/WHPZB4ER"],["http://zotero.org/users/7782726/items/699ES9KK"],["http://zotero.org/users/7782726/items/ZIDH5GUR"],["http://zotero.org/users/7782726/items/X28UQ6PY"],["http://zotero.org/users/7782726/items/HQLPGM68"],["http://zotero.org/users/7782726/items/E4E93YTZ"],["http://zotero.org/users/7782726/items/BV244GRF"],["http://zotero.org/users/7782726/items/PL3PDX2X"],["http://zotero.org/users/7782726/items/8T5PD4G5"]],"custom":[]} CSL_BIBLIOGRAPHY </w:instrText>
      </w:r>
      <w:r w:rsidRPr="00345E42">
        <w:fldChar w:fldCharType="separate"/>
      </w:r>
      <w:r w:rsidR="00AF082A">
        <w:t xml:space="preserve">Albergel, C., de Rosnay, P., Gruhier, C., Muñoz-Sabater, J., Hasenauer, S., Isaksen, L., Kerr, Y., &amp; Wagner, W. (2012). Evaluation of remotely sensed and modelled soil moisture products using global ground-based in situ observations. </w:t>
      </w:r>
      <w:r w:rsidR="00AF082A">
        <w:rPr>
          <w:i/>
          <w:iCs/>
        </w:rPr>
        <w:t>Remote Sensing of Environment</w:t>
      </w:r>
      <w:r w:rsidR="00AF082A">
        <w:t xml:space="preserve">, </w:t>
      </w:r>
      <w:r w:rsidR="00AF082A">
        <w:rPr>
          <w:i/>
          <w:iCs/>
        </w:rPr>
        <w:t>118</w:t>
      </w:r>
      <w:r w:rsidR="00AF082A">
        <w:t>, 215–226. https://doi.org/10.1016/j.rse.2011.11.017</w:t>
      </w:r>
    </w:p>
    <w:p w14:paraId="5E447B1F" w14:textId="77777777" w:rsidR="00AF082A" w:rsidRDefault="00AF082A" w:rsidP="00AF082A">
      <w:pPr>
        <w:pStyle w:val="aff"/>
      </w:pPr>
      <w:r>
        <w:t xml:space="preserve">Betts, A. K., Chen, F., Mitchell, K. E., &amp; Janjić, Z. I. (1997). Assessment of the land surface and boundary layer models in two operational versions of the NCEP Eta model using FIFE data. </w:t>
      </w:r>
      <w:r>
        <w:rPr>
          <w:i/>
          <w:iCs/>
        </w:rPr>
        <w:t>Monthly Weather Review</w:t>
      </w:r>
      <w:r>
        <w:t xml:space="preserve">, </w:t>
      </w:r>
      <w:r>
        <w:rPr>
          <w:i/>
          <w:iCs/>
        </w:rPr>
        <w:t>125</w:t>
      </w:r>
      <w:r>
        <w:t>(11), 2896–2916.</w:t>
      </w:r>
    </w:p>
    <w:p w14:paraId="04342AA8" w14:textId="77777777" w:rsidR="00AF082A" w:rsidRDefault="00AF082A" w:rsidP="00AF082A">
      <w:pPr>
        <w:pStyle w:val="aff"/>
      </w:pPr>
      <w:r>
        <w:t xml:space="preserve">Bi, H., Ma, J., Zheng, W., &amp; Zeng, J. (2016). Comparison of soil moisture in GLDAS model simulations and in situ observations over the Tibetan Plateau. </w:t>
      </w:r>
      <w:r>
        <w:rPr>
          <w:i/>
          <w:iCs/>
        </w:rPr>
        <w:t>Journal of Geophysical Research: Atmospheres</w:t>
      </w:r>
      <w:r>
        <w:t xml:space="preserve">, </w:t>
      </w:r>
      <w:r>
        <w:rPr>
          <w:i/>
          <w:iCs/>
        </w:rPr>
        <w:t>121</w:t>
      </w:r>
      <w:r>
        <w:t>(6), 2658–2678. https://doi.org/10.1002/2015JD024131</w:t>
      </w:r>
    </w:p>
    <w:p w14:paraId="60553311" w14:textId="77777777" w:rsidR="00AF082A" w:rsidRDefault="00AF082A" w:rsidP="00AF082A">
      <w:pPr>
        <w:pStyle w:val="aff"/>
      </w:pPr>
      <w:r>
        <w:t xml:space="preserve">Brocca, L., Crow, W. T., Ciabatta, L., Massari, C., de Rosnay, P., Enenkel, M., Hahn, S., Amarnath, G., Camici, S., Tarpanelli, A., &amp; Wagner, W. (2017). A Review of the Applications of ASCAT Soil Moisture Products. </w:t>
      </w:r>
      <w:r>
        <w:rPr>
          <w:i/>
          <w:iCs/>
        </w:rPr>
        <w:t>IEEE Journal of Selected Topics in Applied Earth Observations and Remote Sensing</w:t>
      </w:r>
      <w:r>
        <w:t xml:space="preserve">, </w:t>
      </w:r>
      <w:r>
        <w:rPr>
          <w:i/>
          <w:iCs/>
        </w:rPr>
        <w:t>10</w:t>
      </w:r>
      <w:r>
        <w:t>(5), 2285–2306. https://doi.org/10.1109/JSTARS.2017.2651140</w:t>
      </w:r>
    </w:p>
    <w:p w14:paraId="3F94EA51" w14:textId="77777777" w:rsidR="00AF082A" w:rsidRDefault="00AF082A" w:rsidP="00AF082A">
      <w:pPr>
        <w:pStyle w:val="aff"/>
      </w:pPr>
      <w:r>
        <w:t xml:space="preserve">Brocca, L., Hasenauer, S., Lacava, T., Melone, F., Moramarco, T., Wagner, W., Dorigo, W., Matgen, P., Martínez-Fernández, J., Llorens, P., Latron, J., Martin, C., &amp; Bittelli, M. (2011). Soil moisture estimation through ASCAT and AMSR-E sensors: An intercomparison and validation study across Europe. </w:t>
      </w:r>
      <w:r>
        <w:rPr>
          <w:i/>
          <w:iCs/>
        </w:rPr>
        <w:t>Remote Sensing of Environment</w:t>
      </w:r>
      <w:r>
        <w:t xml:space="preserve">, </w:t>
      </w:r>
      <w:r>
        <w:rPr>
          <w:i/>
          <w:iCs/>
        </w:rPr>
        <w:t>115</w:t>
      </w:r>
      <w:r>
        <w:t>(12), 3390–3408. https://doi.org/10.1016/j.rse.2011.08.003</w:t>
      </w:r>
    </w:p>
    <w:p w14:paraId="4EEE08C8" w14:textId="77777777" w:rsidR="00AF082A" w:rsidRDefault="00AF082A" w:rsidP="00AF082A">
      <w:pPr>
        <w:pStyle w:val="aff"/>
      </w:pPr>
      <w:r>
        <w:t xml:space="preserve">Brocca, L., Melone, F., Moramarco, T., Wagner, W., Naeimi, V., Bartalis, Z., &amp; Hasenauer, S. (2010). Improving runoff prediction through the assimilation of the ASCAT soil moisture </w:t>
      </w:r>
      <w:r>
        <w:lastRenderedPageBreak/>
        <w:t xml:space="preserve">product. </w:t>
      </w:r>
      <w:r>
        <w:rPr>
          <w:i/>
          <w:iCs/>
        </w:rPr>
        <w:t>Hydrology and Earth System Sciences</w:t>
      </w:r>
      <w:r>
        <w:t xml:space="preserve">, </w:t>
      </w:r>
      <w:r>
        <w:rPr>
          <w:i/>
          <w:iCs/>
        </w:rPr>
        <w:t>14</w:t>
      </w:r>
      <w:r>
        <w:t>(10), 1881–1893. https://doi.org/10.5194/hess-14-1881-2010</w:t>
      </w:r>
    </w:p>
    <w:p w14:paraId="1CD3B4F4" w14:textId="77777777" w:rsidR="00AF082A" w:rsidRDefault="00AF082A" w:rsidP="00AF082A">
      <w:pPr>
        <w:pStyle w:val="aff"/>
      </w:pPr>
      <w:r>
        <w:t xml:space="preserve">Brocca, L., Ponziani, F., Moramarco, T., Melone, F., Berni, N., &amp; Wagner, W. (2012). Improving Landslide Forecasting Using ASCAT-Derived Soil Moisture Data: A Case Study of the Torgiovannetto Landslide in Central Italy. </w:t>
      </w:r>
      <w:r>
        <w:rPr>
          <w:i/>
          <w:iCs/>
        </w:rPr>
        <w:t>Remote Sensing</w:t>
      </w:r>
      <w:r>
        <w:t xml:space="preserve">, </w:t>
      </w:r>
      <w:r>
        <w:rPr>
          <w:i/>
          <w:iCs/>
        </w:rPr>
        <w:t>4</w:t>
      </w:r>
      <w:r>
        <w:t>(5), 1232–1244. https://doi.org/10.3390/rs4051232</w:t>
      </w:r>
    </w:p>
    <w:p w14:paraId="00D1B562" w14:textId="77777777" w:rsidR="00AF082A" w:rsidRDefault="00AF082A" w:rsidP="00AF082A">
      <w:pPr>
        <w:pStyle w:val="aff"/>
      </w:pPr>
      <w:r>
        <w:t xml:space="preserve">Brock, F. V., Crawford, K. C., Elliott, R. L., Cuperus, G. W., Stadler, S. J., Johnson, H. L., &amp; Eilts, M. D. (1995). The Oklahoma Mesonet: A Technical Overview. </w:t>
      </w:r>
      <w:r>
        <w:rPr>
          <w:i/>
          <w:iCs/>
        </w:rPr>
        <w:t>Journal of Atmospheric and Oceanic Technology</w:t>
      </w:r>
      <w:r>
        <w:t xml:space="preserve">, </w:t>
      </w:r>
      <w:r>
        <w:rPr>
          <w:i/>
          <w:iCs/>
        </w:rPr>
        <w:t>12</w:t>
      </w:r>
      <w:r>
        <w:t>(1), 5–19. https://doi.org/10.1175/1520-0426(1995)012&lt;0005:TOMATO&gt;2.0.CO;2</w:t>
      </w:r>
    </w:p>
    <w:p w14:paraId="082821AF" w14:textId="77777777" w:rsidR="00AF082A" w:rsidRDefault="00AF082A" w:rsidP="00AF082A">
      <w:pPr>
        <w:pStyle w:val="aff"/>
      </w:pPr>
      <w:r>
        <w:t xml:space="preserve">Capecchi, V., &amp; Brocca, L. (2014). A simple assimilation method to ingest satellite soil moisture into a limited-area NWP model. </w:t>
      </w:r>
      <w:r>
        <w:rPr>
          <w:i/>
          <w:iCs/>
        </w:rPr>
        <w:t>Meteorologische Zeitschrift</w:t>
      </w:r>
      <w:r>
        <w:t xml:space="preserve">, </w:t>
      </w:r>
      <w:r>
        <w:rPr>
          <w:i/>
          <w:iCs/>
        </w:rPr>
        <w:t>23</w:t>
      </w:r>
      <w:r>
        <w:t>(2), 105–121. https://doi.org/10.1127/0941-2948/2014/0585</w:t>
      </w:r>
    </w:p>
    <w:p w14:paraId="06A0E915" w14:textId="77777777" w:rsidR="00AF082A" w:rsidRDefault="00AF082A" w:rsidP="00AF082A">
      <w:pPr>
        <w:pStyle w:val="aff"/>
      </w:pPr>
      <w:r>
        <w:t xml:space="preserve">Chan, S. (2016). Enhanced level 3 passive soil moisture product specification document. </w:t>
      </w:r>
      <w:r>
        <w:rPr>
          <w:i/>
          <w:iCs/>
        </w:rPr>
        <w:t>Jet Propulsion Lab., California Inst. Technol.: Pasadena, CA, USA</w:t>
      </w:r>
      <w:r>
        <w:t>.</w:t>
      </w:r>
    </w:p>
    <w:p w14:paraId="661A7393" w14:textId="77777777" w:rsidR="00AF082A" w:rsidRDefault="00AF082A" w:rsidP="00AF082A">
      <w:pPr>
        <w:pStyle w:val="aff"/>
      </w:pPr>
      <w:r>
        <w:t xml:space="preserve">Chen, F., Crow, W. T., Bindlish, R., Colliander, A., Burgin, M. S., Asanuma, J., &amp; Aida, K. (2018). Global-scale evaluation of SMAP, SMOS and ASCAT soil moisture products using triple collocation. </w:t>
      </w:r>
      <w:r>
        <w:rPr>
          <w:i/>
          <w:iCs/>
        </w:rPr>
        <w:t>Remote Sensing of Environment</w:t>
      </w:r>
      <w:r>
        <w:t xml:space="preserve">, </w:t>
      </w:r>
      <w:r>
        <w:rPr>
          <w:i/>
          <w:iCs/>
        </w:rPr>
        <w:t>214</w:t>
      </w:r>
      <w:r>
        <w:t>, 1–13. https://doi.org/10.1016/j.rse.2018.05.008</w:t>
      </w:r>
    </w:p>
    <w:p w14:paraId="1FD0C5A7" w14:textId="77777777" w:rsidR="00AF082A" w:rsidRDefault="00AF082A" w:rsidP="00AF082A">
      <w:pPr>
        <w:pStyle w:val="aff"/>
      </w:pPr>
      <w:r>
        <w:t xml:space="preserve">Chen, F., Crow, W. T., Colliander, A., Cosh, M. H., Jackson, T. J., Bindlish, R., Reichle, R. H., Chan, S. K., Bosch, D. D., &amp; Starks, P. J. (2016). Application of triple collocation in ground-based validation of Soil Moisture Active/Passive (SMAP) level 2 data products. </w:t>
      </w:r>
      <w:r>
        <w:rPr>
          <w:i/>
          <w:iCs/>
        </w:rPr>
        <w:lastRenderedPageBreak/>
        <w:t>IEEE Journal of Selected Topics in Applied Earth Observations and Remote Sensing</w:t>
      </w:r>
      <w:r>
        <w:t xml:space="preserve">, </w:t>
      </w:r>
      <w:r>
        <w:rPr>
          <w:i/>
          <w:iCs/>
        </w:rPr>
        <w:t>10</w:t>
      </w:r>
      <w:r>
        <w:t>(2), 489–502.</w:t>
      </w:r>
    </w:p>
    <w:p w14:paraId="273B6166" w14:textId="77777777" w:rsidR="00AF082A" w:rsidRDefault="00AF082A" w:rsidP="00AF082A">
      <w:pPr>
        <w:pStyle w:val="aff"/>
      </w:pPr>
      <w:r>
        <w:t xml:space="preserve">Chen, F., Janjić, Z., &amp; Mitchell, K. (1997). Impact of atmospheric surface-layer parameterizations in the new land-surface scheme of the NCEP mesoscale Eta model. </w:t>
      </w:r>
      <w:r>
        <w:rPr>
          <w:i/>
          <w:iCs/>
        </w:rPr>
        <w:t>Boundary-Layer Meteorology</w:t>
      </w:r>
      <w:r>
        <w:t xml:space="preserve">, </w:t>
      </w:r>
      <w:r>
        <w:rPr>
          <w:i/>
          <w:iCs/>
        </w:rPr>
        <w:t>85</w:t>
      </w:r>
      <w:r>
        <w:t>(3), 391–421.</w:t>
      </w:r>
    </w:p>
    <w:p w14:paraId="2C1455B4" w14:textId="77777777" w:rsidR="00AF082A" w:rsidRDefault="00AF082A" w:rsidP="00AF082A">
      <w:pPr>
        <w:pStyle w:val="aff"/>
      </w:pPr>
      <w:r>
        <w:t xml:space="preserve">Crow, W. T., Berg, A. A., Cosh, M. H., Loew, A., Mohanty, B. P., Panciera, R., Rosnay, P. de, Ryu, D., &amp; Walker, J. P. (2012). Upscaling sparse ground-based soil moisture observations for the validation of coarse-resolution satellite soil moisture products. </w:t>
      </w:r>
      <w:r>
        <w:rPr>
          <w:i/>
          <w:iCs/>
        </w:rPr>
        <w:t>Reviews of Geophysics</w:t>
      </w:r>
      <w:r>
        <w:t xml:space="preserve">, </w:t>
      </w:r>
      <w:r>
        <w:rPr>
          <w:i/>
          <w:iCs/>
        </w:rPr>
        <w:t>50</w:t>
      </w:r>
      <w:r>
        <w:t>(2). https://doi.org/10.1029/2011RG000372</w:t>
      </w:r>
    </w:p>
    <w:p w14:paraId="2328B774" w14:textId="77777777" w:rsidR="00AF082A" w:rsidRDefault="00AF082A" w:rsidP="00AF082A">
      <w:pPr>
        <w:pStyle w:val="aff"/>
      </w:pPr>
      <w:r>
        <w:t xml:space="preserve">Crow, W. T., Berg, M. J. van den, Huffman, G. J., &amp; Pellarin, T. (2011). Correcting rainfall using satellite-based surface soil moisture retrievals: The Soil Moisture Analysis Rainfall Tool (SMART). </w:t>
      </w:r>
      <w:r>
        <w:rPr>
          <w:i/>
          <w:iCs/>
        </w:rPr>
        <w:t>Water Resources Research</w:t>
      </w:r>
      <w:r>
        <w:t xml:space="preserve">, </w:t>
      </w:r>
      <w:r>
        <w:rPr>
          <w:i/>
          <w:iCs/>
        </w:rPr>
        <w:t>47</w:t>
      </w:r>
      <w:r>
        <w:t>(8). https://doi.org/10.1029/2011WR010576</w:t>
      </w:r>
    </w:p>
    <w:p w14:paraId="6C12A78B" w14:textId="77777777" w:rsidR="00AF082A" w:rsidRDefault="00AF082A" w:rsidP="00AF082A">
      <w:pPr>
        <w:pStyle w:val="aff"/>
      </w:pPr>
      <w:r>
        <w:t xml:space="preserve">Crow, W. T., Bindlish, R., &amp; Jackson, T. J. (2005). The added value of spaceborne passive microwave soil moisture retrievals for forecasting rainfall-runoff partitioning. </w:t>
      </w:r>
      <w:r>
        <w:rPr>
          <w:i/>
          <w:iCs/>
        </w:rPr>
        <w:t>Geophysical Research Letters</w:t>
      </w:r>
      <w:r>
        <w:t xml:space="preserve">, </w:t>
      </w:r>
      <w:r>
        <w:rPr>
          <w:i/>
          <w:iCs/>
        </w:rPr>
        <w:t>32</w:t>
      </w:r>
      <w:r>
        <w:t>(18). https://doi.org/10.1029/2005GL023543</w:t>
      </w:r>
    </w:p>
    <w:p w14:paraId="22B26780" w14:textId="77777777" w:rsidR="00AF082A" w:rsidRDefault="00AF082A" w:rsidP="00AF082A">
      <w:pPr>
        <w:pStyle w:val="aff"/>
      </w:pPr>
      <w:r>
        <w:t xml:space="preserve">Crow, W. T., &amp; Loon, E. V. (2006). Impact of Incorrect Model Error Assumptions on the Sequential Assimilation of Remotely Sensed Surface Soil Moisture. </w:t>
      </w:r>
      <w:r>
        <w:rPr>
          <w:i/>
          <w:iCs/>
        </w:rPr>
        <w:t>Journal of Hydrometeorology</w:t>
      </w:r>
      <w:r>
        <w:t xml:space="preserve">, </w:t>
      </w:r>
      <w:r>
        <w:rPr>
          <w:i/>
          <w:iCs/>
        </w:rPr>
        <w:t>7</w:t>
      </w:r>
      <w:r>
        <w:t>(3), 421–432. https://doi.org/10.1175/JHM499.1</w:t>
      </w:r>
    </w:p>
    <w:p w14:paraId="31395179" w14:textId="77777777" w:rsidR="00AF082A" w:rsidRDefault="00AF082A" w:rsidP="00AF082A">
      <w:pPr>
        <w:pStyle w:val="aff"/>
      </w:pPr>
      <w:r>
        <w:t xml:space="preserve">Dingman, S. L. (2015). </w:t>
      </w:r>
      <w:r>
        <w:rPr>
          <w:i/>
          <w:iCs/>
        </w:rPr>
        <w:t>Physical Hydrology: Third Edition</w:t>
      </w:r>
      <w:r>
        <w:t>. Waveland Press.</w:t>
      </w:r>
    </w:p>
    <w:p w14:paraId="7EF75CBB" w14:textId="77777777" w:rsidR="00AF082A" w:rsidRDefault="00AF082A" w:rsidP="00AF082A">
      <w:pPr>
        <w:pStyle w:val="aff"/>
      </w:pPr>
      <w:r>
        <w:t xml:space="preserve">Dorigo, W. A., Gruber, A., De Jeu, R. A. M., Wagner, W., Stacke, T., Loew, A., Albergel, C., Brocca, L., Chung, D., Parinussa, R. M., &amp; Kidd, R. (2015). Evaluation of the ESA CCI soil moisture product using ground-based observations. </w:t>
      </w:r>
      <w:r>
        <w:rPr>
          <w:i/>
          <w:iCs/>
        </w:rPr>
        <w:t>Remote Sensing of Environment</w:t>
      </w:r>
      <w:r>
        <w:t xml:space="preserve">, </w:t>
      </w:r>
      <w:r>
        <w:rPr>
          <w:i/>
          <w:iCs/>
        </w:rPr>
        <w:t>162</w:t>
      </w:r>
      <w:r>
        <w:t>, 380–395. https://doi.org/10.1016/j.rse.2014.07.023</w:t>
      </w:r>
    </w:p>
    <w:p w14:paraId="72AD609A" w14:textId="77777777" w:rsidR="00AF082A" w:rsidRDefault="00AF082A" w:rsidP="00AF082A">
      <w:pPr>
        <w:pStyle w:val="aff"/>
      </w:pPr>
      <w:r>
        <w:lastRenderedPageBreak/>
        <w:t xml:space="preserve">Downer, C. W., &amp; Ogden, F. L. (2003). Prediction of runoff and soil moistures at the watershed scale: Effects of model complexity and parameter assignment. </w:t>
      </w:r>
      <w:r>
        <w:rPr>
          <w:i/>
          <w:iCs/>
        </w:rPr>
        <w:t>Water Resources Research</w:t>
      </w:r>
      <w:r>
        <w:t xml:space="preserve">, </w:t>
      </w:r>
      <w:r>
        <w:rPr>
          <w:i/>
          <w:iCs/>
        </w:rPr>
        <w:t>39</w:t>
      </w:r>
      <w:r>
        <w:t>(3). https://doi.org/10.1029/2002WR001439</w:t>
      </w:r>
    </w:p>
    <w:p w14:paraId="005FD8BA" w14:textId="77777777" w:rsidR="00AF082A" w:rsidRDefault="00AF082A" w:rsidP="00AF082A">
      <w:pPr>
        <w:pStyle w:val="aff"/>
      </w:pPr>
      <w:r>
        <w:t xml:space="preserve">Draper, C., Reichle, R., de Jeu, R., Naeimi, V., Parinussa, R., &amp; Wagner, W. (2013). Estimating root mean square errors in remotely sensed soil moisture over continental scale domains. </w:t>
      </w:r>
      <w:r>
        <w:rPr>
          <w:i/>
          <w:iCs/>
        </w:rPr>
        <w:t>Remote Sensing of Environment</w:t>
      </w:r>
      <w:r>
        <w:t xml:space="preserve">, </w:t>
      </w:r>
      <w:r>
        <w:rPr>
          <w:i/>
          <w:iCs/>
        </w:rPr>
        <w:t>137</w:t>
      </w:r>
      <w:r>
        <w:t>, 288–298.</w:t>
      </w:r>
    </w:p>
    <w:p w14:paraId="780A16E2" w14:textId="77777777" w:rsidR="00AF082A" w:rsidRDefault="00AF082A" w:rsidP="00AF082A">
      <w:pPr>
        <w:pStyle w:val="aff"/>
      </w:pPr>
      <w:r>
        <w:t xml:space="preserve">Ek, M. B., Mitchell, K. E., Lin, Y., Rogers, E., Grunmann, P., Koren, V., Gayno, G., &amp; Tarpley, J. D. (2003). Implementation of Noah land surface model advances in the National Centers for Environmental Prediction operational mesoscale Eta model. </w:t>
      </w:r>
      <w:r>
        <w:rPr>
          <w:i/>
          <w:iCs/>
        </w:rPr>
        <w:t>Journal of Geophysical Research: Atmospheres</w:t>
      </w:r>
      <w:r>
        <w:t xml:space="preserve">, </w:t>
      </w:r>
      <w:r>
        <w:rPr>
          <w:i/>
          <w:iCs/>
        </w:rPr>
        <w:t>108</w:t>
      </w:r>
      <w:r>
        <w:t>(D22).</w:t>
      </w:r>
    </w:p>
    <w:p w14:paraId="361CC89A" w14:textId="77777777" w:rsidR="00AF082A" w:rsidRDefault="00AF082A" w:rsidP="00AF082A">
      <w:pPr>
        <w:pStyle w:val="aff"/>
      </w:pPr>
      <w:r>
        <w:t xml:space="preserve">Entekhabi, D., Njoku, E. G., O’Neill, P. E., Kellogg, K. H., Crow, W. T., Edelstein, W. N., Entin, J. K., Goodman, S. D., Jackson, T. J., &amp; Johnson, J. (2010). The soil moisture active passive (SMAP) mission. </w:t>
      </w:r>
      <w:r>
        <w:rPr>
          <w:i/>
          <w:iCs/>
        </w:rPr>
        <w:t>Proceedings of the IEEE</w:t>
      </w:r>
      <w:r>
        <w:t xml:space="preserve">, </w:t>
      </w:r>
      <w:r>
        <w:rPr>
          <w:i/>
          <w:iCs/>
        </w:rPr>
        <w:t>98</w:t>
      </w:r>
      <w:r>
        <w:t>(5), 704–716.</w:t>
      </w:r>
    </w:p>
    <w:p w14:paraId="09487E69" w14:textId="77777777" w:rsidR="00AF082A" w:rsidRDefault="00AF082A" w:rsidP="00AF082A">
      <w:pPr>
        <w:pStyle w:val="aff"/>
      </w:pPr>
      <w:r>
        <w:t xml:space="preserve">Entekhabi, D., Yueh, S., &amp; De Lannoy, G. (2014). </w:t>
      </w:r>
      <w:r>
        <w:rPr>
          <w:i/>
          <w:iCs/>
        </w:rPr>
        <w:t>SMAP handbook</w:t>
      </w:r>
      <w:r>
        <w:t>.</w:t>
      </w:r>
    </w:p>
    <w:p w14:paraId="3D263A0B" w14:textId="77777777" w:rsidR="00AF082A" w:rsidRDefault="00AF082A" w:rsidP="00AF082A">
      <w:pPr>
        <w:pStyle w:val="aff"/>
      </w:pPr>
      <w:r>
        <w:t xml:space="preserve">Famiglietti, J. S., Ryu, D., Berg, A. A., Rodell, M., &amp; Jackson, T. J. (2008). Field observations of soil moisture variability across scales. </w:t>
      </w:r>
      <w:r>
        <w:rPr>
          <w:i/>
          <w:iCs/>
        </w:rPr>
        <w:t>Water Resources Research</w:t>
      </w:r>
      <w:r>
        <w:t xml:space="preserve">, </w:t>
      </w:r>
      <w:r>
        <w:rPr>
          <w:i/>
          <w:iCs/>
        </w:rPr>
        <w:t>44</w:t>
      </w:r>
      <w:r>
        <w:t>(1). https://doi.org/10.1029/2006WR005804</w:t>
      </w:r>
    </w:p>
    <w:p w14:paraId="7E8D7ECD" w14:textId="77777777" w:rsidR="00AF082A" w:rsidRDefault="00AF082A" w:rsidP="00AF082A">
      <w:pPr>
        <w:pStyle w:val="aff"/>
      </w:pPr>
      <w:r>
        <w:t xml:space="preserve">Fan, X., Liu, Y., Gan, G., &amp; Wu, G. (2020). SMAP underestimates soil moisture in vegetation-disturbed areas primarily as a result of biased surface temperature data. </w:t>
      </w:r>
      <w:r>
        <w:rPr>
          <w:i/>
          <w:iCs/>
        </w:rPr>
        <w:t>Remote Sensing of Environment</w:t>
      </w:r>
      <w:r>
        <w:t xml:space="preserve">, </w:t>
      </w:r>
      <w:r>
        <w:rPr>
          <w:i/>
          <w:iCs/>
        </w:rPr>
        <w:t>247</w:t>
      </w:r>
      <w:r>
        <w:t>, 111914. https://doi.org/10.1016/j.rse.2020.111914</w:t>
      </w:r>
    </w:p>
    <w:p w14:paraId="15467144" w14:textId="77777777" w:rsidR="00AF082A" w:rsidRDefault="00AF082A" w:rsidP="00AF082A">
      <w:pPr>
        <w:pStyle w:val="aff"/>
      </w:pPr>
      <w:r>
        <w:t xml:space="preserve">Findell, K. L., &amp; Eltahir, E. A. B. (2003). Atmospheric controls on soil moisture-boundary layer interactions: Three-dimensional wind effects. </w:t>
      </w:r>
      <w:r>
        <w:rPr>
          <w:i/>
          <w:iCs/>
        </w:rPr>
        <w:t>Journal of Geophysical Research: Atmospheres</w:t>
      </w:r>
      <w:r>
        <w:t xml:space="preserve">, </w:t>
      </w:r>
      <w:r>
        <w:rPr>
          <w:i/>
          <w:iCs/>
        </w:rPr>
        <w:t>108</w:t>
      </w:r>
      <w:r>
        <w:t>(D8). https://doi.org/10.1029/2001JD001515</w:t>
      </w:r>
    </w:p>
    <w:p w14:paraId="4A73FBAB" w14:textId="77777777" w:rsidR="00AF082A" w:rsidRDefault="00AF082A" w:rsidP="00AF082A">
      <w:pPr>
        <w:pStyle w:val="aff"/>
      </w:pPr>
      <w:r>
        <w:lastRenderedPageBreak/>
        <w:t xml:space="preserve">Ford, T. W., &amp; Quiring, S. M. (2019). Comparison of Contemporary In Situ, Model, and Satellite Remote Sensing Soil Moisture With a Focus on Drought Monitoring. </w:t>
      </w:r>
      <w:r>
        <w:rPr>
          <w:i/>
          <w:iCs/>
        </w:rPr>
        <w:t>Water Resources Research</w:t>
      </w:r>
      <w:r>
        <w:t xml:space="preserve">, </w:t>
      </w:r>
      <w:r>
        <w:rPr>
          <w:i/>
          <w:iCs/>
        </w:rPr>
        <w:t>55</w:t>
      </w:r>
      <w:r>
        <w:t>(2), 1565–1582. https://doi.org/10.1029/2018WR024039</w:t>
      </w:r>
    </w:p>
    <w:p w14:paraId="5E8AB147" w14:textId="77777777" w:rsidR="00AF082A" w:rsidRDefault="00AF082A" w:rsidP="00AF082A">
      <w:pPr>
        <w:pStyle w:val="aff"/>
      </w:pPr>
      <w:r>
        <w:t xml:space="preserve">Gao, H., Wood, E. F., Jackson, T. J., Drusch, M., &amp; Bindlish, R. (2006). Using TRMM/TMI to Retrieve Surface Soil Moisture over the Southern United States from 1998 to 2002. </w:t>
      </w:r>
      <w:r>
        <w:rPr>
          <w:i/>
          <w:iCs/>
        </w:rPr>
        <w:t>Journal of Hydrometeorology</w:t>
      </w:r>
      <w:r>
        <w:t xml:space="preserve">, </w:t>
      </w:r>
      <w:r>
        <w:rPr>
          <w:i/>
          <w:iCs/>
        </w:rPr>
        <w:t>7</w:t>
      </w:r>
      <w:r>
        <w:t>(1), 23–38. https://doi.org/10.1175/JHM473.1</w:t>
      </w:r>
    </w:p>
    <w:p w14:paraId="09BFC8B0" w14:textId="77777777" w:rsidR="00AF082A" w:rsidRDefault="00AF082A" w:rsidP="00AF082A">
      <w:pPr>
        <w:pStyle w:val="aff"/>
      </w:pPr>
      <w:r>
        <w:rPr>
          <w:i/>
          <w:iCs/>
        </w:rPr>
        <w:t>GES DISC Dataset: NLDAS Noah Land Surface Model L4 Monthly Climatology 0.125 x 0.125 degree V002 (NLDAS_NOAH0125_MC 002)</w:t>
      </w:r>
      <w:r>
        <w:t>. (n.d.). https://disc.gsfc.nasa.gov/datasets/NLDAS_NOAH0125_MC_002/summary</w:t>
      </w:r>
    </w:p>
    <w:p w14:paraId="1D82BDE3" w14:textId="77777777" w:rsidR="00AF082A" w:rsidRDefault="00AF082A" w:rsidP="00AF082A">
      <w:pPr>
        <w:pStyle w:val="aff"/>
      </w:pPr>
      <w:r>
        <w:t xml:space="preserve">Gruber, A., Scanlon, T., van der Schalie, R., Wagner, W., &amp; Dorigo, W. (2019). Evolution of the ESA CCI Soil Moisture climate data records and their underlying merging methodology. </w:t>
      </w:r>
      <w:r>
        <w:rPr>
          <w:i/>
          <w:iCs/>
        </w:rPr>
        <w:t>Earth System Science Data</w:t>
      </w:r>
      <w:r>
        <w:t xml:space="preserve">, </w:t>
      </w:r>
      <w:r>
        <w:rPr>
          <w:i/>
          <w:iCs/>
        </w:rPr>
        <w:t>11</w:t>
      </w:r>
      <w:r>
        <w:t>(2), 717–739. https://doi.org/10.5194/essd-11-717-2019</w:t>
      </w:r>
    </w:p>
    <w:p w14:paraId="3BBB7EEA" w14:textId="77777777" w:rsidR="00AF082A" w:rsidRDefault="00AF082A" w:rsidP="00AF082A">
      <w:pPr>
        <w:pStyle w:val="aff"/>
      </w:pPr>
      <w:r>
        <w:t xml:space="preserve">Gruber, A., Su, C.-H., Zwieback, S., Crow, W., Dorigo, W., &amp; Wagner, W. (2016). Recent advances in (soil moisture) triple collocation analysis. </w:t>
      </w:r>
      <w:r>
        <w:rPr>
          <w:i/>
          <w:iCs/>
        </w:rPr>
        <w:t>International Journal of Applied Earth Observation and Geoinformation</w:t>
      </w:r>
      <w:r>
        <w:t xml:space="preserve">, </w:t>
      </w:r>
      <w:r>
        <w:rPr>
          <w:i/>
          <w:iCs/>
        </w:rPr>
        <w:t>45</w:t>
      </w:r>
      <w:r>
        <w:t>, 200–211.</w:t>
      </w:r>
    </w:p>
    <w:p w14:paraId="23009B7F" w14:textId="77777777" w:rsidR="00AF082A" w:rsidRDefault="00AF082A" w:rsidP="00AF082A">
      <w:pPr>
        <w:pStyle w:val="aff"/>
      </w:pPr>
      <w:r>
        <w:t xml:space="preserve">Gu, Y., Hunt, E., Wardlow, B., Basara, J. B., Brown, J. F., &amp; Verdin, J. P. (2008). Evaluation of MODIS NDVI and NDWI for vegetation drought monitoring using Oklahoma Mesonet soil moisture data. </w:t>
      </w:r>
      <w:r>
        <w:rPr>
          <w:i/>
          <w:iCs/>
        </w:rPr>
        <w:t>Geophysical Research Letters</w:t>
      </w:r>
      <w:r>
        <w:t xml:space="preserve">, </w:t>
      </w:r>
      <w:r>
        <w:rPr>
          <w:i/>
          <w:iCs/>
        </w:rPr>
        <w:t>35</w:t>
      </w:r>
      <w:r>
        <w:t>(22). https://doi.org/10.1029/2008GL035772</w:t>
      </w:r>
    </w:p>
    <w:p w14:paraId="695A0B5C" w14:textId="77777777" w:rsidR="00AF082A" w:rsidRDefault="00AF082A" w:rsidP="00AF082A">
      <w:pPr>
        <w:pStyle w:val="aff"/>
      </w:pPr>
      <w:r>
        <w:t xml:space="preserve">Guttman, N. B., &amp; Quayle, R. G. (1996). A Historical Perspective of U.S. Climate Divisions. </w:t>
      </w:r>
      <w:r>
        <w:rPr>
          <w:i/>
          <w:iCs/>
        </w:rPr>
        <w:t>Bulletin of the American Meteorological Society</w:t>
      </w:r>
      <w:r>
        <w:t xml:space="preserve">, </w:t>
      </w:r>
      <w:r>
        <w:rPr>
          <w:i/>
          <w:iCs/>
        </w:rPr>
        <w:t>77</w:t>
      </w:r>
      <w:r>
        <w:t>(2), 293–304. https://doi.org/10.1175/1520-0477(1996)077&lt;0293:AHPOUC&gt;2.0.CO;2</w:t>
      </w:r>
    </w:p>
    <w:p w14:paraId="3E72B96A" w14:textId="77777777" w:rsidR="00AF082A" w:rsidRDefault="00AF082A" w:rsidP="00AF082A">
      <w:pPr>
        <w:pStyle w:val="aff"/>
      </w:pPr>
      <w:r>
        <w:lastRenderedPageBreak/>
        <w:t xml:space="preserve">Hansen, M. C., Defries, R. S., Townshend, J. R. G., &amp; Sohlberg, R. (2000). Global land cover classification at 1 km spatial resolution using a classification tree approach. </w:t>
      </w:r>
      <w:r>
        <w:rPr>
          <w:i/>
          <w:iCs/>
        </w:rPr>
        <w:t>International Journal of Remote Sensing</w:t>
      </w:r>
      <w:r>
        <w:t xml:space="preserve">, </w:t>
      </w:r>
      <w:r>
        <w:rPr>
          <w:i/>
          <w:iCs/>
        </w:rPr>
        <w:t>21</w:t>
      </w:r>
      <w:r>
        <w:t>(6–7), 1331–1364. https://doi.org/10.1080/014311600210209</w:t>
      </w:r>
    </w:p>
    <w:p w14:paraId="523FEE0D" w14:textId="77777777" w:rsidR="00AF082A" w:rsidRDefault="00AF082A" w:rsidP="00AF082A">
      <w:pPr>
        <w:pStyle w:val="aff"/>
      </w:pPr>
      <w:r>
        <w:t xml:space="preserve">Healy, J. H., Rubey, W. W., Griggs, D. T., &amp; Raleigh, C. B. (1968). The denver earthquakes. </w:t>
      </w:r>
      <w:r>
        <w:rPr>
          <w:i/>
          <w:iCs/>
        </w:rPr>
        <w:t>Science</w:t>
      </w:r>
      <w:r>
        <w:t xml:space="preserve">, </w:t>
      </w:r>
      <w:r>
        <w:rPr>
          <w:i/>
          <w:iCs/>
        </w:rPr>
        <w:t>161</w:t>
      </w:r>
      <w:r>
        <w:t>(3848), 1301–1310.</w:t>
      </w:r>
    </w:p>
    <w:p w14:paraId="799C3AB1" w14:textId="77777777" w:rsidR="00AF082A" w:rsidRDefault="00AF082A" w:rsidP="00AF082A">
      <w:pPr>
        <w:pStyle w:val="aff"/>
      </w:pPr>
      <w:r>
        <w:t xml:space="preserve">Hollinger, S. E., &amp; Isard, S. A. (1994). A Soil Moisture Climatology of Illinois. </w:t>
      </w:r>
      <w:r>
        <w:rPr>
          <w:i/>
          <w:iCs/>
        </w:rPr>
        <w:t>Journal of Climate</w:t>
      </w:r>
      <w:r>
        <w:t xml:space="preserve">, </w:t>
      </w:r>
      <w:r>
        <w:rPr>
          <w:i/>
          <w:iCs/>
        </w:rPr>
        <w:t>7</w:t>
      </w:r>
      <w:r>
        <w:t>(5), 822–833. https://doi.org/10.1175/1520-0442(1994)007&lt;0822:ASMCOI&gt;2.0.CO;2</w:t>
      </w:r>
    </w:p>
    <w:p w14:paraId="79848D8F" w14:textId="77777777" w:rsidR="00AF082A" w:rsidRDefault="00AF082A" w:rsidP="00AF082A">
      <w:pPr>
        <w:pStyle w:val="aff"/>
      </w:pPr>
      <w:r>
        <w:t xml:space="preserve">Hsieh, P. A., &amp; Bredehoeft, J. D. (1981). A reservoir analysis of the Denver earthquakes: A case of induced seismicity. </w:t>
      </w:r>
      <w:r>
        <w:rPr>
          <w:i/>
          <w:iCs/>
        </w:rPr>
        <w:t>Journal of Geophysical Research: Solid Earth</w:t>
      </w:r>
      <w:r>
        <w:t xml:space="preserve">, </w:t>
      </w:r>
      <w:r>
        <w:rPr>
          <w:i/>
          <w:iCs/>
        </w:rPr>
        <w:t>86</w:t>
      </w:r>
      <w:r>
        <w:t>(B2), 903–920.</w:t>
      </w:r>
    </w:p>
    <w:p w14:paraId="6D37B17D" w14:textId="77777777" w:rsidR="00AF082A" w:rsidRDefault="00AF082A" w:rsidP="00AF082A">
      <w:pPr>
        <w:pStyle w:val="aff"/>
      </w:pPr>
      <w:r>
        <w:t xml:space="preserve">Illston, B. G., Basara, J. B., &amp; Crawford, K. C. (2004). Seasonal to interannual variations of soil moisture measured in Oklahoma. </w:t>
      </w:r>
      <w:r>
        <w:rPr>
          <w:i/>
          <w:iCs/>
        </w:rPr>
        <w:t>International Journal of Climatology: A Journal of the Royal Meteorological Society</w:t>
      </w:r>
      <w:r>
        <w:t xml:space="preserve">, </w:t>
      </w:r>
      <w:r>
        <w:rPr>
          <w:i/>
          <w:iCs/>
        </w:rPr>
        <w:t>24</w:t>
      </w:r>
      <w:r>
        <w:t>(15), 1883–1896.</w:t>
      </w:r>
    </w:p>
    <w:p w14:paraId="0CA10312" w14:textId="77777777" w:rsidR="00AF082A" w:rsidRDefault="00AF082A" w:rsidP="00AF082A">
      <w:pPr>
        <w:pStyle w:val="aff"/>
      </w:pPr>
      <w:r>
        <w:t xml:space="preserve">Illston, B. G., Basara, J. B., Fiebrich, C. A., Crawford, K. C., Hunt, E., Fisher, D. K., Elliott, R., &amp; Humes, K. (2008). Mesoscale Monitoring of Soil Moisture across a Statewide Network. </w:t>
      </w:r>
      <w:r>
        <w:rPr>
          <w:i/>
          <w:iCs/>
        </w:rPr>
        <w:t>Journal of Atmospheric and Oceanic Technology</w:t>
      </w:r>
      <w:r>
        <w:t xml:space="preserve">, </w:t>
      </w:r>
      <w:r>
        <w:rPr>
          <w:i/>
          <w:iCs/>
        </w:rPr>
        <w:t>25</w:t>
      </w:r>
      <w:r>
        <w:t>(2), 167–182. https://doi.org/10.1175/2007JTECHA993.1</w:t>
      </w:r>
    </w:p>
    <w:p w14:paraId="17FF8A5B" w14:textId="77777777" w:rsidR="00AF082A" w:rsidRDefault="00AF082A" w:rsidP="00AF082A">
      <w:pPr>
        <w:pStyle w:val="aff"/>
      </w:pPr>
      <w:r>
        <w:t xml:space="preserve">Imaoka, K., Kachi, M., Kasahara, M., Ito, N., Nakagawa, K., &amp; Oki, T. (2010). Instrument performance and calibration of AMSR-E and AMSR2. </w:t>
      </w:r>
      <w:r>
        <w:rPr>
          <w:i/>
          <w:iCs/>
        </w:rPr>
        <w:t>International Archives of the Photogrammetry, Remote Sensing and Spatial Information Science</w:t>
      </w:r>
      <w:r>
        <w:t xml:space="preserve">, </w:t>
      </w:r>
      <w:r>
        <w:rPr>
          <w:i/>
          <w:iCs/>
        </w:rPr>
        <w:t>38</w:t>
      </w:r>
      <w:r>
        <w:t>(8), 13–18.</w:t>
      </w:r>
    </w:p>
    <w:p w14:paraId="416B7D1B" w14:textId="77777777" w:rsidR="00AF082A" w:rsidRDefault="00AF082A" w:rsidP="00AF082A">
      <w:pPr>
        <w:pStyle w:val="aff"/>
      </w:pPr>
      <w:r>
        <w:t xml:space="preserve">Jackson, T. J., Bindlish, R., Cosh, M. H., Zhao, T., Starks, P. J., Bosch, D. D., Seyfried, M., Moran, M. S., Goodrich, D. C., Kerr, Y. H., &amp; Leroux, D. (2012). Validation of Soil Moisture and Ocean Salinity (SMOS) Soil Moisture Over Watershed Networks in the U.S. </w:t>
      </w:r>
      <w:r>
        <w:rPr>
          <w:i/>
          <w:iCs/>
        </w:rPr>
        <w:t xml:space="preserve">IEEE </w:t>
      </w:r>
      <w:r>
        <w:rPr>
          <w:i/>
          <w:iCs/>
        </w:rPr>
        <w:lastRenderedPageBreak/>
        <w:t>Transactions on Geoscience and Remote Sensing</w:t>
      </w:r>
      <w:r>
        <w:t xml:space="preserve">, </w:t>
      </w:r>
      <w:r>
        <w:rPr>
          <w:i/>
          <w:iCs/>
        </w:rPr>
        <w:t>50</w:t>
      </w:r>
      <w:r>
        <w:t>(5), 1530–1543. https://doi.org/10.1109/TGRS.2011.2168533</w:t>
      </w:r>
    </w:p>
    <w:p w14:paraId="53AB498D" w14:textId="77777777" w:rsidR="00AF082A" w:rsidRDefault="00AF082A" w:rsidP="00AF082A">
      <w:pPr>
        <w:pStyle w:val="aff"/>
      </w:pPr>
      <w:r>
        <w:t xml:space="preserve">Jackson, T. J., Schmugge, J., &amp; Engman, E. T. (1996). Remote sensing applications to hydrology: Soil moisture. </w:t>
      </w:r>
      <w:r>
        <w:rPr>
          <w:i/>
          <w:iCs/>
        </w:rPr>
        <w:t>Hydrological Sciences Journal</w:t>
      </w:r>
      <w:r>
        <w:t xml:space="preserve">, </w:t>
      </w:r>
      <w:r>
        <w:rPr>
          <w:i/>
          <w:iCs/>
        </w:rPr>
        <w:t>41</w:t>
      </w:r>
      <w:r>
        <w:t>(4), 517–530.</w:t>
      </w:r>
    </w:p>
    <w:p w14:paraId="6D3190C5" w14:textId="77777777" w:rsidR="00AF082A" w:rsidRDefault="00AF082A" w:rsidP="00AF082A">
      <w:pPr>
        <w:pStyle w:val="aff"/>
      </w:pPr>
      <w:r>
        <w:t xml:space="preserve">Kang, J., Jin, R., Li, X., &amp; Zhang, Y. (2021). Mapping High Spatiotemporal-Resolution Soil Moisture by Upscaling Sparse Ground-Based Observations Using a Bayesian Linear Regression Method for Comparison with Microwave Remotely Sensed Soil Moisture Products. </w:t>
      </w:r>
      <w:r>
        <w:rPr>
          <w:i/>
          <w:iCs/>
        </w:rPr>
        <w:t>Remote Sensing</w:t>
      </w:r>
      <w:r>
        <w:t xml:space="preserve">, </w:t>
      </w:r>
      <w:r>
        <w:rPr>
          <w:i/>
          <w:iCs/>
        </w:rPr>
        <w:t>13</w:t>
      </w:r>
      <w:r>
        <w:t>(2), 228. https://doi.org/10.3390/rs13020228</w:t>
      </w:r>
    </w:p>
    <w:p w14:paraId="218BBAA6" w14:textId="77777777" w:rsidR="00AF082A" w:rsidRDefault="00AF082A" w:rsidP="00AF082A">
      <w:pPr>
        <w:pStyle w:val="aff"/>
      </w:pPr>
      <w:r>
        <w:t xml:space="preserve">Kerr, Y. H., Waldteufel, P., Wigneron, J.-P., Martinuzzi, J., Font, J., &amp; Berger, M. (2001). Soil moisture retrieval from space: The Soil Moisture and Ocean Salinity (SMOS) mission. </w:t>
      </w:r>
      <w:r>
        <w:rPr>
          <w:i/>
          <w:iCs/>
        </w:rPr>
        <w:t>IEEE Transactions on Geoscience and Remote Sensing</w:t>
      </w:r>
      <w:r>
        <w:t xml:space="preserve">, </w:t>
      </w:r>
      <w:r>
        <w:rPr>
          <w:i/>
          <w:iCs/>
        </w:rPr>
        <w:t>39</w:t>
      </w:r>
      <w:r>
        <w:t>(8), 1729–1735.</w:t>
      </w:r>
    </w:p>
    <w:p w14:paraId="08842722" w14:textId="77777777" w:rsidR="00AF082A" w:rsidRDefault="00AF082A" w:rsidP="00AF082A">
      <w:pPr>
        <w:pStyle w:val="aff"/>
      </w:pPr>
      <w:r>
        <w:t xml:space="preserve">Lakhankar, T., Jones, A. S., Combs, C. L., Sengupta, M., Vonder Haar, T. H., &amp; Khanbilvardi, R. (2010). Analysis of large scale spatial variability of soil moisture using a geostatistical method. </w:t>
      </w:r>
      <w:r>
        <w:rPr>
          <w:i/>
          <w:iCs/>
        </w:rPr>
        <w:t>Sensors</w:t>
      </w:r>
      <w:r>
        <w:t xml:space="preserve">, </w:t>
      </w:r>
      <w:r>
        <w:rPr>
          <w:i/>
          <w:iCs/>
        </w:rPr>
        <w:t>10</w:t>
      </w:r>
      <w:r>
        <w:t>(1), 913–932.</w:t>
      </w:r>
    </w:p>
    <w:p w14:paraId="50DDF900" w14:textId="77777777" w:rsidR="00AF082A" w:rsidRDefault="00AF082A" w:rsidP="00AF082A">
      <w:pPr>
        <w:pStyle w:val="aff"/>
      </w:pPr>
      <w:r>
        <w:t xml:space="preserve">Li, C., Tang, G., &amp; Hong, Y. (2018). Cross-evaluation of ground-based, multi-satellite and reanalysis precipitation products: Applicability of the Triple Collocation method across Mainland China. </w:t>
      </w:r>
      <w:r>
        <w:rPr>
          <w:i/>
          <w:iCs/>
        </w:rPr>
        <w:t>Journal of Hydrology</w:t>
      </w:r>
      <w:r>
        <w:t xml:space="preserve">, </w:t>
      </w:r>
      <w:r>
        <w:rPr>
          <w:i/>
          <w:iCs/>
        </w:rPr>
        <w:t>562</w:t>
      </w:r>
      <w:r>
        <w:t>, 71–83.</w:t>
      </w:r>
    </w:p>
    <w:p w14:paraId="6EA650EF" w14:textId="77777777" w:rsidR="00AF082A" w:rsidRDefault="00AF082A" w:rsidP="00AF082A">
      <w:pPr>
        <w:pStyle w:val="aff"/>
      </w:pPr>
      <w:r>
        <w:t xml:space="preserve">Loew, A., &amp; Schlenz, F. (2011). A dynamic approach for evaluating coarse scale satellite soil moisture products. </w:t>
      </w:r>
      <w:r>
        <w:rPr>
          <w:i/>
          <w:iCs/>
        </w:rPr>
        <w:t>Hydrology and Earth System Sciences</w:t>
      </w:r>
      <w:r>
        <w:t xml:space="preserve">, </w:t>
      </w:r>
      <w:r>
        <w:rPr>
          <w:i/>
          <w:iCs/>
        </w:rPr>
        <w:t>15</w:t>
      </w:r>
      <w:r>
        <w:t>(1), 75–90.</w:t>
      </w:r>
    </w:p>
    <w:p w14:paraId="7D7BDC27" w14:textId="77777777" w:rsidR="00AF082A" w:rsidRDefault="00AF082A" w:rsidP="00AF082A">
      <w:pPr>
        <w:pStyle w:val="aff"/>
      </w:pPr>
      <w:r>
        <w:t xml:space="preserve">McColl, K. A., Vogelzang, J., Konings, A. G., Entekhabi, D., Piles, M., &amp; Stoffelen, A. (2014). Extended triple collocation: Estimating errors and correlation coefficients with respect to an unknown target. </w:t>
      </w:r>
      <w:r>
        <w:rPr>
          <w:i/>
          <w:iCs/>
        </w:rPr>
        <w:t>Geophysical Research Letters</w:t>
      </w:r>
      <w:r>
        <w:t xml:space="preserve">, </w:t>
      </w:r>
      <w:r>
        <w:rPr>
          <w:i/>
          <w:iCs/>
        </w:rPr>
        <w:t>41</w:t>
      </w:r>
      <w:r>
        <w:t>(17), 6229–6236.</w:t>
      </w:r>
    </w:p>
    <w:p w14:paraId="13B9C3C6" w14:textId="77777777" w:rsidR="00AF082A" w:rsidRDefault="00AF082A" w:rsidP="00AF082A">
      <w:pPr>
        <w:pStyle w:val="aff"/>
      </w:pPr>
      <w:r>
        <w:lastRenderedPageBreak/>
        <w:t xml:space="preserve">McPherson, R. A., Fiebrich, C. A., Crawford, K. C., Kilby, J. R., Grimsley, D. L., Martinez, J. E., Basara, J. B., Illston, B. G., Morris, D. A., Kloesel, K. A., Melvin, A. D., Shrivastava, H., Wolfinbarger, J. M., Bostic, J. P., Demko, D. B., Elliott, R. L., Stadler, S. J., Carlson, J. D., &amp; Sutherland, A. J. (2007). Statewide Monitoring of the Mesoscale Environment: A Technical Update on the Oklahoma Mesonet. </w:t>
      </w:r>
      <w:r>
        <w:rPr>
          <w:i/>
          <w:iCs/>
        </w:rPr>
        <w:t>Journal of Atmospheric and Oceanic Technology</w:t>
      </w:r>
      <w:r>
        <w:t xml:space="preserve">, </w:t>
      </w:r>
      <w:r>
        <w:rPr>
          <w:i/>
          <w:iCs/>
        </w:rPr>
        <w:t>24</w:t>
      </w:r>
      <w:r>
        <w:t>(3), 301–321. https://doi.org/10.1175/JTECH1976.1</w:t>
      </w:r>
    </w:p>
    <w:p w14:paraId="5898434B" w14:textId="77777777" w:rsidR="00AF082A" w:rsidRDefault="00AF082A" w:rsidP="00AF082A">
      <w:pPr>
        <w:pStyle w:val="aff"/>
      </w:pPr>
      <w:r>
        <w:t xml:space="preserve">Meng, L., &amp; Quiring, S. M. (2008). A Comparison of Soil Moisture Models Using Soil Climate Analysis Network Observations. </w:t>
      </w:r>
      <w:r>
        <w:rPr>
          <w:i/>
          <w:iCs/>
        </w:rPr>
        <w:t>Journal of Hydrometeorology</w:t>
      </w:r>
      <w:r>
        <w:t xml:space="preserve">, </w:t>
      </w:r>
      <w:r>
        <w:rPr>
          <w:i/>
          <w:iCs/>
        </w:rPr>
        <w:t>9</w:t>
      </w:r>
      <w:r>
        <w:t>(4), 641–659. https://doi.org/10.1175/2008JHM916.1</w:t>
      </w:r>
    </w:p>
    <w:p w14:paraId="645A6F35" w14:textId="77777777" w:rsidR="00AF082A" w:rsidRDefault="00AF082A" w:rsidP="00AF082A">
      <w:pPr>
        <w:pStyle w:val="aff"/>
      </w:pPr>
      <w:r>
        <w:t xml:space="preserve">Miller, D. A., &amp; White, R. A. (1998). A conterminous United States multi-layer soil characteristics data set for regional climate and hydrology modeling, Earth Interactions, 2. Web-based publication. </w:t>
      </w:r>
      <w:r>
        <w:rPr>
          <w:i/>
          <w:iCs/>
        </w:rPr>
        <w:t>Res</w:t>
      </w:r>
      <w:r>
        <w:t>, 711–724.</w:t>
      </w:r>
    </w:p>
    <w:p w14:paraId="7C6931B9" w14:textId="77777777" w:rsidR="00AF082A" w:rsidRDefault="00AF082A" w:rsidP="00AF082A">
      <w:pPr>
        <w:pStyle w:val="aff"/>
      </w:pPr>
      <w:r>
        <w:t xml:space="preserve">Mitchell, K. E., Lohmann, D., Houser, P. R., Wood, E. F., Schaake, J. C., Robock, A., Cosgrove, B. A., Sheffield, J., Duan, Q., Luo, L., Higgins, R. W., Pinker, R. T., Tarpley, J. D., Lettenmaier, D. P., Marshall, C. H., Entin, J. K., Pan, M., Shi, W., Koren, V., … Bailey, A. A. (2004). The multi-institution North American Land Data Assimilation System (NLDAS): Utilizing multiple GCIP products and partners in a continental distributed hydrological modeling system. </w:t>
      </w:r>
      <w:r>
        <w:rPr>
          <w:i/>
          <w:iCs/>
        </w:rPr>
        <w:t>Journal of Geophysical Research: Atmospheres</w:t>
      </w:r>
      <w:r>
        <w:t xml:space="preserve">, </w:t>
      </w:r>
      <w:r>
        <w:rPr>
          <w:i/>
          <w:iCs/>
        </w:rPr>
        <w:t>109</w:t>
      </w:r>
      <w:r>
        <w:t>(D7). https://doi.org/10.1029/2003JD003823</w:t>
      </w:r>
    </w:p>
    <w:p w14:paraId="6AA56E81" w14:textId="77777777" w:rsidR="00AF082A" w:rsidRDefault="00AF082A" w:rsidP="00AF082A">
      <w:pPr>
        <w:pStyle w:val="aff"/>
      </w:pPr>
      <w:r>
        <w:t xml:space="preserve">Mohanty, B. P., Cosh, M. H., Lakshmi, V., &amp; Montzka, C. (2017). Soil Moisture Remote Sensing: State-of-the-Science. </w:t>
      </w:r>
      <w:r>
        <w:rPr>
          <w:i/>
          <w:iCs/>
        </w:rPr>
        <w:t>Vadose Zone Journal</w:t>
      </w:r>
      <w:r>
        <w:t xml:space="preserve">, </w:t>
      </w:r>
      <w:r>
        <w:rPr>
          <w:i/>
          <w:iCs/>
        </w:rPr>
        <w:t>16</w:t>
      </w:r>
      <w:r>
        <w:t>(1), vzj2016.10.0105. https://doi.org/10.2136/vzj2016.10.0105</w:t>
      </w:r>
    </w:p>
    <w:p w14:paraId="678D4512" w14:textId="77777777" w:rsidR="00AF082A" w:rsidRDefault="00AF082A" w:rsidP="00AF082A">
      <w:pPr>
        <w:pStyle w:val="aff"/>
      </w:pPr>
      <w:r>
        <w:lastRenderedPageBreak/>
        <w:t xml:space="preserve">Mohd Kassim, M. R., Mat, I., &amp; Harun, A. N. (2014). Wireless Sensor Network in precision agriculture application. </w:t>
      </w:r>
      <w:r>
        <w:rPr>
          <w:i/>
          <w:iCs/>
        </w:rPr>
        <w:t>2014 International Conference on Computer, Information and Telecommunication Systems (CITS)</w:t>
      </w:r>
      <w:r>
        <w:t>, 1–5. https://doi.org/10.1109/CITS.2014.6878963</w:t>
      </w:r>
    </w:p>
    <w:p w14:paraId="319FA732" w14:textId="77777777" w:rsidR="00AF082A" w:rsidRDefault="00AF082A" w:rsidP="00AF082A">
      <w:pPr>
        <w:pStyle w:val="aff"/>
      </w:pPr>
      <w:r>
        <w:t xml:space="preserve">National Research Council. (2013). </w:t>
      </w:r>
      <w:r>
        <w:rPr>
          <w:i/>
          <w:iCs/>
        </w:rPr>
        <w:t>Induced seismicity potential in energy technologies</w:t>
      </w:r>
      <w:r>
        <w:t>. National Academies Press.</w:t>
      </w:r>
    </w:p>
    <w:p w14:paraId="54DDF2F8" w14:textId="77777777" w:rsidR="00AF082A" w:rsidRDefault="00AF082A" w:rsidP="00AF082A">
      <w:pPr>
        <w:pStyle w:val="aff"/>
      </w:pPr>
      <w:r>
        <w:t xml:space="preserve">Ochsner, T. E., Linde, E., Haffner, M., &amp; Dong, J. (2019). Mesoscale Soil Moisture Patterns Revealed Using a Sparse In Situ Network and Regression Kriging. </w:t>
      </w:r>
      <w:r>
        <w:rPr>
          <w:i/>
          <w:iCs/>
        </w:rPr>
        <w:t>Water Resources Research</w:t>
      </w:r>
      <w:r>
        <w:t xml:space="preserve">, </w:t>
      </w:r>
      <w:r>
        <w:rPr>
          <w:i/>
          <w:iCs/>
        </w:rPr>
        <w:t>55</w:t>
      </w:r>
      <w:r>
        <w:t>(6), 4785–4800. https://doi.org/10.1029/2018WR024535</w:t>
      </w:r>
    </w:p>
    <w:p w14:paraId="61BEEAB6" w14:textId="77777777" w:rsidR="00AF082A" w:rsidRDefault="00AF082A" w:rsidP="00AF082A">
      <w:pPr>
        <w:pStyle w:val="aff"/>
      </w:pPr>
      <w:r>
        <w:t xml:space="preserve">ONeill, P. E., Chan, S., Njoku, E. G., Jackson, T., &amp; Bindlish, R. (2019). </w:t>
      </w:r>
      <w:r>
        <w:rPr>
          <w:i/>
          <w:iCs/>
        </w:rPr>
        <w:t>SMAP Enhanced L3 Radiometer Global Daily 9 km EASE-Grid Soil Moisture, Version 3</w:t>
      </w:r>
      <w:r>
        <w:t xml:space="preserve"> [Data set]. NASA National Snow and Ice Data Center DAAC. https://doi.org/10.5067/T90W6VRLCBHI</w:t>
      </w:r>
    </w:p>
    <w:p w14:paraId="743F210E" w14:textId="77777777" w:rsidR="00AF082A" w:rsidRDefault="00AF082A" w:rsidP="00AF082A">
      <w:pPr>
        <w:pStyle w:val="aff"/>
      </w:pPr>
      <w:r>
        <w:t xml:space="preserve">Parinussa, R. M., Meesters, A. G., Liu, Y. Y., Dorigo, W., Wagner, W., &amp; de Jeu, R. A. (2011). Error estimates for near-real-time satellite soil moisture as derived from the land parameter retrieval model. </w:t>
      </w:r>
      <w:r>
        <w:rPr>
          <w:i/>
          <w:iCs/>
        </w:rPr>
        <w:t>IEEE Geoscience and Remote Sensing Letters</w:t>
      </w:r>
      <w:r>
        <w:t xml:space="preserve">, </w:t>
      </w:r>
      <w:r>
        <w:rPr>
          <w:i/>
          <w:iCs/>
        </w:rPr>
        <w:t>8</w:t>
      </w:r>
      <w:r>
        <w:t>(4), 779–783.</w:t>
      </w:r>
    </w:p>
    <w:p w14:paraId="34E4073B" w14:textId="77777777" w:rsidR="00AF082A" w:rsidRDefault="00AF082A" w:rsidP="00AF082A">
      <w:pPr>
        <w:pStyle w:val="aff"/>
      </w:pPr>
      <w:r>
        <w:t xml:space="preserve">Peng, J., Loew, A., Merlin, O., &amp; Verhoest, N. E. C. (2017). A review of spatial downscaling of satellite remotely sensed soil moisture. </w:t>
      </w:r>
      <w:r>
        <w:rPr>
          <w:i/>
          <w:iCs/>
        </w:rPr>
        <w:t>Reviews of Geophysics</w:t>
      </w:r>
      <w:r>
        <w:t xml:space="preserve">, </w:t>
      </w:r>
      <w:r>
        <w:rPr>
          <w:i/>
          <w:iCs/>
        </w:rPr>
        <w:t>55</w:t>
      </w:r>
      <w:r>
        <w:t>(2), 341–366. https://doi.org/10.1002/2016RG000543</w:t>
      </w:r>
    </w:p>
    <w:p w14:paraId="2AF620B3" w14:textId="77777777" w:rsidR="00AF082A" w:rsidRDefault="00AF082A" w:rsidP="00AF082A">
      <w:pPr>
        <w:pStyle w:val="aff"/>
      </w:pPr>
      <w:r>
        <w:t xml:space="preserve">Pielke, R. A. (2001). Influence of the spatial distribution of vegetation and soils on the prediction of cumulus Convective rainfall. </w:t>
      </w:r>
      <w:r>
        <w:rPr>
          <w:i/>
          <w:iCs/>
        </w:rPr>
        <w:t>Reviews of Geophysics</w:t>
      </w:r>
      <w:r>
        <w:t xml:space="preserve">, </w:t>
      </w:r>
      <w:r>
        <w:rPr>
          <w:i/>
          <w:iCs/>
        </w:rPr>
        <w:t>39</w:t>
      </w:r>
      <w:r>
        <w:t>(2), 151–177. https://doi.org/10.1029/1999RG000072</w:t>
      </w:r>
    </w:p>
    <w:p w14:paraId="3F514AB2" w14:textId="77777777" w:rsidR="00AF082A" w:rsidRDefault="00AF082A" w:rsidP="00AF082A">
      <w:pPr>
        <w:pStyle w:val="aff"/>
      </w:pPr>
      <w:r>
        <w:t xml:space="preserve">Qin, J., Yang, K., Lu, N., Chen, Y., Zhao, L., &amp; Han, M. (2013). Spatial upscaling of in-situ soil moisture measurements based on MODIS-derived apparent thermal inertia. </w:t>
      </w:r>
      <w:r>
        <w:rPr>
          <w:i/>
          <w:iCs/>
        </w:rPr>
        <w:t>Remote Sensing of Environment</w:t>
      </w:r>
      <w:r>
        <w:t xml:space="preserve">, </w:t>
      </w:r>
      <w:r>
        <w:rPr>
          <w:i/>
          <w:iCs/>
        </w:rPr>
        <w:t>138</w:t>
      </w:r>
      <w:r>
        <w:t>, 1–9. https://doi.org/10.1016/j.rse.2013.07.003</w:t>
      </w:r>
    </w:p>
    <w:p w14:paraId="2CAB5612" w14:textId="77777777" w:rsidR="00AF082A" w:rsidRDefault="00AF082A" w:rsidP="00AF082A">
      <w:pPr>
        <w:pStyle w:val="aff"/>
      </w:pPr>
      <w:r>
        <w:lastRenderedPageBreak/>
        <w:t xml:space="preserve">Ray, R. L., Jacobs, J. M., &amp; Cosh, M. H. (2010). Landslide susceptibility mapping using downscaled AMSR-E soil moisture: A case study from Cleveland Corral, California, US. </w:t>
      </w:r>
      <w:r>
        <w:rPr>
          <w:i/>
          <w:iCs/>
        </w:rPr>
        <w:t>Remote Sensing of Environment</w:t>
      </w:r>
      <w:r>
        <w:t xml:space="preserve">, </w:t>
      </w:r>
      <w:r>
        <w:rPr>
          <w:i/>
          <w:iCs/>
        </w:rPr>
        <w:t>114</w:t>
      </w:r>
      <w:r>
        <w:t>(11), 2624–2636. https://doi.org/10.1016/j.rse.2010.05.033</w:t>
      </w:r>
    </w:p>
    <w:p w14:paraId="4411CE59" w14:textId="77777777" w:rsidR="00AF082A" w:rsidRDefault="00AF082A" w:rsidP="00AF082A">
      <w:pPr>
        <w:pStyle w:val="aff"/>
      </w:pPr>
      <w:r>
        <w:t xml:space="preserve">Reichle, R., De Lannoy, G., Koster, R., Crow, W., Kimball, J., &amp; Liu, Q. (2020). </w:t>
      </w:r>
      <w:r>
        <w:rPr>
          <w:i/>
          <w:iCs/>
        </w:rPr>
        <w:t>SMAP L4 Global 3-hourly 9 km EASE-Grid Surface and Root Zone Soil Moisture Geophysical Data, Version 5</w:t>
      </w:r>
      <w:r>
        <w:t xml:space="preserve"> [Data set]. NASA National Snow and Ice Data Center DAAC. https://doi.org/10.5067/9LNYIYOBNBR5</w:t>
      </w:r>
    </w:p>
    <w:p w14:paraId="7A26160D" w14:textId="77777777" w:rsidR="00AF082A" w:rsidRDefault="00AF082A" w:rsidP="00AF082A">
      <w:pPr>
        <w:pStyle w:val="aff"/>
      </w:pPr>
      <w:r>
        <w:t xml:space="preserve">Reichle, R. H., Crow, W. T., &amp; Keppenne, C. L. (2008). An adaptive ensemble Kalman filter for soil moisture data assimilation. </w:t>
      </w:r>
      <w:r>
        <w:rPr>
          <w:i/>
          <w:iCs/>
        </w:rPr>
        <w:t>Water Resources Research</w:t>
      </w:r>
      <w:r>
        <w:t xml:space="preserve">, </w:t>
      </w:r>
      <w:r>
        <w:rPr>
          <w:i/>
          <w:iCs/>
        </w:rPr>
        <w:t>44</w:t>
      </w:r>
      <w:r>
        <w:t>(3). https://doi.org/10.1029/2007WR006357</w:t>
      </w:r>
    </w:p>
    <w:p w14:paraId="2228FC3E" w14:textId="77777777" w:rsidR="00AF082A" w:rsidRDefault="00AF082A" w:rsidP="00AF082A">
      <w:pPr>
        <w:pStyle w:val="aff"/>
      </w:pPr>
      <w:r>
        <w:t xml:space="preserve">Reichle, R. H., Lannoy, G. J. M. D., Liu, Q., Ardizzone, J. V., Colliander, A., Conaty, A., Crow, W., Jackson, T. J., Jones, L. A., Kimball, J. S., Koster, R. D., Mahanama, S. P., Smith, E. B., Berg, A., Bircher, S., Bosch, D., Caldwell, T. G., Cosh, M., González-Zamora, Á., … Zeng, Y. (2017). Assessment of the SMAP Level-4 Surface and Root-Zone Soil Moisture Product Using In Situ Measurements. </w:t>
      </w:r>
      <w:r>
        <w:rPr>
          <w:i/>
          <w:iCs/>
        </w:rPr>
        <w:t>Journal of Hydrometeorology</w:t>
      </w:r>
      <w:r>
        <w:t xml:space="preserve">, </w:t>
      </w:r>
      <w:r>
        <w:rPr>
          <w:i/>
          <w:iCs/>
        </w:rPr>
        <w:t>18</w:t>
      </w:r>
      <w:r>
        <w:t>(10), 2621–2645. https://doi.org/10.1175/JHM-D-17-0063.1</w:t>
      </w:r>
    </w:p>
    <w:p w14:paraId="19619265" w14:textId="77777777" w:rsidR="00AF082A" w:rsidRDefault="00AF082A" w:rsidP="00AF082A">
      <w:pPr>
        <w:pStyle w:val="aff"/>
      </w:pPr>
      <w:r>
        <w:t xml:space="preserve">Robock, A., Vinnikov, K. Y., Srinivasan, G., Entin, J. K., Hollinger, S. E., Speranskaya, N. A., Liu, S., &amp; Namkhai, A. (2000). The Global Soil Moisture Data Bank. </w:t>
      </w:r>
      <w:r>
        <w:rPr>
          <w:i/>
          <w:iCs/>
        </w:rPr>
        <w:t>Bulletin of the American Meteorological Society</w:t>
      </w:r>
      <w:r>
        <w:t xml:space="preserve">, </w:t>
      </w:r>
      <w:r>
        <w:rPr>
          <w:i/>
          <w:iCs/>
        </w:rPr>
        <w:t>81</w:t>
      </w:r>
      <w:r>
        <w:t>(6), 1281–1300. https://doi.org/10.1175/1520-0477(2000)081&lt;1281:TGSMDB&gt;2.3.CO;2</w:t>
      </w:r>
    </w:p>
    <w:p w14:paraId="4F39E530" w14:textId="77777777" w:rsidR="00AF082A" w:rsidRDefault="00AF082A" w:rsidP="00AF082A">
      <w:pPr>
        <w:pStyle w:val="aff"/>
      </w:pPr>
      <w:r>
        <w:t xml:space="preserve">Rodell, M., Houser, P. R., Jambor, U., Gottschalck, J., Mitchell, K., Meng, C.-J., Arsenault, K., Cosgrove, B., Radakovich, J., Bosilovich, M., Entin, J. K., Walker, J. P., Lohmann, D., &amp; </w:t>
      </w:r>
      <w:r>
        <w:lastRenderedPageBreak/>
        <w:t xml:space="preserve">Toll, D. (2004). The Global Land Data Assimilation System. </w:t>
      </w:r>
      <w:r>
        <w:rPr>
          <w:i/>
          <w:iCs/>
        </w:rPr>
        <w:t>Bulletin of the American Meteorological Society</w:t>
      </w:r>
      <w:r>
        <w:t xml:space="preserve">, </w:t>
      </w:r>
      <w:r>
        <w:rPr>
          <w:i/>
          <w:iCs/>
        </w:rPr>
        <w:t>85</w:t>
      </w:r>
      <w:r>
        <w:t>(3), 381–394. https://doi.org/10.1175/BAMS-85-3-381</w:t>
      </w:r>
    </w:p>
    <w:p w14:paraId="7B1A3AA0" w14:textId="77777777" w:rsidR="00AF082A" w:rsidRDefault="00AF082A" w:rsidP="00AF082A">
      <w:pPr>
        <w:pStyle w:val="aff"/>
      </w:pPr>
      <w:r>
        <w:t xml:space="preserve">Rubinstein, J. L., &amp; Mahani, A. B. (2015). Myths and facts on wastewater injection, hydraulic fracturing, enhanced oil recovery, and induced seismicity. </w:t>
      </w:r>
      <w:r>
        <w:rPr>
          <w:i/>
          <w:iCs/>
        </w:rPr>
        <w:t>Seismological Research Letters</w:t>
      </w:r>
      <w:r>
        <w:t xml:space="preserve">, </w:t>
      </w:r>
      <w:r>
        <w:rPr>
          <w:i/>
          <w:iCs/>
        </w:rPr>
        <w:t>86</w:t>
      </w:r>
      <w:r>
        <w:t>(4), 1060–1067.</w:t>
      </w:r>
    </w:p>
    <w:p w14:paraId="38480450" w14:textId="77777777" w:rsidR="00AF082A" w:rsidRDefault="00AF082A" w:rsidP="00AF082A">
      <w:pPr>
        <w:pStyle w:val="aff"/>
      </w:pPr>
      <w:r>
        <w:t xml:space="preserve">Samouëlian, A., Cousin, I., Tabbagh, A., Bruand, A., &amp; Richard, G. (2005). Electrical resistivity survey in soil science: A review. </w:t>
      </w:r>
      <w:r>
        <w:rPr>
          <w:i/>
          <w:iCs/>
        </w:rPr>
        <w:t>Soil and Tillage Research</w:t>
      </w:r>
      <w:r>
        <w:t xml:space="preserve">, </w:t>
      </w:r>
      <w:r>
        <w:rPr>
          <w:i/>
          <w:iCs/>
        </w:rPr>
        <w:t>83</w:t>
      </w:r>
      <w:r>
        <w:t>(2), 173–193. https://doi.org/10.1016/j.still.2004.10.004</w:t>
      </w:r>
    </w:p>
    <w:p w14:paraId="3DDA3207" w14:textId="77777777" w:rsidR="00AF082A" w:rsidRDefault="00AF082A" w:rsidP="00AF082A">
      <w:pPr>
        <w:pStyle w:val="aff"/>
      </w:pPr>
      <w:r>
        <w:t xml:space="preserve">Sayde, C., Gregory, C., Gil-Rodriguez, M., Tufillaro, N., Tyler, S., Giesen, N. van de, English, M., Cuenca, R., &amp; Selker, J. S. (2010). Feasibility of soil moisture monitoring with heated fiber optics. </w:t>
      </w:r>
      <w:r>
        <w:rPr>
          <w:i/>
          <w:iCs/>
        </w:rPr>
        <w:t>Water Resources Research</w:t>
      </w:r>
      <w:r>
        <w:t xml:space="preserve">, </w:t>
      </w:r>
      <w:r>
        <w:rPr>
          <w:i/>
          <w:iCs/>
        </w:rPr>
        <w:t>46</w:t>
      </w:r>
      <w:r>
        <w:t>(6). https://doi.org/10.1029/2009WR007846</w:t>
      </w:r>
    </w:p>
    <w:p w14:paraId="76BDFC86" w14:textId="77777777" w:rsidR="00AF082A" w:rsidRDefault="00AF082A" w:rsidP="00AF082A">
      <w:pPr>
        <w:pStyle w:val="aff"/>
      </w:pPr>
      <w:r>
        <w:t xml:space="preserve">Scipal, K., Holmes, T., Jeu, R. de, Naeimi, V., &amp; Wagner, W. (2008). A possible solution for the problem of estimating the error structure of global soil moisture data sets. </w:t>
      </w:r>
      <w:r>
        <w:rPr>
          <w:i/>
          <w:iCs/>
        </w:rPr>
        <w:t>Geophysical Research Letters</w:t>
      </w:r>
      <w:r>
        <w:t xml:space="preserve">, </w:t>
      </w:r>
      <w:r>
        <w:rPr>
          <w:i/>
          <w:iCs/>
        </w:rPr>
        <w:t>35</w:t>
      </w:r>
      <w:r>
        <w:t>(24). https://doi.org/10.1029/2008GL035599</w:t>
      </w:r>
    </w:p>
    <w:p w14:paraId="718D938B" w14:textId="77777777" w:rsidR="00AF082A" w:rsidRDefault="00AF082A" w:rsidP="00AF082A">
      <w:pPr>
        <w:pStyle w:val="aff"/>
      </w:pPr>
      <w:r>
        <w:t xml:space="preserve">Selig, E. T., &amp; Mansukhani, S. (1975). Relationship of Soil Moisture to the Dielectric Property. </w:t>
      </w:r>
      <w:r>
        <w:rPr>
          <w:i/>
          <w:iCs/>
        </w:rPr>
        <w:t>Journal of the Geotechnical Engineering Division</w:t>
      </w:r>
      <w:r>
        <w:t xml:space="preserve">, </w:t>
      </w:r>
      <w:r>
        <w:rPr>
          <w:i/>
          <w:iCs/>
        </w:rPr>
        <w:t>101</w:t>
      </w:r>
      <w:r>
        <w:t>(8), 755–770. https://doi.org/10.1061/AJGEB6.0000184</w:t>
      </w:r>
    </w:p>
    <w:p w14:paraId="5F6226DE" w14:textId="77777777" w:rsidR="00AF082A" w:rsidRDefault="00AF082A" w:rsidP="00AF082A">
      <w:pPr>
        <w:pStyle w:val="aff"/>
      </w:pPr>
      <w:r>
        <w:t xml:space="preserve">Seneviratne, S. I., Corti, T., Davin, E. L., Hirschi, M., Jaeger, E. B., Lehner, I., Orlowsky, B., &amp; Teuling, A. J. (2010). Investigating soil moisture–climate interactions in a changing climate: A review. </w:t>
      </w:r>
      <w:r>
        <w:rPr>
          <w:i/>
          <w:iCs/>
        </w:rPr>
        <w:t>Earth-Science Reviews</w:t>
      </w:r>
      <w:r>
        <w:t xml:space="preserve">, </w:t>
      </w:r>
      <w:r>
        <w:rPr>
          <w:i/>
          <w:iCs/>
        </w:rPr>
        <w:t>99</w:t>
      </w:r>
      <w:r>
        <w:t>(3), 125–161. https://doi.org/10.1016/j.earscirev.2010.02.004</w:t>
      </w:r>
    </w:p>
    <w:p w14:paraId="5379F7BA" w14:textId="77777777" w:rsidR="00AF082A" w:rsidRDefault="00AF082A" w:rsidP="00AF082A">
      <w:pPr>
        <w:pStyle w:val="aff"/>
      </w:pPr>
      <w:r>
        <w:t xml:space="preserve">Shapiro, S. A., &amp; Dinske, C. (2009). Fluid‐induced seismicity: Pressure diffusion and hydraulic fracturing. </w:t>
      </w:r>
      <w:r>
        <w:rPr>
          <w:i/>
          <w:iCs/>
        </w:rPr>
        <w:t>Geophysical Prospecting</w:t>
      </w:r>
      <w:r>
        <w:t xml:space="preserve">, </w:t>
      </w:r>
      <w:r>
        <w:rPr>
          <w:i/>
          <w:iCs/>
        </w:rPr>
        <w:t>57</w:t>
      </w:r>
      <w:r>
        <w:t>(2), 301–310.</w:t>
      </w:r>
    </w:p>
    <w:p w14:paraId="092175B0" w14:textId="77777777" w:rsidR="00AF082A" w:rsidRDefault="00AF082A" w:rsidP="00AF082A">
      <w:pPr>
        <w:pStyle w:val="aff"/>
      </w:pPr>
      <w:r>
        <w:lastRenderedPageBreak/>
        <w:t xml:space="preserve">Stoffelen, A. (1998). Toward the true near‐surface wind speed: Error modeling and calibration using triple collocation. </w:t>
      </w:r>
      <w:r>
        <w:rPr>
          <w:i/>
          <w:iCs/>
        </w:rPr>
        <w:t>Journal of Geophysical Research: Oceans</w:t>
      </w:r>
      <w:r>
        <w:t xml:space="preserve">, </w:t>
      </w:r>
      <w:r>
        <w:rPr>
          <w:i/>
          <w:iCs/>
        </w:rPr>
        <w:t>103</w:t>
      </w:r>
      <w:r>
        <w:t>(C4), 7755–7766.</w:t>
      </w:r>
    </w:p>
    <w:p w14:paraId="63AC8F9E" w14:textId="77777777" w:rsidR="00AF082A" w:rsidRDefault="00AF082A" w:rsidP="00AF082A">
      <w:pPr>
        <w:pStyle w:val="aff"/>
      </w:pPr>
      <w:r>
        <w:t xml:space="preserve">S.u., S. L., Singh, D. N., &amp; Shojaei Baghini, M. (2014). A critical review of soil moisture measurement. </w:t>
      </w:r>
      <w:r>
        <w:rPr>
          <w:i/>
          <w:iCs/>
        </w:rPr>
        <w:t>Measurement</w:t>
      </w:r>
      <w:r>
        <w:t xml:space="preserve">, </w:t>
      </w:r>
      <w:r>
        <w:rPr>
          <w:i/>
          <w:iCs/>
        </w:rPr>
        <w:t>54</w:t>
      </w:r>
      <w:r>
        <w:t>, 92–105. https://doi.org/10.1016/j.measurement.2014.04.007</w:t>
      </w:r>
    </w:p>
    <w:p w14:paraId="6E0E8074" w14:textId="77777777" w:rsidR="00AF082A" w:rsidRDefault="00AF082A" w:rsidP="00AF082A">
      <w:pPr>
        <w:pStyle w:val="aff"/>
      </w:pPr>
      <w:r>
        <w:t xml:space="preserve">Swenson, S., Famiglietti, J., Basara, J., &amp; Wahr, J. (2008). Estimating profile soil moisture and groundwater variations using GRACE and Oklahoma Mesonet soil moisture data. </w:t>
      </w:r>
      <w:r>
        <w:rPr>
          <w:i/>
          <w:iCs/>
        </w:rPr>
        <w:t>Water Resources Research</w:t>
      </w:r>
      <w:r>
        <w:t xml:space="preserve">, </w:t>
      </w:r>
      <w:r>
        <w:rPr>
          <w:i/>
          <w:iCs/>
        </w:rPr>
        <w:t>44</w:t>
      </w:r>
      <w:r>
        <w:t>(1). https://doi.org/10.1029/2007WR006057</w:t>
      </w:r>
    </w:p>
    <w:p w14:paraId="3D62DD19" w14:textId="77777777" w:rsidR="00AF082A" w:rsidRDefault="00AF082A" w:rsidP="00AF082A">
      <w:pPr>
        <w:pStyle w:val="aff"/>
      </w:pPr>
      <w:r>
        <w:t xml:space="preserve">Tavakol, A., Rahmani, V., Quiring, S. M., &amp; Kumar, S. V. (2019). Evaluation analysis of NASA SMAP L3 and L4 and SPoRT-LIS soil moisture data in the United States. </w:t>
      </w:r>
      <w:r>
        <w:rPr>
          <w:i/>
          <w:iCs/>
        </w:rPr>
        <w:t>Remote Sensing of Environment</w:t>
      </w:r>
      <w:r>
        <w:t xml:space="preserve">, </w:t>
      </w:r>
      <w:r>
        <w:rPr>
          <w:i/>
          <w:iCs/>
        </w:rPr>
        <w:t>229</w:t>
      </w:r>
      <w:r>
        <w:t>, 234–246. https://doi.org/10.1016/j.rse.2019.05.006</w:t>
      </w:r>
    </w:p>
    <w:p w14:paraId="14C8E4C5" w14:textId="77777777" w:rsidR="00AF082A" w:rsidRDefault="00AF082A" w:rsidP="00AF082A">
      <w:pPr>
        <w:pStyle w:val="aff"/>
      </w:pPr>
      <w:r>
        <w:t xml:space="preserve">Trenberth, K. E., Fasullo, J. T., &amp; Kiehl, J. (2009). Earth’s Global Energy Budget. </w:t>
      </w:r>
      <w:r>
        <w:rPr>
          <w:i/>
          <w:iCs/>
        </w:rPr>
        <w:t>Bulletin of the American Meteorological Society</w:t>
      </w:r>
      <w:r>
        <w:t xml:space="preserve">, </w:t>
      </w:r>
      <w:r>
        <w:rPr>
          <w:i/>
          <w:iCs/>
        </w:rPr>
        <w:t>90</w:t>
      </w:r>
      <w:r>
        <w:t>(3), 311–324. https://doi.org/10.1175/2008BAMS2634.1</w:t>
      </w:r>
    </w:p>
    <w:p w14:paraId="79FD277D" w14:textId="77777777" w:rsidR="00AF082A" w:rsidRDefault="00AF082A" w:rsidP="00AF082A">
      <w:pPr>
        <w:pStyle w:val="aff"/>
      </w:pPr>
      <w:r>
        <w:t xml:space="preserve">U.S. Energy Information Administration. (2021, April 15). </w:t>
      </w:r>
      <w:r>
        <w:rPr>
          <w:i/>
          <w:iCs/>
        </w:rPr>
        <w:t>Oklahoma State Energy Profile</w:t>
      </w:r>
      <w:r>
        <w:t>. https://www.eia.gov/state/print.php?sid=OK</w:t>
      </w:r>
    </w:p>
    <w:p w14:paraId="7FE0E303" w14:textId="77777777" w:rsidR="00AF082A" w:rsidRDefault="00AF082A" w:rsidP="00AF082A">
      <w:pPr>
        <w:pStyle w:val="aff"/>
      </w:pPr>
      <w:r>
        <w:t xml:space="preserve">US EPA, O. (2015a, March 25). </w:t>
      </w:r>
      <w:r>
        <w:rPr>
          <w:i/>
          <w:iCs/>
        </w:rPr>
        <w:t>Safe Drinking Water Act (SDWA)</w:t>
      </w:r>
      <w:r>
        <w:t xml:space="preserve"> [Collections and Lists]. US EPA. https://www.epa.gov/sdwa</w:t>
      </w:r>
    </w:p>
    <w:p w14:paraId="7171ECFD" w14:textId="77777777" w:rsidR="00AF082A" w:rsidRDefault="00AF082A" w:rsidP="00AF082A">
      <w:pPr>
        <w:pStyle w:val="aff"/>
      </w:pPr>
      <w:r>
        <w:t xml:space="preserve">US EPA, O. (2015b, March 27). </w:t>
      </w:r>
      <w:r>
        <w:rPr>
          <w:i/>
          <w:iCs/>
        </w:rPr>
        <w:t>Class II Oil and Gas Related Injection Wells</w:t>
      </w:r>
      <w:r>
        <w:t xml:space="preserve"> [Overviews and Factsheets]. US EPA. https://www.epa.gov/uic/class-ii-oil-and-gas-related-injection-wells</w:t>
      </w:r>
    </w:p>
    <w:p w14:paraId="3A9D8C56" w14:textId="77777777" w:rsidR="00AF082A" w:rsidRDefault="00AF082A" w:rsidP="00AF082A">
      <w:pPr>
        <w:pStyle w:val="aff"/>
      </w:pPr>
      <w:r>
        <w:t xml:space="preserve">US EPA, O. (2015c, April 1). </w:t>
      </w:r>
      <w:r>
        <w:rPr>
          <w:i/>
          <w:iCs/>
        </w:rPr>
        <w:t>General Information About Injection Wells</w:t>
      </w:r>
      <w:r>
        <w:t xml:space="preserve"> [Overviews and Factsheets]. US EPA. https://www.epa.gov/uic/general-information-about-injection-wells</w:t>
      </w:r>
    </w:p>
    <w:p w14:paraId="491DA4C5" w14:textId="77777777" w:rsidR="00AF082A" w:rsidRDefault="00AF082A" w:rsidP="00AF082A">
      <w:pPr>
        <w:pStyle w:val="aff"/>
      </w:pPr>
      <w:r>
        <w:lastRenderedPageBreak/>
        <w:t xml:space="preserve">Valente, A., Morais, R., Tuli, A., Hopmans, J. W., &amp; Kluitenberg, G. J. (2006). Multi-functional probe for small-scale simultaneous measurements of soil thermal properties, water content, and electrical conductivity. </w:t>
      </w:r>
      <w:r>
        <w:rPr>
          <w:i/>
          <w:iCs/>
        </w:rPr>
        <w:t>Sensors and Actuators A: Physical</w:t>
      </w:r>
      <w:r>
        <w:t xml:space="preserve">, </w:t>
      </w:r>
      <w:r>
        <w:rPr>
          <w:i/>
          <w:iCs/>
        </w:rPr>
        <w:t>132</w:t>
      </w:r>
      <w:r>
        <w:t>(1), 70–77. https://doi.org/10.1016/j.sna.2006.05.010</w:t>
      </w:r>
    </w:p>
    <w:p w14:paraId="1146F821" w14:textId="77777777" w:rsidR="00AF082A" w:rsidRDefault="00AF082A" w:rsidP="00AF082A">
      <w:pPr>
        <w:pStyle w:val="aff"/>
      </w:pPr>
      <w:r>
        <w:t xml:space="preserve">Wagner, W., Hahn, S., Kidd, R., Melzer, T., Bartalis, Z., Hasenauer, S., Figa-Saldana, J., de Rosnay, P., Jann, A., Schneider, S., Komma, J., Kubu, G., Brugger, K., Aubrecht, C., Züger, J., Gangkofner, U., Kienberger, S., Brocca, L., Wang, Y., … Rubel, F. (2013). The ASCAT soil moisture product: A review of its specifications, validation results, and emerging applications. </w:t>
      </w:r>
      <w:r>
        <w:rPr>
          <w:i/>
          <w:iCs/>
        </w:rPr>
        <w:t>Meteorologische Zeitschrift</w:t>
      </w:r>
      <w:r>
        <w:t>. https://doi.org/10.1127/0941-2948/2013/0399</w:t>
      </w:r>
    </w:p>
    <w:p w14:paraId="6AA9C64E" w14:textId="77777777" w:rsidR="00AF082A" w:rsidRDefault="00AF082A" w:rsidP="00AF082A">
      <w:pPr>
        <w:pStyle w:val="aff"/>
      </w:pPr>
      <w:r>
        <w:t xml:space="preserve">Wagner, W., Lemoine, G., Borgeaud, M., &amp; Rott, H. (1999). A study of vegetation cover effects on ERS scatterometer data. </w:t>
      </w:r>
      <w:r>
        <w:rPr>
          <w:i/>
          <w:iCs/>
        </w:rPr>
        <w:t>IEEE Transactions on Geoscience and Remote Sensing</w:t>
      </w:r>
      <w:r>
        <w:t xml:space="preserve">, </w:t>
      </w:r>
      <w:r>
        <w:rPr>
          <w:i/>
          <w:iCs/>
        </w:rPr>
        <w:t>37</w:t>
      </w:r>
      <w:r>
        <w:t>(2), 938–948.</w:t>
      </w:r>
    </w:p>
    <w:p w14:paraId="0E2980A5" w14:textId="77777777" w:rsidR="00AF082A" w:rsidRDefault="00AF082A" w:rsidP="00AF082A">
      <w:pPr>
        <w:pStyle w:val="aff"/>
      </w:pPr>
      <w:r>
        <w:t xml:space="preserve">Wang, J., Ge, Y., Heuvelink, G. B. M., &amp; Zhou, C. (2015). Upscaling In Situ Soil Moisture Observations to Pixel Averages with Spatio-Temporal Geostatistics. </w:t>
      </w:r>
      <w:r>
        <w:rPr>
          <w:i/>
          <w:iCs/>
        </w:rPr>
        <w:t>Remote Sensing</w:t>
      </w:r>
      <w:r>
        <w:t xml:space="preserve">, </w:t>
      </w:r>
      <w:r>
        <w:rPr>
          <w:i/>
          <w:iCs/>
        </w:rPr>
        <w:t>7</w:t>
      </w:r>
      <w:r>
        <w:t>(9), 11372–11388. https://doi.org/10.3390/rs70911372</w:t>
      </w:r>
    </w:p>
    <w:p w14:paraId="6938F967" w14:textId="77777777" w:rsidR="00AF082A" w:rsidRDefault="00AF082A" w:rsidP="00AF082A">
      <w:pPr>
        <w:pStyle w:val="aff"/>
      </w:pPr>
      <w:r>
        <w:t xml:space="preserve">Woodley, W. (2017). </w:t>
      </w:r>
      <w:r>
        <w:rPr>
          <w:i/>
          <w:iCs/>
        </w:rPr>
        <w:t>Investigating the upscaling of in situ soil moisture measurements for satellite validation</w:t>
      </w:r>
      <w:r>
        <w:t>.</w:t>
      </w:r>
    </w:p>
    <w:p w14:paraId="49C4DEDA" w14:textId="77777777" w:rsidR="00AF082A" w:rsidRDefault="00AF082A" w:rsidP="00AF082A">
      <w:pPr>
        <w:pStyle w:val="aff"/>
      </w:pPr>
      <w:r>
        <w:t xml:space="preserve">Wu, X., Lu, G., Wu, Z., He, H., Scanlon, T., &amp; Dorigo, W. (2020). Triple Collocation-Based Assessment of Satellite Soil Moisture Products with In Situ Measurements in China: Understanding the Error Sources. </w:t>
      </w:r>
      <w:r>
        <w:rPr>
          <w:i/>
          <w:iCs/>
        </w:rPr>
        <w:t>Remote Sensing</w:t>
      </w:r>
      <w:r>
        <w:t xml:space="preserve">, </w:t>
      </w:r>
      <w:r>
        <w:rPr>
          <w:i/>
          <w:iCs/>
        </w:rPr>
        <w:t>12</w:t>
      </w:r>
      <w:r>
        <w:t>(14), 2275. https://doi.org/10.3390/rs12142275</w:t>
      </w:r>
    </w:p>
    <w:p w14:paraId="20A62365" w14:textId="77777777" w:rsidR="00AF082A" w:rsidRDefault="00AF082A" w:rsidP="00AF082A">
      <w:pPr>
        <w:pStyle w:val="aff"/>
      </w:pPr>
      <w:r>
        <w:lastRenderedPageBreak/>
        <w:t xml:space="preserve">Xia, Y., Mitchell, K., Ek, M., Sheffield, J., Cosgrove, B., Wood, E., Luo, L., Alonge, C., Wei, H., &amp; Meng, J. (2012). Continental‐scale water and energy flux analysis and validation for the North American Land Data Assimilation System project phase 2 (NLDAS‐2): 1. Intercomparison and application of model products. </w:t>
      </w:r>
      <w:r>
        <w:rPr>
          <w:i/>
          <w:iCs/>
        </w:rPr>
        <w:t>Journal of Geophysical Research: Atmospheres</w:t>
      </w:r>
      <w:r>
        <w:t xml:space="preserve">, </w:t>
      </w:r>
      <w:r>
        <w:rPr>
          <w:i/>
          <w:iCs/>
        </w:rPr>
        <w:t>117</w:t>
      </w:r>
      <w:r>
        <w:t>(D3).</w:t>
      </w:r>
    </w:p>
    <w:p w14:paraId="20A89723" w14:textId="77777777" w:rsidR="00AF082A" w:rsidRDefault="00AF082A" w:rsidP="00AF082A">
      <w:pPr>
        <w:pStyle w:val="aff"/>
      </w:pPr>
      <w:r>
        <w:t xml:space="preserve">Xia, Y., Sheffield, J., Ek, M. B., Dong, J., Chaney, N., Wei, H., Meng, J., &amp; Wood, E. F. (2014). Evaluation of multi-model simulated soil moisture in NLDAS-2. </w:t>
      </w:r>
      <w:r>
        <w:rPr>
          <w:i/>
          <w:iCs/>
        </w:rPr>
        <w:t>Journal of Hydrology</w:t>
      </w:r>
      <w:r>
        <w:t xml:space="preserve">, </w:t>
      </w:r>
      <w:r>
        <w:rPr>
          <w:i/>
          <w:iCs/>
        </w:rPr>
        <w:t>512</w:t>
      </w:r>
      <w:r>
        <w:t>, 107–125. https://doi.org/10.1016/j.jhydrol.2014.02.027</w:t>
      </w:r>
    </w:p>
    <w:p w14:paraId="7EBACB17" w14:textId="77777777" w:rsidR="00AF082A" w:rsidRDefault="00AF082A" w:rsidP="00AF082A">
      <w:pPr>
        <w:pStyle w:val="aff"/>
      </w:pPr>
      <w:r>
        <w:t xml:space="preserve">Xu, L., Chen, N., Zhang, X., Moradkhani, H., Zhang, C., &amp; Hu, C. (2021). In-situ and triple-collocation based evaluations of eight global root zone soil moisture products. </w:t>
      </w:r>
      <w:r>
        <w:rPr>
          <w:i/>
          <w:iCs/>
        </w:rPr>
        <w:t>Remote Sensing of Environment</w:t>
      </w:r>
      <w:r>
        <w:t xml:space="preserve">, </w:t>
      </w:r>
      <w:r>
        <w:rPr>
          <w:i/>
          <w:iCs/>
        </w:rPr>
        <w:t>254</w:t>
      </w:r>
      <w:r>
        <w:t>, 112248.</w:t>
      </w:r>
    </w:p>
    <w:p w14:paraId="5F0E2618" w14:textId="77777777" w:rsidR="00AF082A" w:rsidRDefault="00AF082A" w:rsidP="00AF082A">
      <w:pPr>
        <w:pStyle w:val="aff"/>
      </w:pPr>
      <w:r>
        <w:t xml:space="preserve">Yilmaz, M. T., &amp; Crow, W. T. (2014). Evaluation of assumptions in soil moisture triple collocation analysis. </w:t>
      </w:r>
      <w:r>
        <w:rPr>
          <w:i/>
          <w:iCs/>
        </w:rPr>
        <w:t>Journal of Hydrometeorology</w:t>
      </w:r>
      <w:r>
        <w:t xml:space="preserve">, </w:t>
      </w:r>
      <w:r>
        <w:rPr>
          <w:i/>
          <w:iCs/>
        </w:rPr>
        <w:t>15</w:t>
      </w:r>
      <w:r>
        <w:t>(3), 1293–1302.</w:t>
      </w:r>
    </w:p>
    <w:p w14:paraId="3CD8408F" w14:textId="77777777" w:rsidR="00AF082A" w:rsidRDefault="00AF082A" w:rsidP="00AF082A">
      <w:pPr>
        <w:pStyle w:val="aff"/>
      </w:pPr>
      <w:r>
        <w:t xml:space="preserve">Yilmaz, M. T., Crow, W. T., Anderson, M. C., &amp; Hain, C. (2012). An objective methodology for merging satellite‐and model‐based soil moisture products. </w:t>
      </w:r>
      <w:r>
        <w:rPr>
          <w:i/>
          <w:iCs/>
        </w:rPr>
        <w:t>Water Resources Research</w:t>
      </w:r>
      <w:r>
        <w:t xml:space="preserve">, </w:t>
      </w:r>
      <w:r>
        <w:rPr>
          <w:i/>
          <w:iCs/>
        </w:rPr>
        <w:t>48</w:t>
      </w:r>
      <w:r>
        <w:t>(11).</w:t>
      </w:r>
    </w:p>
    <w:p w14:paraId="4F317F9F" w14:textId="77777777" w:rsidR="00AF082A" w:rsidRDefault="00AF082A" w:rsidP="00AF082A">
      <w:pPr>
        <w:pStyle w:val="aff"/>
      </w:pPr>
      <w:r>
        <w:t xml:space="preserve">Zeng, Y., Su, Z., Van der Velde, R., Wang, L., Xu, K., Wang, X., &amp; Wen, J. (2016). Blending Satellite Observed, Model Simulated, and in Situ Measured Soil Moisture over Tibetan Plateau. </w:t>
      </w:r>
      <w:r>
        <w:rPr>
          <w:i/>
          <w:iCs/>
        </w:rPr>
        <w:t>Remote Sensing</w:t>
      </w:r>
      <w:r>
        <w:t xml:space="preserve">, </w:t>
      </w:r>
      <w:r>
        <w:rPr>
          <w:i/>
          <w:iCs/>
        </w:rPr>
        <w:t>8</w:t>
      </w:r>
      <w:r>
        <w:t>(3), 268. https://doi.org/10.3390/rs8030268</w:t>
      </w:r>
    </w:p>
    <w:p w14:paraId="38F9D027" w14:textId="77777777" w:rsidR="00AF082A" w:rsidRDefault="00AF082A" w:rsidP="00AF082A">
      <w:pPr>
        <w:pStyle w:val="aff"/>
      </w:pPr>
      <w:r>
        <w:t xml:space="preserve">Zhang, N., Quiring, S. M., &amp; Ford, T. W. (2021). Blending Noah, SMOS and In-Situ Soil Moisture Using Multiple Weighting and Sampling Schemes. </w:t>
      </w:r>
      <w:r>
        <w:rPr>
          <w:i/>
          <w:iCs/>
        </w:rPr>
        <w:t>Journal of Hydrometeorology</w:t>
      </w:r>
      <w:r>
        <w:t xml:space="preserve">, </w:t>
      </w:r>
      <w:r>
        <w:rPr>
          <w:i/>
          <w:iCs/>
        </w:rPr>
        <w:t>1</w:t>
      </w:r>
      <w:r>
        <w:t>(aop). https://doi.org/10.1175/JHM-D-20-0119.1</w:t>
      </w:r>
    </w:p>
    <w:p w14:paraId="62B33664" w14:textId="77777777" w:rsidR="00AF082A" w:rsidRDefault="00AF082A" w:rsidP="00AF082A">
      <w:pPr>
        <w:pStyle w:val="aff"/>
      </w:pPr>
      <w:r>
        <w:lastRenderedPageBreak/>
        <w:t xml:space="preserve">Zhang, R., Kim, S., &amp; Sharma, A. (2019). A comprehensive validation of the SMAP Enhanced Level-3 Soil Moisture product using ground measurements over varied climates and landscapes. </w:t>
      </w:r>
      <w:r>
        <w:rPr>
          <w:i/>
          <w:iCs/>
        </w:rPr>
        <w:t>Remote Sensing of Environment</w:t>
      </w:r>
      <w:r>
        <w:t xml:space="preserve">, </w:t>
      </w:r>
      <w:r>
        <w:rPr>
          <w:i/>
          <w:iCs/>
        </w:rPr>
        <w:t>223</w:t>
      </w:r>
      <w:r>
        <w:t>, 82–94. https://doi.org/10.1016/j.rse.2019.01.015</w:t>
      </w:r>
    </w:p>
    <w:p w14:paraId="103A8C72" w14:textId="77777777" w:rsidR="00AF082A" w:rsidRDefault="00AF082A" w:rsidP="00AF082A">
      <w:pPr>
        <w:pStyle w:val="aff"/>
      </w:pPr>
      <w:r>
        <w:t xml:space="preserve">Zhang, X., Tang, Q., Liu, X., Leng, G., &amp; Li, Z. (2017). Soil Moisture Drought Monitoring and Forecasting Using Satellite and Climate Model Data over Southwestern China. </w:t>
      </w:r>
      <w:r>
        <w:rPr>
          <w:i/>
          <w:iCs/>
        </w:rPr>
        <w:t>Journal of Hydrometeorology</w:t>
      </w:r>
      <w:r>
        <w:t xml:space="preserve">, </w:t>
      </w:r>
      <w:r>
        <w:rPr>
          <w:i/>
          <w:iCs/>
        </w:rPr>
        <w:t>18</w:t>
      </w:r>
      <w:r>
        <w:t>(1), 5–23. https://doi.org/10.1175/JHM-D-16-0045.1</w:t>
      </w:r>
    </w:p>
    <w:p w14:paraId="312ABD65" w14:textId="77777777" w:rsidR="00AF082A" w:rsidRDefault="00AF082A" w:rsidP="00AF082A">
      <w:pPr>
        <w:pStyle w:val="aff"/>
      </w:pPr>
      <w:r>
        <w:t xml:space="preserve">Zhang, X., Zhang, T., Zhou, P., Shao, Y., &amp; Gao, S. (2017). Validation Analysis of SMAP and AMSR2 Soil Moisture Products over the United States Using Ground-Based Measurements. </w:t>
      </w:r>
      <w:r>
        <w:rPr>
          <w:i/>
          <w:iCs/>
        </w:rPr>
        <w:t>Remote Sensing</w:t>
      </w:r>
      <w:r>
        <w:t xml:space="preserve">, </w:t>
      </w:r>
      <w:r>
        <w:rPr>
          <w:i/>
          <w:iCs/>
        </w:rPr>
        <w:t>9</w:t>
      </w:r>
      <w:r>
        <w:t>(2), 104. https://doi.org/10.3390/rs9020104</w:t>
      </w:r>
    </w:p>
    <w:p w14:paraId="4FB08636" w14:textId="77777777" w:rsidR="00AF082A" w:rsidRDefault="00AF082A" w:rsidP="00AF082A">
      <w:pPr>
        <w:pStyle w:val="aff"/>
      </w:pPr>
      <w:r>
        <w:t xml:space="preserve">Zwieback, S., Scipal, K., Dorigo, W., &amp; Wagner, W. (2012). Structural and statistical properties of the collocation technique for error characterization. </w:t>
      </w:r>
      <w:r>
        <w:rPr>
          <w:i/>
          <w:iCs/>
        </w:rPr>
        <w:t>Nonlinear Processes in Geophysics</w:t>
      </w:r>
      <w:r>
        <w:t xml:space="preserve">, </w:t>
      </w:r>
      <w:r>
        <w:rPr>
          <w:i/>
          <w:iCs/>
        </w:rPr>
        <w:t>19</w:t>
      </w:r>
      <w:r>
        <w:t>(1), 69–80.</w:t>
      </w:r>
    </w:p>
    <w:p w14:paraId="0093B6D2" w14:textId="6B3B065B" w:rsidR="002971AD" w:rsidRDefault="00470D14" w:rsidP="00470D14">
      <w:pPr>
        <w:pStyle w:val="aff"/>
      </w:pPr>
      <w:r w:rsidRPr="00345E42">
        <w:fldChar w:fldCharType="end"/>
      </w:r>
    </w:p>
    <w:p w14:paraId="55DB3FC3" w14:textId="77777777" w:rsidR="002971AD" w:rsidRDefault="002971AD" w:rsidP="00470D14">
      <w:pPr>
        <w:pStyle w:val="aff"/>
      </w:pPr>
    </w:p>
    <w:p w14:paraId="7F4A2B50" w14:textId="3CDF4BDB" w:rsidR="002971AD" w:rsidRDefault="002971AD" w:rsidP="00470D14">
      <w:pPr>
        <w:pStyle w:val="aff"/>
      </w:pPr>
    </w:p>
    <w:p w14:paraId="5D6DD498" w14:textId="5981A25C" w:rsidR="00F662B9" w:rsidRDefault="00F662B9" w:rsidP="00F662B9"/>
    <w:p w14:paraId="5D3E86C6" w14:textId="7F56CFA8" w:rsidR="00F662B9" w:rsidRDefault="00F662B9" w:rsidP="00F662B9"/>
    <w:p w14:paraId="40695F43" w14:textId="3E8BBDEB" w:rsidR="00F662B9" w:rsidRDefault="00F662B9" w:rsidP="00F662B9"/>
    <w:p w14:paraId="1201B44B" w14:textId="07A54EA4" w:rsidR="00F662B9" w:rsidRDefault="00F662B9" w:rsidP="00F662B9"/>
    <w:p w14:paraId="6BC698A1" w14:textId="77777777" w:rsidR="00F662B9" w:rsidRPr="00F662B9" w:rsidRDefault="00F662B9" w:rsidP="00F662B9"/>
    <w:bookmarkEnd w:id="156"/>
    <w:p w14:paraId="52704067" w14:textId="41C9920B" w:rsidR="00904E52" w:rsidRPr="00904E52" w:rsidRDefault="00904E52" w:rsidP="005A3B02"/>
    <w:p w14:paraId="0A0E50EF" w14:textId="462E8299" w:rsidR="00D06F49" w:rsidRDefault="002971AD" w:rsidP="00C409B9">
      <w:pPr>
        <w:pStyle w:val="1"/>
      </w:pPr>
      <w:bookmarkStart w:id="157" w:name="_Toc75939861"/>
      <w:r>
        <w:lastRenderedPageBreak/>
        <w:t xml:space="preserve">Chapter 4 </w:t>
      </w:r>
      <w:r w:rsidR="00105A86" w:rsidRPr="002A4746">
        <w:t xml:space="preserve">Triple Collocation-based Merging of </w:t>
      </w:r>
      <w:r w:rsidR="00181639">
        <w:t>G</w:t>
      </w:r>
      <w:r w:rsidR="00105A86" w:rsidRPr="002A4746">
        <w:t xml:space="preserve">round-based, </w:t>
      </w:r>
      <w:r w:rsidR="00181639">
        <w:t>S</w:t>
      </w:r>
      <w:r w:rsidR="00105A86" w:rsidRPr="002A4746">
        <w:t xml:space="preserve">atellite and </w:t>
      </w:r>
      <w:r w:rsidR="00181639">
        <w:t>L</w:t>
      </w:r>
      <w:r w:rsidR="00105A86" w:rsidRPr="002A4746">
        <w:t xml:space="preserve">and </w:t>
      </w:r>
      <w:r w:rsidR="00181639">
        <w:t>S</w:t>
      </w:r>
      <w:r w:rsidR="00105A86" w:rsidRPr="002A4746">
        <w:t xml:space="preserve">urface </w:t>
      </w:r>
      <w:r w:rsidR="00181639">
        <w:t>M</w:t>
      </w:r>
      <w:r w:rsidR="00105A86" w:rsidRPr="002A4746">
        <w:t xml:space="preserve">odel </w:t>
      </w:r>
      <w:r w:rsidR="00181639">
        <w:t>S</w:t>
      </w:r>
      <w:r w:rsidR="00105A86" w:rsidRPr="002A4746">
        <w:t xml:space="preserve">oil </w:t>
      </w:r>
      <w:r w:rsidR="00181639">
        <w:t>M</w:t>
      </w:r>
      <w:r w:rsidR="00105A86" w:rsidRPr="002A4746">
        <w:t xml:space="preserve">oisture </w:t>
      </w:r>
      <w:r w:rsidR="00181639">
        <w:t>P</w:t>
      </w:r>
      <w:r w:rsidR="00105A86" w:rsidRPr="002A4746">
        <w:t>roducts</w:t>
      </w:r>
      <w:bookmarkEnd w:id="157"/>
    </w:p>
    <w:p w14:paraId="6D5E64E8" w14:textId="2D55DC83" w:rsidR="00105A86" w:rsidRDefault="001C2030" w:rsidP="001C2030">
      <w:pPr>
        <w:pStyle w:val="2"/>
      </w:pPr>
      <w:bookmarkStart w:id="158" w:name="_Toc75939862"/>
      <w:r>
        <w:t>Abstract</w:t>
      </w:r>
      <w:bookmarkEnd w:id="158"/>
    </w:p>
    <w:p w14:paraId="1718585D" w14:textId="4FFD2625" w:rsidR="001C2030" w:rsidRDefault="001C2030" w:rsidP="001C2030">
      <w:r w:rsidRPr="00A46DB1">
        <w:t xml:space="preserve">This </w:t>
      </w:r>
      <w:r w:rsidR="008F3FE5">
        <w:t>chapter</w:t>
      </w:r>
      <w:r w:rsidRPr="00A46DB1">
        <w:t xml:space="preserve"> adopted an objective methodology in blending multisource soil moisture products</w:t>
      </w:r>
      <w:r>
        <w:t>,</w:t>
      </w:r>
      <w:r w:rsidRPr="00A46DB1">
        <w:t xml:space="preserve"> identified the importance of incorporating in-situ </w:t>
      </w:r>
      <w:r>
        <w:t>measurements</w:t>
      </w:r>
      <w:r w:rsidRPr="00A46DB1">
        <w:t xml:space="preserve"> </w:t>
      </w:r>
      <w:r>
        <w:t xml:space="preserve">and </w:t>
      </w:r>
      <w:r w:rsidRPr="00A46DB1">
        <w:t xml:space="preserve">quantified the impact of different weighting schemes on soil moisture blending. Soil moisture information from multiple sources, including satellite (SMAP_L3), land surface model (NLDAS-2 Noah), and in-situ measurements (interpolated </w:t>
      </w:r>
      <w:r>
        <w:t xml:space="preserve">Oklahoma </w:t>
      </w:r>
      <w:r w:rsidRPr="00A46DB1">
        <w:t>Mesonet</w:t>
      </w:r>
      <w:r>
        <w:t xml:space="preserve"> values</w:t>
      </w:r>
      <w:r w:rsidRPr="00A46DB1">
        <w:t>), are used to generate blended soil moisture products at a 9-km spatial resolution and daily temporal resolution</w:t>
      </w:r>
      <w:r>
        <w:t xml:space="preserve"> in Oklahoma</w:t>
      </w:r>
      <w:r w:rsidRPr="00A46DB1">
        <w:t xml:space="preserve">. </w:t>
      </w:r>
      <w:r w:rsidRPr="0069554B">
        <w:t xml:space="preserve">The merged product is validated against </w:t>
      </w:r>
      <w:r>
        <w:t xml:space="preserve">an </w:t>
      </w:r>
      <w:r w:rsidRPr="0069554B">
        <w:t>in</w:t>
      </w:r>
      <w:r>
        <w:t>-</w:t>
      </w:r>
      <w:r w:rsidRPr="0069554B">
        <w:t>situ</w:t>
      </w:r>
      <w:r>
        <w:t>-based</w:t>
      </w:r>
      <w:r w:rsidRPr="0069554B">
        <w:t xml:space="preserve"> soil moisture</w:t>
      </w:r>
      <w:r>
        <w:t xml:space="preserve"> product</w:t>
      </w:r>
      <w:r w:rsidRPr="0069554B">
        <w:t xml:space="preserve"> data and shows </w:t>
      </w:r>
      <w:r>
        <w:t xml:space="preserve">better performance than both the equal weighting </w:t>
      </w:r>
      <w:r w:rsidRPr="0069554B">
        <w:t xml:space="preserve">merged </w:t>
      </w:r>
      <w:r>
        <w:t>and SMAP Level 4 soil moisture products</w:t>
      </w:r>
      <w:r w:rsidRPr="0069554B">
        <w:t>.</w:t>
      </w:r>
      <w:r>
        <w:t xml:space="preserve"> Results indicate that: </w:t>
      </w:r>
      <w:r w:rsidRPr="00A46DB1">
        <w:t>(1)</w:t>
      </w:r>
      <w:r>
        <w:t xml:space="preserve"> </w:t>
      </w:r>
      <w:r w:rsidRPr="00A46DB1">
        <w:t>the</w:t>
      </w:r>
      <w:r>
        <w:t xml:space="preserve"> </w:t>
      </w:r>
      <w:r w:rsidRPr="00A46DB1">
        <w:t xml:space="preserve">TC-LSW approach-based merging scheme is more </w:t>
      </w:r>
      <w:r>
        <w:t>appropriate</w:t>
      </w:r>
      <w:r w:rsidRPr="00A46DB1">
        <w:t xml:space="preserve"> than the equal weighting merging scheme</w:t>
      </w:r>
      <w:r>
        <w:t>;</w:t>
      </w:r>
      <w:r w:rsidRPr="00A46DB1">
        <w:t xml:space="preserve"> (2</w:t>
      </w:r>
      <w:r>
        <w:t xml:space="preserve">) </w:t>
      </w:r>
      <w:r w:rsidRPr="00A46DB1">
        <w:t>in-situ measurements are valuable for improving the accuracy of blended soil moisture datasets</w:t>
      </w:r>
      <w:r>
        <w:t xml:space="preserve">; and </w:t>
      </w:r>
      <w:r w:rsidRPr="00A46DB1">
        <w:t>(3)</w:t>
      </w:r>
      <w:r>
        <w:t xml:space="preserve"> </w:t>
      </w:r>
      <w:r w:rsidRPr="00A46DB1">
        <w:t>using multiple sources of soil moisture helps to reduce the overall uncertainty in the soil moisture estimates</w:t>
      </w:r>
      <w:r>
        <w:t>. T</w:t>
      </w:r>
      <w:r w:rsidRPr="00A46DB1">
        <w:t>he resulting combined soil moisture estimate is an improvement over currently available soil moisture products due to its reduced uncertainty and can be used as a standalone soil moisture product with available uncertainty estimates.</w:t>
      </w:r>
    </w:p>
    <w:p w14:paraId="658FD9FC" w14:textId="77777777" w:rsidR="008F3FE5" w:rsidRDefault="008F3FE5" w:rsidP="001C2030"/>
    <w:p w14:paraId="22028024" w14:textId="5467774F" w:rsidR="002817F1" w:rsidRDefault="0081736A" w:rsidP="0081736A">
      <w:pPr>
        <w:pStyle w:val="2"/>
      </w:pPr>
      <w:bookmarkStart w:id="159" w:name="_Toc75939863"/>
      <w:r>
        <w:t>4.1 Introduction</w:t>
      </w:r>
      <w:bookmarkEnd w:id="159"/>
    </w:p>
    <w:p w14:paraId="20F66625" w14:textId="2B5EF236" w:rsidR="0081736A" w:rsidRPr="008B4774" w:rsidRDefault="0081736A" w:rsidP="0081736A">
      <w:r w:rsidRPr="008B4774">
        <w:t xml:space="preserve">Soil </w:t>
      </w:r>
      <w:r>
        <w:t>m</w:t>
      </w:r>
      <w:r w:rsidRPr="008B4774">
        <w:t>oisture is a critical component of the climate system and the hydrological cycle</w:t>
      </w:r>
      <w:r>
        <w:t xml:space="preserve"> </w:t>
      </w:r>
      <w:r>
        <w:fldChar w:fldCharType="begin"/>
      </w:r>
      <w:r w:rsidR="00A8211B">
        <w:instrText xml:space="preserve"> ADDIN ZOTERO_ITEM CSL_CITATION {"citationID":"9CRE1RCs","properties":{"formattedCitation":"(Dingman, 2015; Seneviratne et al., 2010)","plainCitation":"(Dingman, 2015; Seneviratne et al., 2010)","noteIndex":0},"citationItems":[{"id":105,"uris":["http://zotero.org/users/7782726/items/4TS8A6DL"],"uri":["http://zotero.org/users/7782726/items/4TS8A6DL"],"itemData":{"id":105,"type":"book","abstract":"For twenty years, Lawrence  Dingman’s well-written, comprehensive Physical Hydrology has set  standards for balancing theoretical depth and breadth of applications.  Rich in substance and written to meet the needs of future researchers  and experts in the field, Dingman treats hydrology as a distinct  geoscience that is continually expanding to deal with large-scale  changes in land use and climate. The third edition provides a solid  conceptual basis of the subject and introduces the quantitative  relations involved in answering scientific and management questions  about water resources. The text is organized around three principal  themes: the basic concepts underlying the science of hydrology; the  exchange of water and energy between the atmosphere and the earth’s  surface; and the land phase of the hydrologic cycle. Dingman supplies  the basic physical principles necessary for developing a sound,  instructive sense of the way in which water moves on and through the  land; in addition, he describes the assumptions behind each analytical  approach and identifies the limitations of each.","ISBN":"978-1-4786-2807-1","language":"en","note":"Google-Books-ID: rUUaBgAAQBAJ","number-of-pages":"657","publisher":"Waveland Press","source":"Google Books","title":"Physical Hydrology: Third Edition","title-short":"Physical Hydrology","author":[{"family":"Dingman","given":"S. Lawrence"}],"issued":{"date-parts":[["2015",1,9]]}}},{"id":103,"uris":["http://zotero.org/users/7782726/items/XJ25NP9P"],"uri":["http://zotero.org/users/7782726/items/XJ25NP9P"],"itemData":{"id":103,"type":"article-journal","abstract":"Soil moisture is a key variable of the climate system. It constrains plant transpiration and photosynthesis in several regions of the world, with consequent impacts on the water, energy and biogeochemical cycles. Moreover it is a storage component for precipitation and radiation anomalies, inducing persistence in the climate system. Finally, it is involved in a number of feedbacks at the local, regional and global scales, and plays a major role in climate-change projections. In this review, we provide a synthesis of past research on the role of soil moisture for the climate system, based both on modelling and observational studies. We focus on soil moisture–temperature and soil moisture–precipitation feedbacks, and their possible modifications with climate change. We also highlight further impacts of soil moisture on climate, and the state of research regarding the validation of the relevant processes. There are promises for major advances in this research field in coming years thanks to the development of new validation datasets and multi-model initiatives. However, the availability of ground observations continues to be critical in limiting progress and should therefore strongly be fostered at the international level. Exchanges across disciplines will also be essential for bridging current knowledge gaps in this field. This is of key importance given the manifold impacts of soil moisture on climate, and their relevance for climate-change projections. A better understanding and quantification of the relevant processes would significantly help to reduce uncertainties in future-climate scenarios, in particular with regard to changes in climate variability and extreme events, as well as ecosystem and agricultural impacts.","container-title":"Earth-Science Reviews","DOI":"10.1016/j.earscirev.2010.02.004","ISSN":"0012-8252","issue":"3","journalAbbreviation":"Earth-Science Reviews","language":"en","page":"125-161","source":"ScienceDirect","title":"Investigating soil moisture–climate interactions in a changing climate: A review","title-short":"Investigating soil moisture–climate interactions in a changing climate","volume":"99","author":[{"family":"Seneviratne","given":"Sonia I."},{"family":"Corti","given":"Thierry"},{"family":"Davin","given":"Edouard L."},{"family":"Hirschi","given":"Martin"},{"family":"Jaeger","given":"Eric B."},{"family":"Lehner","given":"Irene"},{"family":"Orlowsky","given":"Boris"},{"family":"Teuling","given":"Adriaan J."}],"issued":{"date-parts":[["2010",5,1]]}}}],"schema":"https://github.com/citation-style-language/schema/raw/master/csl-citation.json"} </w:instrText>
      </w:r>
      <w:r>
        <w:fldChar w:fldCharType="separate"/>
      </w:r>
      <w:r w:rsidR="00A8211B" w:rsidRPr="00A8211B">
        <w:t>(Dingman, 2015; Seneviratne et al., 2010)</w:t>
      </w:r>
      <w:r>
        <w:fldChar w:fldCharType="end"/>
      </w:r>
      <w:r w:rsidRPr="008B4774">
        <w:t>. Understanding and predicting agricultural and water resource management</w:t>
      </w:r>
      <w:r>
        <w:t xml:space="preserve"> </w:t>
      </w:r>
      <w:r>
        <w:fldChar w:fldCharType="begin"/>
      </w:r>
      <w:r w:rsidR="00A8211B">
        <w:instrText xml:space="preserve"> ADDIN ZOTERO_ITEM CSL_CITATION {"citationID":"1lWu83l0","properties":{"formattedCitation":"(Mohd Kassim et al., 2014)","plainCitation":"(Mohd Kassim et al., 2014)","noteIndex":0},"citationItems":[{"id":109,"uris":["http://zotero.org/users/7782726/items/RV35UH3B"],"uri":["http://zotero.org/users/7782726/items/RV35UH3B"],"itemData":{"id":109,"type":"paper-conference","abstract":"The Wireless Sensors Network (WSN) is nowadays widely used to build decision support systems to overcome many problems in the real-world. One of the most interesting fields having an increasing need of decision support systems is precision agriculture (PA). This paper presents WSN as the best way to solve the agricultural problems related to farming resources optimization, decision making support, and land monitoring. This approach provides real-time information about the lands and crops that will help farmers make right decisions. Using the basic principles of Internet and WSN technology, precision agriculture systems based on the internet of things (IOT) technology is explained in detail especially on the hardware architecture, network architecture and software process control of the precision irrigation system. The software monitors data from the sensors in a feedback loop which activates the control devices based on threshold value. Implementation of WSN in PA will optimize the usage of water fertilizer and also maximized the yield of the crops.","container-title":"2014 International Conference on Computer, Information and Telecommunication Systems (CITS)","DOI":"10.1109/CITS.2014.6878963","event":"2014 International Conference on Computer, Information and Telecommunication Systems (CITS)","page":"1-5","source":"IEEE Xplore","title":"Wireless Sensor Network in precision agriculture application","author":[{"family":"Mohd Kassim","given":"Mohamed Rawidean"},{"family":"Mat","given":"Ibrahim"},{"family":"Harun","given":"Ahmad Nizar"}],"issued":{"date-parts":[["2014",7]]}}}],"schema":"https://github.com/citation-style-language/schema/raw/master/csl-citation.json"} </w:instrText>
      </w:r>
      <w:r>
        <w:fldChar w:fldCharType="separate"/>
      </w:r>
      <w:r w:rsidR="00A8211B" w:rsidRPr="00A8211B">
        <w:t>(Mohd Kassim et al., 2014)</w:t>
      </w:r>
      <w:r>
        <w:fldChar w:fldCharType="end"/>
      </w:r>
      <w:r w:rsidRPr="008B4774">
        <w:t>, runoff and flooding</w:t>
      </w:r>
      <w:r>
        <w:t xml:space="preserve"> </w:t>
      </w:r>
      <w:r>
        <w:fldChar w:fldCharType="begin"/>
      </w:r>
      <w:r w:rsidR="00A8211B">
        <w:instrText xml:space="preserve"> ADDIN ZOTERO_ITEM CSL_CITATION {"citationID":"mmH5kIri","properties":{"formattedCitation":"(Brocca et al., 2010; Crow et al., 2005)","plainCitation":"(Brocca et al., 2010; Crow et al., 2005)","noteIndex":0},"citationItems":[{"id":113,"uris":["http://zotero.org/users/7782726/items/VSSHG3P5"],"uri":["http://zotero.org/users/7782726/items/VSSHG3P5"],"itemData":{"id":113,"type":"article-journal","abstract":"Using existing data sets of spaceborne soil moisture retrievals, streamflow and precipitation for 26 basins in the United States Southern Great Plains, a 5-year analysis is performed to quantify the value of soil moisture retrievals derived from the Tropical Rainfall Measuring Mission (TRMM) Microwave Imager (TMI) X-band (10.7 GHz) radiometer for forecasting storm event-scale runoff ratios. The predictive ability of spaceborne soil moisture retrievals is objectively compared to that obtainable using only available rainfall observations and the antecedent precipitation index (API). The assimilation of spaceborne observations into an API soil moisture proxy is demonstrated to add skill to the forecasting of land surface response to precipitation.","container-title":"Geophysical Research Letters","DOI":"https://doi.org/10.1029/2005GL023543","ISSN":"1944-8007","issue":"18","language":"en","note":"_eprint: https://agupubs.onlinelibrary.wiley.com/doi/pdf/10.1029/2005GL023543","source":"Wiley Online Library","title":"The added value of spaceborne passive microwave soil moisture retrievals for forecasting rainfall-runoff partitioning","URL":"https://agupubs.onlinelibrary.wiley.com/doi/abs/10.1029/2005GL023543","volume":"32","author":[{"family":"Crow","given":"W. T."},{"family":"Bindlish","given":"R."},{"family":"Jackson","given":"T. J."}],"accessed":{"date-parts":[["2021",5,27]]},"issued":{"date-parts":[["2005"]]}}},{"id":116,"uris":["http://zotero.org/users/7782726/items/NKP22TVE"],"uri":["http://zotero.org/users/7782726/items/NKP22TVE"],"itemData":{"id":116,"type":"article-journal","abstract":"&lt;p&gt;&lt;strong class=\"journal-contentHeaderColor\"&gt;Abstract.&lt;/strong&gt; The role and the importance of soil moisture for meteorological, agricultural and hydrological applications is widely known. Remote sensing offers the unique capability to monitor soil moisture over large areas (catchment scale) with, nowadays, a temporal resolution suitable for hydrological purposes. However, the accuracy of the remotely sensed soil moisture estimates has to be carefully checked. The validation of these estimates with in-situ measurements is not straightforward due the well-known problems related to the spatial mismatch and the measurement accuracy. The analysis of the effects deriving from assimilating remotely sensed soil moisture data into hydrological or meteorological models could represent a more valuable method to test their reliability. In particular, the assimilation of satellite-derived soil moisture estimates into rainfall-runoff models at different scales and over different regions represents an important scientific and operational issue. &lt;br&gt;&lt;br&gt; In this study, the soil wetness index (SWI) product derived from the Advanced SCATterometer (ASCAT) sensor onboard of the Metop satellite was tested. The SWI was firstly compared with the soil moisture temporal pattern derived from a continuous rainfall-runoff model (MISDc) to assess its relationship with modeled data. Then, by using a simple data assimilation technique, the linearly rescaled SWI that matches the range of variability of modelled data (denoted as SWI*) was assimilated into MISDc and the model performance on flood estimation was analyzed. Moreover, three synthetic experiments considering errors on rainfall, model parameters and initial soil wetness conditions were carried out. These experiments allowed to further investigate the SWI potential when uncertain conditions take place. The most significant flood events, which occurred in the period 2000–2009 on five subcatchments of the Upper Tiber River in central Italy, ranging in extension between 100 and 650 km&lt;sup&gt;2&lt;/sup&gt;, were used as case studies. Results reveal that the SWI derived from the ASCAT sensor can be conveniently adopted to improve runoff prediction in the study area, mainly if the initial soil wetness conditions are unknown.&lt;/p&gt;","container-title":"Hydrology and Earth System Sciences","DOI":"10.5194/hess-14-1881-2010","ISSN":"1027-5606","issue":"10","language":"English","note":"publisher: Copernicus GmbH","page":"1881-1893","source":"hess.copernicus.org","title":"Improving runoff prediction through the assimilation of the ASCAT soil moisture product","volume":"14","author":[{"family":"Brocca","given":"L."},{"family":"Melone","given":"F."},{"family":"Moramarco","given":"T."},{"family":"Wagner","given":"W."},{"family":"Naeimi","given":"V."},{"family":"Bartalis","given":"Z."},{"family":"Hasenauer","given":"S."}],"issued":{"date-parts":[["2010",10,12]]}}}],"schema":"https://github.com/citation-style-language/schema/raw/master/csl-citation.json"} </w:instrText>
      </w:r>
      <w:r>
        <w:fldChar w:fldCharType="separate"/>
      </w:r>
      <w:r w:rsidR="00A8211B" w:rsidRPr="00A8211B">
        <w:t xml:space="preserve">(Brocca et al., 2010; Crow </w:t>
      </w:r>
      <w:r w:rsidR="00A8211B" w:rsidRPr="00A8211B">
        <w:lastRenderedPageBreak/>
        <w:t>et al., 2005)</w:t>
      </w:r>
      <w:r>
        <w:fldChar w:fldCharType="end"/>
      </w:r>
      <w:r w:rsidRPr="008B4774">
        <w:t>, drought monitori</w:t>
      </w:r>
      <w:r>
        <w:t xml:space="preserve">ng </w:t>
      </w:r>
      <w:r>
        <w:fldChar w:fldCharType="begin"/>
      </w:r>
      <w:r w:rsidR="0075552F">
        <w:instrText xml:space="preserve"> ADDIN ZOTERO_ITEM CSL_CITATION {"citationID":"Kgl8qzpH","properties":{"formattedCitation":"(Gu et al., 2008; X. Zhang, Tang, et al., 2017)","plainCitation":"(Gu et al., 2008; X. Zhang, Tang, et al., 2017)","dontUpdate":true,"noteIndex":0},"citationItems":[{"id":119,"uris":["http://zotero.org/users/7782726/items/SNBSU3Y9"],"uri":["http://zotero.org/users/7782726/items/SNBSU3Y9"],"itemData":{"id":119,"type":"article-journal","abstract":"The evaluation of the relationship between satellite-derived vegetation indices (normalized difference vegetation index and normalized difference water index) and soil moisture improves our understanding of how these indices respond to soil moisture fluctuations. Soil moisture deficits are ultimately tied to drought stress on plants. The diverse terrain and climate of Oklahoma, the extensive soil moisture network of the Oklahoma Mesonet, and satellite-derived indices from the Moderate Resolution Imaging Spectroradiometer (MODIS) provided an opportunity to study correlations between soil moisture and vegetation indices over the 2002–2006 growing seasons. Results showed that the correlation between both indices and the fractional water index (FWI) was highly dependent on land cover heterogeneity and soil type. Sites surrounded by relatively homogeneous vegetation cover with silt loam soils had the highest correlation between the FWI and both vegetation-related indices (r</w:instrText>
      </w:r>
      <w:r w:rsidR="0075552F">
        <w:rPr>
          <w:rFonts w:ascii="Cambria Math" w:hAnsi="Cambria Math" w:cs="Cambria Math"/>
        </w:rPr>
        <w:instrText>∼</w:instrText>
      </w:r>
      <w:r w:rsidR="0075552F">
        <w:instrText>0.73), while sites with heterogeneous vegetation cover and loam soils had the lowest correlation (r</w:instrText>
      </w:r>
      <w:r w:rsidR="0075552F">
        <w:rPr>
          <w:rFonts w:ascii="Cambria Math" w:hAnsi="Cambria Math" w:cs="Cambria Math"/>
        </w:rPr>
        <w:instrText>∼</w:instrText>
      </w:r>
      <w:r w:rsidR="0075552F">
        <w:instrText xml:space="preserve">0.22).","container-title":"Geophysical Research Letters","DOI":"https://doi.org/10.1029/2008GL035772","ISSN":"1944-8007","issue":"22","language":"en","note":"_eprint: https://agupubs.onlinelibrary.wiley.com/doi/pdf/10.1029/2008GL035772","source":"Wiley Online Library","title":"Evaluation of MODIS NDVI and NDWI for vegetation drought monitoring using Oklahoma Mesonet soil moisture data","URL":"https://agupubs.onlinelibrary.wiley.com/doi/abs/10.1029/2008GL035772","volume":"35","author":[{"family":"Gu","given":"Yingxin"},{"family":"Hunt","given":"Eric"},{"family":"Wardlow","given":"Brian"},{"family":"Basara","given":"Jeffrey B."},{"family":"Brown","given":"Jesslyn F."},{"family":"Verdin","given":"James P."}],"accessed":{"date-parts":[["2021",5,27]]},"issued":{"date-parts":[["2008"]]}}},{"id":122,"uris":["http://zotero.org/users/7782726/items/MQIFFYDZ"],"uri":["http://zotero.org/users/7782726/items/MQIFFYDZ"],"itemData":{"id":122,"type":"article-journal","abstract":"&lt;section class=\"abstract\"&gt;&lt;h2 class=\"abstractTitle text-title my-1\" id=\"d149947833e83\"&gt;Abstract&lt;/h2&gt;&lt;p&gt;In this paper, an experimental soil moisture drought monitoring and seasonal forecasting framework based on the Variable Infiltration Capacity model (VIC) over southwestern China (SW) is presented. Satellite precipitation data are used to force VIC for a near-real-time estimate of land surface hydrologic conditions. Initialized with satellite-aided monitoring (MONIT), the climate model (CFSv2)-based forecast (MONIT+CFSv2) and ensemble streamflow prediction (ESP)-based forecast (MONIT+ESP) are both performed. One dry season drought and one wet season drought are employed to test the ability of this framework in terms of real-time tracking and predicting the evolution of soil moisture (SM) drought, respectively. The results show that the skillful CFSv2 climate forecasts (CFs) are only found at the first month. The satellite-aided monitoring is able to provide a reasonable estimate of forecast initial conditions (ICs) in real-time mode. In the presented cases, MONIT+CFSv2 forecast exhibits comparable performance against the observation-based estimates for the first month, whereas the predictive skill largely drops beyond 1 month. Compared to MONIT+ESP, MONIT+CFSv2 ensembles give more skillful SM drought forecast during the dry season, as indicated by a smaller ensemble range, while the added value of MONIT+CFSv2 is marginal during the wet season. A quantitative attribution analysis of SM forecast uncertainty demonstrates that SM forecast skill is mostly controlled by ICs at the first month and that uncertainties in CFs have the largest contribution to SM forecast errors at longer lead times. This study highlights a value of this framework in generating near-real-time ICs and providing a reliable SM drought prediction with 1 month ahead, which may greatly benefit drought diagnosis, assessment, and early warning.&lt;/p&gt;&lt;/section&gt;","container-title":"Journal of Hydrometeorology","DOI":"10.1175/JHM-D-16-0045.1","ISSN":"1525-7541, 1525-755X","issue":"1","language":"EN","note":"publisher: American Meteorological Society\nsection: Journal of Hydrometeorology","page":"5-23","source":"journals.ametsoc.org","title":"Soil Moisture Drought Monitoring and Forecasting Using Satellite and Climate Model Data over Southwestern China","volume":"18","author":[{"family":"Zhang","given":"Xuejun"},{"family":"Tang","given":"Qiuhong"},{"family":"Liu","given":"Xingcai"},{"family":"Leng","given":"Guoyong"},{"family":"Li","given":"Zhe"}],"issued":{"date-parts":[["2017",1,1]]}}}],"schema":"https://github.com/citation-style-language/schema/raw/master/csl-citation.json"} </w:instrText>
      </w:r>
      <w:r>
        <w:fldChar w:fldCharType="separate"/>
      </w:r>
      <w:r w:rsidR="002945DD" w:rsidRPr="002945DD">
        <w:t>(Gu et al., 2008; Zhang</w:t>
      </w:r>
      <w:r w:rsidR="00BD6740">
        <w:t xml:space="preserve"> </w:t>
      </w:r>
      <w:r w:rsidR="002945DD" w:rsidRPr="002945DD">
        <w:t>et al., 2017)</w:t>
      </w:r>
      <w:r>
        <w:fldChar w:fldCharType="end"/>
      </w:r>
      <w:r w:rsidRPr="008B4774">
        <w:t>, weather and climate forecasting</w:t>
      </w:r>
      <w:r>
        <w:t xml:space="preserve"> </w:t>
      </w:r>
      <w:r>
        <w:fldChar w:fldCharType="begin"/>
      </w:r>
      <w:r w:rsidR="00A8211B">
        <w:instrText xml:space="preserve"> ADDIN ZOTERO_ITEM CSL_CITATION {"citationID":"wPnjBlhn","properties":{"formattedCitation":"(Capecchi &amp; Brocca, 2014; Scipal et al., 2008)","plainCitation":"(Capecchi &amp; Brocca, 2014; Scipal et al., 2008)","noteIndex":0},"citationItems":[{"id":125,"uris":["http://zotero.org/users/7782726/items/B8PZIS4H"],"uri":["http://zotero.org/users/7782726/items/B8PZIS4H"],"itemData":{"id":125,"type":"article-journal","abstract":"In the last few years, research made significant progress towards operational soil moisture remote sensing which lead to the availability of several global data sets. For an optimal use of these data, an accurate estimation of the error structure is an important condition. To solve for the validation problem we introduce the triple collocation error estimation technique. The triple collocation technique is a powerful tool to estimate the root mean square error while simultaneously solving for systematic differences in the climatologies of a set of three independent data sources. We evaluate the method by applying it to a passive microwave (TRMM radiometer) derived, an active microwave (ERS-2 scatterometer) derived and a modeled (ERA-Interim reanalysis) soil moisture data sets. The results suggest that the method provides realistic error estimates.","container-title":"Geophysical Research Letters","DOI":"https://doi.org/10.1029/2008GL035599","ISSN":"1944-8007","issue":"24","language":"en","note":"_eprint: https://agupubs.onlinelibrary.wiley.com/doi/pdf/10.1029/2008GL035599","source":"Wiley Online Library","title":"A possible solution for the problem of estimating the error structure of global soil moisture data sets","URL":"https://agupubs.onlinelibrary.wiley.com/doi/abs/10.1029/2008GL035599","volume":"35","author":[{"family":"Scipal","given":"K."},{"family":"Holmes","given":"T."},{"family":"Jeu","given":"R.","dropping-particle":"de"},{"family":"Naeimi","given":"V."},{"family":"Wagner","given":"W."}],"accessed":{"date-parts":[["2021",5,27]]},"issued":{"date-parts":[["2008"]]}}},{"id":129,"uris":["http://zotero.org/users/7782726/items/ZFH9ZXK6"],"uri":["http://zotero.org/users/7782726/items/ZFH9ZXK6"],"itemData":{"id":129,"type":"article-journal","abstract":"Recently several studies discussed the potential and operational use of satellite soil moisture measurements in new land surface analysis feeding global Numerical Weather Prediction (NWP) models. This work seeks to establish whether a limited-area NWP model might beneﬁt from the assimilation of remotely sensed soil moisture data. The question is important because it is well known that even small errors in the initial conditions could amplify in the future states and lead to erroneous predictions. On the other hand, remotely sensed soil moisture observations are attractive because they offer a synoptic point of view and their reliability with respect to in-situ measurements is demonstrated.","container-title":"Meteorologische Zeitschrift","DOI":"10.1127/0941-2948/2014/0585","ISSN":"0941-2948","issue":"2","journalAbbreviation":"metz","language":"en","page":"105-121","source":"DOI.org (Crossref)","title":"A simple assimilation method to ingest satellite soil moisture into a limited-area NWP model","volume":"23","author":[{"family":"Capecchi","given":"Valerio"},{"family":"Brocca","given":"Luca"}],"issued":{"date-parts":[["2014",9,1]]}}}],"schema":"https://github.com/citation-style-language/schema/raw/master/csl-citation.json"} </w:instrText>
      </w:r>
      <w:r>
        <w:fldChar w:fldCharType="separate"/>
      </w:r>
      <w:r w:rsidR="00A8211B" w:rsidRPr="00A8211B">
        <w:t>(Capecchi &amp; Brocca, 2014; Scipal et al., 2008)</w:t>
      </w:r>
      <w:r>
        <w:fldChar w:fldCharType="end"/>
      </w:r>
      <w:r w:rsidRPr="008B4774">
        <w:t>, and landslide</w:t>
      </w:r>
      <w:r>
        <w:t xml:space="preserve">s </w:t>
      </w:r>
      <w:r>
        <w:fldChar w:fldCharType="begin"/>
      </w:r>
      <w:r w:rsidR="00A8211B">
        <w:instrText xml:space="preserve"> ADDIN ZOTERO_ITEM CSL_CITATION {"citationID":"7CPr7bmx","properties":{"formattedCitation":"(Brocca et al., 2012; Ray et al., 2010)","plainCitation":"(Brocca et al., 2012; Ray et al., 2010)","noteIndex":0},"citationItems":[{"id":136,"uris":["http://zotero.org/users/7782726/items/WEUJ22JY"],"uri":["http://zotero.org/users/7782726/items/WEUJ22JY"],"itemData":{"id":136,"type":"article-journal","abstract":"Predicting the spatial and temporal occurrence of rainfall triggered landslides represents an important scientific and operational issue due to the high threat that they pose to human life and property. This study investigates the relationship between rainfall, soil moisture conditions and landslide movement by using recorded movements of a rock slope located in central Italy, the Torgiovannetto landslide. This landslide is a very large rock slide, threatening county and state roads. Data acquired by a network of extensometers and a meteorological station clearly indicate that the movements of the unstable wedge, first detected in 2003, are still proceeding and the alternate phases of quiescence and reactivation are associated with rainfall patterns. By using a multiple linear regression approach, the opening of the tension cracks (as recorded by the extensometers) as a function of rainfall and soil moisture conditions prior the occurrence of rainfall, are predicted for the period 2007–2009. Specifically, soil moisture indicators are obtained through the Soil Water Index, SWI, a product derived by the Advanced SCATterometer (ASCAT) on board the MetOp (Meteorological Operational) satellite and by an Antecedent Precipitation Index, API. Results indicate that the regression performance (in terms of correlation coefficient, r) significantly enhances if an indicator of the soil moisture conditions is included. Specifically, r is equal to 0.40 when only rainfall is used as a predictor variable and increases to r = 0.68 and r = 0.85 if the API and the SWI are used respectively. Therefore, the coarse spatial resolution (25 km) of satellite data notwithstanding, the ASCAT SWI is found to be very useful for the prediction of landslide movements on a local scale. These findings, although valid for a specific area, present new opportunities for the effective use of satellite-derived soil moisture estimates to improve landslide forecasting.","container-title":"Remote Sensing","DOI":"10.3390/rs4051232","issue":"5","language":"en","note":"number: 5\npublisher: Molecular Diversity Preservation International","page":"1232-1244","source":"www.mdpi.com","title":"Improving Landslide Forecasting Using ASCAT-Derived Soil Moisture Data: A Case Study of the Torgiovannetto Landslide in Central Italy","title-short":"Improving Landslide Forecasting Using ASCAT-Derived Soil Moisture Data","volume":"4","author":[{"family":"Brocca","given":"Luca"},{"family":"Ponziani","given":"Francesco"},{"family":"Moramarco","given":"Tommaso"},{"family":"Melone","given":"Florisa"},{"family":"Berni","given":"Nicola"},{"family":"Wagner","given":"Wolfgang"}],"issued":{"date-parts":[["2012",5]]}}},{"id":139,"uris":["http://zotero.org/users/7782726/items/JZTVTKGP"],"uri":["http://zotero.org/users/7782726/items/JZTVTKGP"],"itemData":{"id":139,"type":"article-journal","abstract":"As soil moisture increases, slope stability decreases. Remotely sensed soil moisture data can provide routine updates of slope conditions necessary for landslide predictions. For regional scale landslide investigations, only remote-sensing methods have the spatial and temporal resolution required to map hazard increases. Here, a dynamic physically-based slope stability model that requires soil moisture is applied using remote-sensing products from multiple Earth observing platforms. The resulting landslide susceptibility maps using the advanced microwave scanning radiometer (AMSR-E) surface soil moisture are compared to those created using variable infiltration capacity (VIC-3L) modeled soil moisture at Cleveland Corral landslide area in California, US. Despite snow cover influences on AMSR-E surface soil moisture estimates, a good relationship between the downscaled AMSR-E's surface soil moisture and the VIC-3L modeled soil moisture is evident. The AMSR-E soil moisture mean (0.17cm3/cm3) and standard deviation (0.02cm3/cm3) are very close to the mean (0.21cm3/cm3) and standard deviation (0.09cm3/cm3) estimated by VIC-3L model. Qualitative results show that the location and extent of landslide prone regions are quite similar. Under the maximum saturation scenario, 0.42% and 0.49% of the study area were highly susceptible using AMSR-E and VIC-3L model soil moisture, respectively.","container-title":"Remote Sensing of Environment","DOI":"10.1016/j.rse.2010.05.033","ISSN":"0034-4257","issue":"11","journalAbbreviation":"Remote Sensing of Environment","language":"en","page":"2624-2636","source":"ScienceDirect","title":"Landslide susceptibility mapping using downscaled AMSR-E soil moisture: A case study from Cleveland Corral, California, US","title-short":"Landslide susceptibility mapping using downscaled AMSR-E soil moisture","volume":"114","author":[{"family":"Ray","given":"Ram L."},{"family":"Jacobs","given":"Jennifer M."},{"family":"Cosh","given":"Michael H."}],"issued":{"date-parts":[["2010",11,15]]}}}],"schema":"https://github.com/citation-style-language/schema/raw/master/csl-citation.json"} </w:instrText>
      </w:r>
      <w:r>
        <w:fldChar w:fldCharType="separate"/>
      </w:r>
      <w:r w:rsidR="00A8211B" w:rsidRPr="00A8211B">
        <w:t>(Brocca et al., 2012; Ray et al., 2010)</w:t>
      </w:r>
      <w:r>
        <w:fldChar w:fldCharType="end"/>
      </w:r>
      <w:r w:rsidRPr="008B4774">
        <w:t xml:space="preserve"> depend on knowledge of soil moisture variations.  </w:t>
      </w:r>
    </w:p>
    <w:p w14:paraId="27B96A24" w14:textId="4C73C4D2" w:rsidR="0081736A" w:rsidRPr="008B4774" w:rsidRDefault="0081736A" w:rsidP="0081736A">
      <w:r w:rsidRPr="008B4774">
        <w:t>Currently, soil moisture can be estimated through three primary approaches: (1) in</w:t>
      </w:r>
      <w:r>
        <w:t>-</w:t>
      </w:r>
      <w:r w:rsidRPr="008B4774">
        <w:t xml:space="preserve">situ measurements, (2) remote sensing observations, and (3) Land Surface Models (LSM). In-situ soil moisture measurement techniques have the advantage of easy installation, high spatial and temporal resolutions, and the ability </w:t>
      </w:r>
      <w:r w:rsidR="008F3FE5">
        <w:t>to</w:t>
      </w:r>
      <w:r w:rsidRPr="008B4774">
        <w:t xml:space="preserve"> measur</w:t>
      </w:r>
      <w:r w:rsidR="008F3FE5">
        <w:t>e</w:t>
      </w:r>
      <w:r w:rsidRPr="008B4774">
        <w:t xml:space="preserve"> soil moisture at different depths</w:t>
      </w:r>
      <w:r>
        <w:t xml:space="preserve"> </w:t>
      </w:r>
      <w:r>
        <w:fldChar w:fldCharType="begin"/>
      </w:r>
      <w:r w:rsidR="0045317F">
        <w:instrText xml:space="preserve"> ADDIN ZOTERO_ITEM CSL_CITATION {"citationID":"qwHiz4TA","properties":{"formattedCitation":"(Peng et al., 2017)","plainCitation":"(Peng et al., 2017)","noteIndex":0},"citationItems":[{"id":53,"uris":["http://zotero.org/users/7782726/items/Y936GTI7"],"uri":["http://zotero.org/users/7782726/items/Y936GTI7"],"itemData":{"id":53,"type":"article-journal","abstract":"Satellite remote sensing technology has been widely used to estimate surface soil moisture. Numerous efforts have been devoted to develop global soil moisture products. However, these global soil moisture products, normally retrieved from microwave remote sensing data, are typically not suitable for regional hydrological and agricultural applications such as irrigation management and flood predictions, due to their coarse spatial resolution. Therefore, various downscaling methods have been proposed to improve the coarse resolution soil moisture products. The purpose of this paper is to review existing methods for downscaling satellite remotely sensed soil moisture. These methods are assessed and compared in terms of their advantages and limitations. This review also provides the accuracy level of these methods based on published validation studies. In the final part, problems and future trends associated with these methods are analyzed.","container-title":"Reviews of Geophysics","DOI":"https://doi.org/10.1002/2016RG000543","ISSN":"1944-9208","issue":"2","language":"en","note":"_eprint: https://agupubs.onlinelibrary.wiley.com/doi/pdf/10.1002/2016RG000543","page":"341-366","source":"Wiley Online Library","title":"A review of spatial downscaling of satellite remotely sensed soil moisture","volume":"55","author":[{"family":"Peng","given":"Jian"},{"family":"Loew","given":"Alexander"},{"family":"Merlin","given":"Olivier"},{"family":"Verhoest","given":"Niko E. C."}],"issued":{"date-parts":[["2017"]]}}}],"schema":"https://github.com/citation-style-language/schema/raw/master/csl-citation.json"} </w:instrText>
      </w:r>
      <w:r>
        <w:fldChar w:fldCharType="separate"/>
      </w:r>
      <w:r w:rsidR="00A8211B" w:rsidRPr="00A8211B">
        <w:t>(Peng et al., 2017)</w:t>
      </w:r>
      <w:r>
        <w:fldChar w:fldCharType="end"/>
      </w:r>
      <w:r w:rsidRPr="008B4774">
        <w:t>. Therefore, these measurements are normally recognized as the “ground truth” in validating and calibrating remote sensing and land surface model-based soil moisture retrievals. However, since soil moisture variability generally increases with extent scale</w:t>
      </w:r>
      <w:r>
        <w:t xml:space="preserve"> </w:t>
      </w:r>
      <w:r>
        <w:fldChar w:fldCharType="begin"/>
      </w:r>
      <w:r w:rsidR="0045317F">
        <w:instrText xml:space="preserve"> ADDIN ZOTERO_ITEM CSL_CITATION {"citationID":"IIy7nSZ3","properties":{"formattedCitation":"(Famiglietti et al., 2008)","plainCitation":"(Famiglietti et al., 2008)","noteIndex":0},"citationItems":[{"id":50,"uris":["http://zotero.org/users/7782726/items/V85JKI9U"],"uri":["http://zotero.org/users/7782726/items/V85JKI9U"],"itemData":{"id":50,"type":"article-journal","abstract":"In this study, over 36,000 ground-based soil moisture measurements collected during the SGP97, SGP99, SMEX02, and SMEX03 field campaigns were analyzed to characterize the behavior of soil moisture variability across scales. The field campaigns were conducted in Oklahoma and Iowa in the central USA. The Oklahoma study region is sub-humid with moderately rolling topography, while the Iowa study region is humid with low-relief topography. The relationship of soil moisture standard deviation, skewness and the coefficient of variation versus mean moisture content was explored at six distinct extent scales, ranging from 2.5 m to 50 km. Results showed that variability generally increases with extent scale. The standard deviation increased from 0.036 cm3/cm3 at the 2.5-m scale to 0.071 cm3/cm3 at the 50-km scale. The log standard deviation of soil moisture increased linearly with the log extent scale, from 16 m to 1.6 km, indicative of fractal scaling. The soil moisture standard deviation versus mean moisture content exhibited a convex upward relationship at the 800-m and 50-km scales, with maximum values at mean moisture contents of roughly 0.17 cm3/cm3 and 0.19 cm3/cm3, respectively. An empirical model derived from the observed behavior of soil moisture variability was used to estimate uncertainty in the mean moisture content for a fixed number of samples at the 800-m and 50-km scales, as well as the number of ground-truth samples needed to achieve 0.05 cm3/cm3 and 0.03 cm3/cm3 accuracies. The empirical relationships can also be used to parameterize surface soil moisture variations in land surface and hydrological models across a range of scales. To our knowledge, this is the first study to document the behavior of soil moisture variability over this range of extent scales using ground-based measurements. Our results will contribute not only to efficient and reliable satellite validation, but also to better utilization of remotely sensed soil moisture products for enhanced modeling and prediction.","container-title":"Water Resources Research","DOI":"https://doi.org/10.1029/2006WR005804","ISSN":"1944-7973","issue":"1","language":"en","note":"_eprint: https://agupubs.onlinelibrary.wiley.com/doi/pdf/10.1029/2006WR005804","source":"Wiley Online Library","title":"Field observations of soil moisture variability across scales","URL":"https://agupubs.onlinelibrary.wiley.com/doi/abs/10.1029/2006WR005804","volume":"44","author":[{"family":"Famiglietti","given":"James S."},{"family":"Ryu","given":"Dongryeol"},{"family":"Berg","given":"Aaron A."},{"family":"Rodell","given":"Matthew"},{"family":"Jackson","given":"Thomas J."}],"accessed":{"date-parts":[["2021",5,25]]},"issued":{"date-parts":[["2008"]]}}}],"schema":"https://github.com/citation-style-language/schema/raw/master/csl-citation.json"} </w:instrText>
      </w:r>
      <w:r>
        <w:fldChar w:fldCharType="separate"/>
      </w:r>
      <w:r w:rsidR="00A8211B" w:rsidRPr="00A8211B">
        <w:t>(Famiglietti et al., 2008)</w:t>
      </w:r>
      <w:r>
        <w:fldChar w:fldCharType="end"/>
      </w:r>
      <w:r w:rsidRPr="008B4774">
        <w:t xml:space="preserve">, these point measurements are not able to provide spatial representativeness of neighboring areas over a range of scales </w:t>
      </w:r>
      <w:r>
        <w:fldChar w:fldCharType="begin"/>
      </w:r>
      <w:r w:rsidR="0045317F">
        <w:instrText xml:space="preserve"> ADDIN ZOTERO_ITEM CSL_CITATION {"citationID":"J5S1Pm32","properties":{"formattedCitation":"(Crow et al., 2012; Ochsner et al., 2019; Peng et al., 2017)","plainCitation":"(Crow et al., 2012; Ochsner et al., 2019; Peng et al., 2017)","noteIndex":0},"citationItems":[{"id":53,"uris":["http://zotero.org/users/7782726/items/Y936GTI7"],"uri":["http://zotero.org/users/7782726/items/Y936GTI7"],"itemData":{"id":53,"type":"article-journal","abstract":"Satellite remote sensing technology has been widely used to estimate surface soil moisture. Numerous efforts have been devoted to develop global soil moisture products. However, these global soil moisture products, normally retrieved from microwave remote sensing data, are typically not suitable for regional hydrological and agricultural applications such as irrigation management and flood predictions, due to their coarse spatial resolution. Therefore, various downscaling methods have been proposed to improve the coarse resolution soil moisture products. The purpose of this paper is to review existing methods for downscaling satellite remotely sensed soil moisture. These methods are assessed and compared in terms of their advantages and limitations. This review also provides the accuracy level of these methods based on published validation studies. In the final part, problems and future trends associated with these methods are analyzed.","container-title":"Reviews of Geophysics","DOI":"https://doi.org/10.1002/2016RG000543","ISSN":"1944-9208","issue":"2","language":"en","note":"_eprint: https://agupubs.onlinelibrary.wiley.com/doi/pdf/10.1002/2016RG000543","page":"341-366","source":"Wiley Online Library","title":"A review of spatial downscaling of satellite remotely sensed soil moisture","volume":"55","author":[{"family":"Peng","given":"Jian"},{"family":"Loew","given":"Alexander"},{"family":"Merlin","given":"Olivier"},{"family":"Verhoest","given":"Niko E. C."}],"issued":{"date-parts":[["2017"]]}}},{"id":56,"uris":["http://zotero.org/users/7782726/items/IRNEVBSW"],"uri":["http://zotero.org/users/7782726/items/IRNEVBSW"],"itemData":{"id":56,"type":"article-journal","abstract":"The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 operation, this mapping system ha</w:instrText>
      </w:r>
      <w:r w:rsidR="0045317F">
        <w:rPr>
          <w:rFonts w:hint="eastAsia"/>
        </w:rPr>
        <w:instrText xml:space="preserve">s revealed complex, dynamic, and depth-specific mesoscale patterns, reflecting the shifting influences of both soil texture and precipitation, with a mean absolute error of </w:instrText>
      </w:r>
      <w:r w:rsidR="0045317F">
        <w:rPr>
          <w:rFonts w:hint="eastAsia"/>
        </w:rPr>
        <w:instrText>≤</w:instrText>
      </w:r>
      <w:r w:rsidR="0045317F">
        <w:rPr>
          <w:rFonts w:hint="eastAsia"/>
        </w:rPr>
        <w:instrText>0.0576 cm3/cm3 across all three depths.","container-title":"Water Resources Resea</w:instrText>
      </w:r>
      <w:r w:rsidR="0045317F">
        <w:instrText xml:space="preserve">rch","DOI":"https://doi.org/10.1029/2018WR024535","ISSN":"1944-7973","issue":"6","language":"en","note":"_eprint: https://onlinelibrary.wiley.com/doi/pdf/10.1029/2018WR024535","page":"4785-4800","source":"Wiley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E."},{"family":"Linde","given":"Evan"},{"family":"Haffner","given":"Matthew"},{"family":"Dong","given":"Jingnuo"}],"issued":{"date-parts":[["2019"]]}}}],"schema":"https://github.com/citation-style-language/schema/raw/master/csl-citation.json"} </w:instrText>
      </w:r>
      <w:r>
        <w:fldChar w:fldCharType="separate"/>
      </w:r>
      <w:r w:rsidR="00A8211B" w:rsidRPr="00A8211B">
        <w:t>(Crow et al., 2012; Ochsner et al., 2019; Peng et al., 2017)</w:t>
      </w:r>
      <w:r>
        <w:fldChar w:fldCharType="end"/>
      </w:r>
      <w:r w:rsidRPr="008B4774">
        <w:t>. Although previous studies have used geostatistical techniques to extrapolate in</w:t>
      </w:r>
      <w:r>
        <w:t>-</w:t>
      </w:r>
      <w:r w:rsidRPr="008B4774">
        <w:t>situ soil moisture measurements to larger scales, these methods are usually complex, time-consuming, and depend on the availability of high-resolution auxiliary variables, especially over land surface</w:t>
      </w:r>
      <w:r>
        <w:t>s</w:t>
      </w:r>
      <w:r w:rsidRPr="008B4774">
        <w:t xml:space="preserve"> with high spatial heterogeneity </w:t>
      </w:r>
      <w:r>
        <w:fldChar w:fldCharType="begin"/>
      </w:r>
      <w:r w:rsidR="0075552F">
        <w:instrText xml:space="preserve"> ADDIN ZOTERO_ITEM CSL_CITATION {"citationID":"T9Fi713s","properties":{"formattedCitation":"(Kang et al., 2021; Ochsner et al., 2019; Qin et al., 2013; Wang et al., 2015; X. Zhang, Tang, et al., 2017)","plainCitation":"(Kang et al., 2021; Ochsner et al., 2019; Qin et al., 2013; Wang et al., 2015; X. Zhang, Tang, et al., 2017)","dontUpdate":true,"noteIndex":0},"citationItems":[{"id":122,"uris":["http://zotero.org/users/7782726/items/MQIFFYDZ"],"uri":["http://zotero.org/users/7782726/items/MQIFFYDZ"],"itemData":{"id":122,"type":"article-journal","abstract":"&lt;section class=\"abstract\"&gt;&lt;h2 class=\"abstractTitle text-title my-1\" id=\"d149947833e83\"&gt;Abstract&lt;/h2&gt;&lt;p&gt;In this paper, an experimental soil moisture drought monitoring and seasonal forecasting framework based on the Variable Infiltration Capacity model (VIC) over southwestern China (SW) is presented. Satellite precipitation data are used to force VIC for a near-real-time estimate of land surface hydrologic conditions. Initialized with satellite-aided monitoring (MONIT), the climate model (CFSv2)-based forecast (MONIT+CFSv2) and ensemble streamflow prediction (ESP)-based forecast (MONIT+ESP) are both performed. One dry season drought and one wet season drought are employed to test the ability of this framework in terms of real-time tracking and predicting the evolution of soil moisture (SM) drought, respectively. The results show that the skillful CFSv2 climate forecasts (CFs) are only found at the first month. The satellite-aided monitoring is able to provide a reasonable estimate of forecast initial conditions (ICs) in real-time mode. In the presented cases, MONIT+CFSv2 forecast exhibits comparable performance against the observation-based estimates for the first month, whereas the predictive skill largely drops beyond 1 month. Compared to MONIT+ESP, MONIT+CFSv2 ensembles give more skillful SM drought forecast during the dry season, as indicated by a smaller ensemble range, while the added value of MONIT+CFSv2 is marginal during the wet season. A quantitative attribution analysis of SM forecast uncertainty demonstrates that SM forecast skill is mostly controlled by ICs at the first month and that uncertainties in CFs have the largest contribution to SM forecast errors at longer lead times. This study highlights a value of this framework in generating near-real-time ICs and providing a reliable SM drought prediction with 1 month ahead, which may greatly benefit drought diagnosis, assessment, and early warning.&lt;/p&gt;&lt;/section&gt;","container-title":"Journal of Hydrometeorology","DOI":"10.1175/JHM-D-16-0045.1","ISSN":"1525-7541, 1525-755X","issue":"1","language":"EN","note":"publisher: American Meteorological Society\nsection: Journal of Hydrometeorology","page":"5-23","source":"journals.ametsoc.org","title":"Soil Moisture Drought Monitoring and Forecasting Using Satellite and Climate Model Data over Southwestern China","volume":"18","author":[{"family":"Zhang","given":"Xuejun"},{"family":"Tang","given":"Qiuhong"},{"family":"Liu","given":"Xingcai"},{"family":"Leng","given":"Guoyong"},{"family":"Li","given":"Zhe"}],"issued":{"date-parts":[["2017",1,1]]}}},{"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w:instrText>
      </w:r>
      <w:r w:rsidR="0075552F">
        <w:rPr>
          <w:rFonts w:hint="eastAsia"/>
        </w:rPr>
        <w:instrText xml:space="preserve"> operation, this mapping system has revealed complex, dynamic, and depth-specific mesoscale patterns, reflecting the shifting influences of both soil texture and precipitation, with a mean absolute error of </w:instrText>
      </w:r>
      <w:r w:rsidR="0075552F">
        <w:rPr>
          <w:rFonts w:hint="eastAsia"/>
        </w:rPr>
        <w:instrText>≤</w:instrText>
      </w:r>
      <w:r w:rsidR="0075552F">
        <w:rPr>
          <w:rFonts w:hint="eastAsia"/>
        </w:rPr>
        <w:instrText>0.0576 cm3/cm3 across all three depths.","conta</w:instrText>
      </w:r>
      <w:r w:rsidR="0075552F">
        <w:instrText xml:space="preserve">iner-title":"Water Resources Research","DOI":"https://doi.org/10.1029/2018WR024535","ISSN":"1944-7973","issue":"6","language":"en","note":"_eprint: https://onlinelibrary.wiley.com/doi/pdf/10.1029/2018WR024535","page":"4785-4800","source":"Wiley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id":73,"uris":["http://zotero.org/users/7782726/items/RKQRD6S5"],"uri":["http://zotero.org/users/7782726/items/RKQRD6S5"],"itemData":{"id":73,"type":"article-journal","abstract":"Soil moisture plays an essential role in the terrestrial water cycle. It is very important to obtain soil moisture for many applications. Soil moisture acquired by remote sensing, land surface modeling, and data assimilation must be evaluated against in-situ measurements before being used, but a procedure should be performed to upscale the point-scale measurements to the grid-scale or footprint-scale. In this study, a new upscaling algorithm is developed by introducing MODIS-derived apparent thermal inertia (ATI). First, a functional relationship between the station-averaged soil moisture and the pixel-averaged ATI is constructed. Second, this relationship is used to calculate the representative soil moisture time series at a certain spatial scale. Last, the Bayesian linear regression is applied to obtain the upscaled area-averaged soil moisture by using in-situ measurements as independent variables. The algorithm is evaluated using a network of in-situ moisture sensors in the central Tibetan Plateau. The results indicate that it can effectively obtain the area-averaged soil moisture, reducing the root mean square error (RMSE) from 0.023m3/m3 before upscaling to 0.013m3/m3 after upscaling. Finally, the algorithm is implemented to the 100km×100km grid box where the network is installed, and the temporal pattern of the upscaled soil moisture agrees with the hydro-meteorological knowledge of this region.","container-title":"Remote Sensing of Environment","DOI":"10.1016/j.rse.2013.07.003","ISSN":"0034-4257","journalAbbreviation":"Remote Sensing of Environment","language":"en","page":"1-9","source":"ScienceDirect","title":"Spatial upscaling of in-situ soil moisture measurements based on MODIS-derived apparent thermal inertia","volume":"138","author":[{"family":"Qin","given":"Jun"},{"family":"Yang","given":"Kun"},{"family":"Lu","given":"Ning"},{"family":"Chen","given":"Yingying"},{"family":"Zhao","given":"Long"},{"family":"Han","given":"Menglei"}],"issued":{"date-parts":[["2013",11,1]]}}},{"id":67,"uris":["http://zotero.org/users/7782726/items/H59SY39J"],"uri":["http://zotero.org/users/7782726/items/H59SY39J"],"itemData":{"id":67,"type":"article-journal","abstract":"Validation of satellite-based soil moisture products is necessary to provide users with an assessment of their accuracy and reliability and to ensure quality of information. A key step in the validation process is to upscale point-scale, ground-based soil moisture observations to satellite-scale pixel averages. When soil moisture shows high spatial heterogeneity within pixels, a strategy which captures the spatial characteristics is essential for the upscaling process. In addition, temporal variation in soil moisture must be taken into account when measurement times of ground-based and satellite-based observations are not the same. We applied spatio-temporal regression block kriging (STRBK) to upscale  in situ soil moisture observations collected as time series at multiple locations to pixel averages. STRBK incorporates auxiliary information such as maps of vegetation and land surface temperature to improve predictions and exploits the spatio-temporal correlation structure of the point-scale soil moisture observations. In addition, STRBK also quantifies the uncertainty associated with the upscaled soil moisture which allows bias detection and significance testing of satellite-based soil moisture products. The approach is illustrated with a real-world application for upscaling in situ soil moisture observations for validating the Polarimetric L-band Multi-beam Radiometer (PLMR) retrieved soil moisture product in the Heihe Water Allied Telemetry Experimental Research experiment (HiWATER). The results show that STRBK yields upscaled soil moisture predictions that are sufficiently accurate  for validation purposes. Comparison of the upscaled predictions with PLMR soil moisture observations shows that the root-mean-squared error of the PLMR soil moisture product  is about 0.03 m3·m−3 and can be used as a high-resolution soil moisture product for watershed-scale soil moisture monitoring.","container-title":"Remote Sensing","DOI":"10.3390/rs70911372","issue":"9","language":"en","note":"number: 9\npublisher: Multidisciplinary Digital Publishing Institute","page":"11372-11388","source":"www.mdpi.com","title":"Upscaling In Situ Soil Moisture Observations to Pixel Averages with Spatio-Temporal Geostatistics","volume":"7","author":[{"family":"Wang","given":"Jianghao"},{"family":"Ge","given":"Yong"},{"family":"Heuvelink","given":"Gerard B. M."},{"family":"Zhou","given":"Chenghu"}],"issued":{"date-parts":[["2015",9]]}}},{"id":70,"uris":["http://zotero.org/users/7782726/items/DYMY4PI4"],"uri":["http://zotero.org/users/7782726/items/DYMY4PI4"],"itemData":{"id":70,"type":"article-journal","abstract":"In recent decades, microwave remote sensing (RS) has been used to measure soil moisture (SM). Long-term and large-scale RS SM datasets derived from various microwave sensors have been used in environmental fields. Understanding the accuracies of RS SM products is essential for their proper applications. However, due to the mismatched spatial scale between the ground-based and RS observations, the truth at the pixel scale may not be accurately represented by ground-based observations, especially when the spatial density of in situ measurements is low. Because ground-based observations are often sparsely distributed, temporal upscaling was adopted to transform a few in situ measurements into SM values at a pixel scale of 1 km by introducing the temperature vegetation dryness index (TVDI) related to SM. The upscaled SM showed high consistency with in situ SM observations and could accurately capture rainfall events. The upscaled SM was considered as the reference data to evaluate RS SM products at different spatial scales. In regard to the validation results, in addition to the correlation coefficient (R) of the Soil Moisture Active Passive (SMAP) SM being slightly lower than that of the Climate Change Initiative (CCI) SM, SMAP had the best performance in terms of the root-mean-square error (RMSE), unbiased RMSE and bias, followed by the CCI. The Soil Moisture and Ocean Salinity (SMOS) products were in worse agreement with the upscaled SM and were inferior to the R value of the X-band SM of the Advanced Microwave Scanning Radiometer 2 (AMSR2). In conclusion, in the study area, the SMAP and CCI SM are more reliable, although both products were underestimated by 0.060 cm3 cm&amp;minus;3 and 0.077 cm3 cm&amp;minus;3, respectively. If the biases are corrected, then the improved SMAP with an RMSE of 0.043 cm3 cm&amp;minus;3 and the CCI with an RMSE of 0.039 cm3 cm&amp;minus;3 will hopefully reach the application requirement for an accuracy with an RMSE less than 0.040 cm3 cm&amp;minus;3.","container-title":"Remote Sensing","DOI":"10.3390/rs13020228","issue":"2","language":"en","note":"number: 2\npublisher: Multidisciplinary Digital Publishing Institute","page":"228","source":"www.mdpi.com","title":"Mapping High Spatiotemporal-Resolution Soil Moisture by Upscaling Sparse Ground-Based Observations Using a Bayesian Linear Regression Method for Comparison with Microwave Remotely Sensed Soil Moisture Products","volume":"13","author":[{"family":"Kang","given":"Jian"},{"family":"Jin","given":"Rui"},{"family":"Li","given":"Xin"},{"family":"Zhang","given":"Yang"}],"issued":{"date-parts":[["2021",1]]}}}],"schema":"https://github.com/citation-style-language/schema/raw/master/csl-citation.json"} </w:instrText>
      </w:r>
      <w:r>
        <w:fldChar w:fldCharType="separate"/>
      </w:r>
      <w:r w:rsidR="002945DD" w:rsidRPr="002945DD">
        <w:t>(Kang et al., 2021; Ochsner et al., 2019; Qin et al., 2013; Wang et al., 2015; Zhang</w:t>
      </w:r>
      <w:r w:rsidR="00206370">
        <w:t xml:space="preserve"> </w:t>
      </w:r>
      <w:r w:rsidR="002945DD" w:rsidRPr="002945DD">
        <w:t>et al., 2017)</w:t>
      </w:r>
      <w:r>
        <w:fldChar w:fldCharType="end"/>
      </w:r>
      <w:r w:rsidRPr="008B4774">
        <w:t xml:space="preserve">. LSM can provide soil moisture estimates at various depths with high spatio-temporal resolution at larger scales. For example, the four LSMs (Noah, SAC-SMA, VIC, and Mosaic) of the North American Land Data Assimilation System phase 2 (NLDAS-2) simulate hourly soil moisture over the conterminous United States (CONUS), the southern part of Canada, and the northern portion of Mexico with a 1/8° latitude-longitude resolution at various depths </w:t>
      </w:r>
      <w:r>
        <w:fldChar w:fldCharType="begin"/>
      </w:r>
      <w:r w:rsidR="00A8211B">
        <w:instrText xml:space="preserve"> ADDIN ZOTERO_ITEM CSL_CITATION {"citationID":"YKQqhAl5","properties":{"formattedCitation":"(Xia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fldChar w:fldCharType="separate"/>
      </w:r>
      <w:r w:rsidR="00A8211B" w:rsidRPr="00A8211B">
        <w:t>(Xia et al., 2014)</w:t>
      </w:r>
      <w:r>
        <w:fldChar w:fldCharType="end"/>
      </w:r>
      <w:r w:rsidRPr="008B4774">
        <w:t xml:space="preserve">. However, uncertainties due to model forcing, parameters, structure, and calibration affect the reliability of these soil moisture estimates </w:t>
      </w:r>
      <w:r>
        <w:fldChar w:fldCharType="begin"/>
      </w:r>
      <w:r w:rsidR="00A8211B">
        <w:instrText xml:space="preserve"> ADDIN ZOTERO_ITEM CSL_CITATION {"citationID":"T7Tr8ITJ","properties":{"formattedCitation":"(Xia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fldChar w:fldCharType="separate"/>
      </w:r>
      <w:r w:rsidR="00A8211B" w:rsidRPr="00A8211B">
        <w:t>(Xia et al., 2014)</w:t>
      </w:r>
      <w:r>
        <w:fldChar w:fldCharType="end"/>
      </w:r>
      <w:r w:rsidRPr="008B4774">
        <w:t xml:space="preserve">. Finally, soil moisture retrievals of remote sensing </w:t>
      </w:r>
      <w:r>
        <w:lastRenderedPageBreak/>
        <w:t>data,</w:t>
      </w:r>
      <w:r w:rsidRPr="008B4774">
        <w:t xml:space="preserve"> especially satellite microwave observations from active and passive sensors</w:t>
      </w:r>
      <w:r>
        <w:t>,</w:t>
      </w:r>
      <w:r w:rsidRPr="008B4774">
        <w:t xml:space="preserve"> have gained momentum over the past 20 years </w:t>
      </w:r>
      <w:r>
        <w:fldChar w:fldCharType="begin"/>
      </w:r>
      <w:r w:rsidR="00A8211B">
        <w:instrText xml:space="preserve"> ADDIN ZOTERO_ITEM CSL_CITATION {"citationID":"2SxFoxKB","properties":{"formattedCitation":"(Mohanty et al., 2017)","plainCitation":"(Mohanty et al., 2017)","noteIndex":0},"citationItems":[{"id":149,"uris":["http://zotero.org/users/7782726/items/ZG7ZG5QK"],"uri":["http://zotero.org/users/7782726/items/ZG7ZG5QK"],"itemData":{"id":149,"type":"article-journal","abstract":"Core Ideas Satellites, particularly at L-band frequency, can globally map near-surface soil moisture. Near-surface moisture is extended to the root zone using models and data assimilation. Validation uses core monitoring sites, monitoring networks, field campaigns, and multi-satellite comparisons. Efforts are underway to associate soil moisture variability dynamics with land surface attributes. This is an update to the special section “Remote Sensing for Vadose Zone Hydrology—A Synthesis from the Vantage Point” [Vadose Zone Journal 12(3)]. Satellites (e.g., Soil Moisture Active Passive [SMAP] and Soil Moisture and Ocean Salinity [SMOS]) using passive microwave techniques, in particular at L-band frequency, have shown good promise for global mapping of near-surface (0–5-cm) soil moisture at a spatial resolution of 25 to 40 km and temporal resolution of 2 to 3 d. C- and X-band soil moisture records date back to 1978, making available an invaluable data set for long-term climate research. Near-surface soil moisture is further extended to the root zone (top 1 m) using process-based models and data assimilation schemes. Validation of remotely sensed soil moisture products has been ongoing using core monitoring sites, sparse monitoring networks, intensive field campaigns, as well as multi-satellite comparison studies. To transfer empirical observations across space and time scales and to develop improved retrieval algorithms at various resolutions, several efforts are underway to associate soil moisture variability dynamics with land surface attributes in various energy- and water-rich environments. We describe the most recent scientific and technological advances in soil moisture remote sensing. We anticipate that remotely sensed soil moisture will find many applications in vadose zone hydrology in the coming decades.","container-title":"Vadose Zone Journal","DOI":"https://doi.org/10.2136/vzj2016.10.0105","ISSN":"1539-1663","issue":"1","language":"en","note":"_eprint: https://acsess.onlinelibrary.wiley.com/doi/pdf/10.2136/vzj2016.10.0105","page":"vzj2016.10.0105","source":"Wiley Online Library","title":"Soil Moisture Remote Sensing: State-of-the-Science","title-short":"Soil Moisture Remote Sensing","volume":"16","author":[{"family":"Mohanty","given":"Binayak P."},{"family":"Cosh","given":"Michael H."},{"family":"Lakshmi","given":"Venkat"},{"family":"Montzka","given":"Carsten"}],"issued":{"date-parts":[["2017"]]}}}],"schema":"https://github.com/citation-style-language/schema/raw/master/csl-citation.json"} </w:instrText>
      </w:r>
      <w:r>
        <w:fldChar w:fldCharType="separate"/>
      </w:r>
      <w:r w:rsidR="00A8211B" w:rsidRPr="00A8211B">
        <w:t>(Mohanty et al., 2017)</w:t>
      </w:r>
      <w:r>
        <w:fldChar w:fldCharType="end"/>
      </w:r>
      <w:r w:rsidRPr="008B4774">
        <w:t>. For example, some promising satellites available in the orbit</w:t>
      </w:r>
      <w:r>
        <w:t xml:space="preserve"> include:</w:t>
      </w:r>
      <w:r w:rsidRPr="008B4774">
        <w:t xml:space="preserve"> the Advanced Microwave Scanning Radiometer 2 (AMSR2</w:t>
      </w:r>
      <w:r>
        <w:t xml:space="preserve">) </w:t>
      </w:r>
      <w:r>
        <w:fldChar w:fldCharType="begin"/>
      </w:r>
      <w:r w:rsidR="00A8211B">
        <w:instrText xml:space="preserve"> ADDIN ZOTERO_ITEM CSL_CITATION {"citationID":"CptSQYrR","properties":{"formattedCitation":"(Imaoka et al., 2010)","plainCitation":"(Imaoka et al., 2010)","noteIndex":0},"citationItems":[{"id":179,"uris":["http://zotero.org/users/7782726/items/RDTA7VA7"],"uri":["http://zotero.org/users/7782726/items/RDTA7VA7"],"itemData":{"id":179,"type":"article-journal","container-title":"International Archives of the Photogrammetry, Remote Sensing and Spatial Information Science","issue":"8","page":"13-18","title":"Instrument performance and calibration of AMSR-E and AMSR2","volume":"38","author":[{"family":"Imaoka","given":"K."},{"family":"Kachi","given":"M."},{"family":"Kasahara","given":"M."},{"family":"Ito","given":"N."},{"family":"Nakagawa","given":"K."},{"family":"Oki","given":"T."}],"issued":{"date-parts":[["2010"]]}}}],"schema":"https://github.com/citation-style-language/schema/raw/master/csl-citation.json"} </w:instrText>
      </w:r>
      <w:r>
        <w:fldChar w:fldCharType="separate"/>
      </w:r>
      <w:r w:rsidR="00A8211B" w:rsidRPr="00A8211B">
        <w:t>(Imaoka et al., 2010)</w:t>
      </w:r>
      <w:r>
        <w:fldChar w:fldCharType="end"/>
      </w:r>
      <w:r w:rsidRPr="008B4774">
        <w:t>, Advanced Scatterometer (ASCAT)</w:t>
      </w:r>
      <w:r>
        <w:t xml:space="preserve"> </w:t>
      </w:r>
      <w:r>
        <w:fldChar w:fldCharType="begin"/>
      </w:r>
      <w:r w:rsidR="00A8211B">
        <w:instrText xml:space="preserve"> ADDIN ZOTERO_ITEM CSL_CITATION {"citationID":"ypGMzVw3","properties":{"formattedCitation":"(Wagner et al., 2013)","plainCitation":"(Wagner et al., 2013)","noteIndex":0},"citationItems":[{"id":93,"uris":["http://zotero.org/users/7782726/items/K29YMDX5"],"uri":["http://zotero.org/users/7782726/items/K29YMDX5"],"itemData":{"id":93,"type":"article-journal","abstract":"Many physical, chemical and biological processes taking place at the land surface are strongly influenced by the amount of water stored within the upper soil layers. Therefore, many scientific disciplines require soil moisture observations for developing, evaluating and improving their models. One of these disciplines is meteorology where soil moisture is important due to its control on the exchange of heat and water between the soil and the lower atmosphere. Soil moisture observations may thus help to improve the forecasts of air temperature, air humidity and precipitation. However, until recently, soil moisture observations had only been available over a limited number of regional soil moisture networks. This has hampered scientific progress as regards the characterisation of land surface processes not just in meteorology but many other scientific disciplines as well. Fortunately, in recent years, satellite soil moisture data have increasingly become available. One of the freely available global soil moisture data sets is derived from the backscatter measurements acquired by the Advanced Scatterometer (ASCAT) that is a C-band active microwave remote sensing instrument flown on board of the Meteorological Operational (METOP) satellite series. ASCAT was designed to observe wind speed and direction over the oceans and was initially not foreseen for monitoring soil moisture over land. Yet, as argued in this review paper, the characteristics of the ASCAT instrument, most importantly its wavelength (5.7 cm), its high radiometric accuracy, and its multiple-viewing capabilities make it an attractive sensor for measuring soil moisture. Moreover, given the operational status of ASCAT, and its promising long-term prospects, many geoscientific applications might benefit from using ASCAT soil moisture data. Nonetheless, the  ASCAT soil moisture product is relatively complex, requiring a good understanding of its properties before it can be successfully used in applications. To provide a comprehensive overview of the major characteristics and caveats of the ASCAT soil moisture product, this paper describes the ASCAT instrument and the soil moisture processor and near-real-time distribution service implemented by the European Organisation for the Exploitation of Meteorological Satellites (EUMETSAT). A review of the most recent validation studies shows that the quality of ASCAT soil moisture product is – with the exception of arid environments –comparable to, and over some regions (e.g. Europe) even better than currently available soil moisture data derived from passive microwave sensors. Further, a review of applications studies shows that the use of the ASCAT soil moisture product is particularly advanced in the fields of numerical weather prediction and hydrologic modelling. But also in other application areas such as yield monitoring, epidemiologic modelling, or societal risks assessment some first progress can be noted. Considering the generally positive evaluation results, it is expected that the ASCAT soil moisture product will increasingly be used by a growing number of rather diverse land applications.","container-title":"Meteorologische Zeitschrift","DOI":"10.1127/0941-2948/2013/0399","ISSN":"1610-1227","language":"en","note":"Accepted: 2020-06-27T15:38:39Z\npublisher: Schweizerbart","source":"repositum.tuwien.at","title":"The ASCAT soil moisture product: a review of its specifications, validation results, and emerging applications","title-short":"The ASCAT soil moisture product","URL":"https://repositum.tuwien.at/handle/20.500.12708/198","author":[{"family":"Wagner","given":"Wolfgang"},{"family":"Hahn","given":"Sebastian"},{"family":"Kidd","given":"Richard"},{"family":"Melzer","given":"Thomas"},{"family":"Bartalis","given":"Zoltan"},{"family":"Hasenauer","given":"Sefan"},{"family":"Figa-Saldana","given":"Julia"},{"family":"Rosnay","given":"Patricia","non-dropping-particle":"de"},{"family":"Jann","given":"Alexander"},{"family":"Schneider","given":"Stefan"},{"family":"Komma","given":"Jürgen"},{"family":"Kubu","given":"Gerhard"},{"family":"Brugger","given":"Katharina"},{"family":"Aubrecht","given":"Christoph"},{"family":"Züger","given":"Johann"},{"family":"Gangkofner","given":"Ute"},{"family":"Kienberger","given":"Stefan"},{"family":"Brocca","given":"Luca"},{"family":"Wang","given":"Yong"},{"family":"Blöschl","given":"Günter"},{"family":"Eitzinger","given":"Josef"},{"family":"Steinnocher","given":"Klaus"},{"family":"Zeil","given":"Peter"},{"family":"Rubel","given":"Franz"}],"accessed":{"date-parts":[["2021",5,26]]},"issued":{"date-parts":[["2013"]]}}}],"schema":"https://github.com/citation-style-language/schema/raw/master/csl-citation.json"} </w:instrText>
      </w:r>
      <w:r>
        <w:fldChar w:fldCharType="separate"/>
      </w:r>
      <w:r w:rsidR="00A8211B" w:rsidRPr="00A8211B">
        <w:t>(Wagner et al., 2013)</w:t>
      </w:r>
      <w:r>
        <w:fldChar w:fldCharType="end"/>
      </w:r>
      <w:r w:rsidRPr="008B4774">
        <w:t>, Soil Moisture and Ocean Salinity (SMOS)</w:t>
      </w:r>
      <w:r>
        <w:fldChar w:fldCharType="begin"/>
      </w:r>
      <w:r w:rsidR="00A8211B">
        <w:instrText xml:space="preserve"> ADDIN ZOTERO_ITEM CSL_CITATION {"citationID":"w6Ecw2kR","properties":{"formattedCitation":"(Kerr et al., 2001)","plainCitation":"(Kerr et al., 2001)","noteIndex":0},"citationItems":[{"id":180,"uris":["http://zotero.org/users/7782726/items/P4AEIMTI"],"uri":["http://zotero.org/users/7782726/items/P4AEIMTI"],"itemData":{"id":180,"type":"article-journal","container-title":"IEEE transactions on Geoscience and remote sensing","issue":"8","note":"ISBN: 0196-2892\npublisher: IEEE","page":"1729-1735","title":"Soil moisture retrieval from space: The Soil Moisture and Ocean Salinity (SMOS) mission","volume":"39","author":[{"family":"Kerr","given":"Yann H."},{"family":"Waldteufel","given":"Philippe"},{"family":"Wigneron","given":"J.-P."},{"family":"Martinuzzi","given":"JAMJ"},{"family":"Font","given":"Jordi"},{"family":"Berger","given":"Michael"}],"issued":{"date-parts":[["2001"]]}}}],"schema":"https://github.com/citation-style-language/schema/raw/master/csl-citation.json"} </w:instrText>
      </w:r>
      <w:r>
        <w:fldChar w:fldCharType="separate"/>
      </w:r>
      <w:r w:rsidR="00A8211B" w:rsidRPr="00A8211B">
        <w:t>(Kerr et al., 2001)</w:t>
      </w:r>
      <w:r>
        <w:fldChar w:fldCharType="end"/>
      </w:r>
      <w:r w:rsidRPr="008B4774">
        <w:t>, Soil Moisture Active and Passive (SMAP) Mission</w:t>
      </w:r>
      <w:r>
        <w:t xml:space="preserve"> </w:t>
      </w:r>
      <w:r>
        <w:fldChar w:fldCharType="begin"/>
      </w:r>
      <w:r w:rsidR="00A8211B">
        <w:instrText xml:space="preserve"> ADDIN ZOTERO_ITEM CSL_CITATION {"citationID":"8FZGuL3U","properties":{"formattedCitation":"(Entekhabi et al., 2010)","plainCitation":"(Entekhabi et al., 2010)","noteIndex":0},"citationItems":[{"id":181,"uris":["http://zotero.org/users/7782726/items/EYFKXMK4"],"uri":["http://zotero.org/users/7782726/items/EYFKXMK4"],"itemData":{"id":181,"type":"article-journal","container-title":"Proceedings of the IEEE","issue":"5","note":"ISBN: 0018-9219\npublisher: IEEE","page":"704-716","title":"The soil moisture active passive (SMAP) mission","volume":"98","author":[{"family":"Entekhabi","given":"Dara"},{"family":"Njoku","given":"Eni G."},{"family":"O'Neill","given":"Peggy E."},{"family":"Kellogg","given":"Kent H."},{"family":"Crow","given":"Wade T."},{"family":"Edelstein","given":"Wendy N."},{"family":"Entin","given":"Jared K."},{"family":"Goodman","given":"Shawn D."},{"family":"Jackson","given":"Thomas J."},{"family":"Johnson","given":"Joel"}],"issued":{"date-parts":[["2010"]]}}}],"schema":"https://github.com/citation-style-language/schema/raw/master/csl-citation.json"} </w:instrText>
      </w:r>
      <w:r>
        <w:fldChar w:fldCharType="separate"/>
      </w:r>
      <w:r w:rsidR="00A8211B" w:rsidRPr="00A8211B">
        <w:t>(Entekhabi et al., 2010)</w:t>
      </w:r>
      <w:r>
        <w:fldChar w:fldCharType="end"/>
      </w:r>
      <w:r w:rsidRPr="008B4774">
        <w:t xml:space="preserve">. Various soil moisture products at regional or global scales have been retrieved from these active and passive sensors and validated against extensive field campaigns </w:t>
      </w:r>
      <w:r>
        <w:fldChar w:fldCharType="begin"/>
      </w:r>
      <w:r w:rsidR="00A8211B">
        <w:instrText xml:space="preserve"> ADDIN ZOTERO_ITEM CSL_CITATION {"citationID":"sf6mVyYk","properties":{"formattedCitation":"(Brocca et al., 2011; Dorigo et al., 2015; Jackson et al., 2012; Wagner et al., 2013)","plainCitation":"(Brocca et al., 2011; Dorigo et al., 2015; Jackson et al., 2012; Wagner et al., 2013)","noteIndex":0},"citationItems":[{"id":93,"uris":["http://zotero.org/users/7782726/items/K29YMDX5"],"uri":["http://zotero.org/users/7782726/items/K29YMDX5"],"itemData":{"id":93,"type":"article-journal","abstract":"Many physical, chemical and biological processes taking place at the land surface are strongly influenced by the amount of water stored within the upper soil layers. Therefore, many scientific disciplines require soil moisture observations for developing, evaluating and improving their models. One of these disciplines is meteorology where soil moisture is important due to its control on the exchange of heat and water between the soil and the lower atmosphere. Soil moisture observations may thus help to improve the forecasts of air temperature, air humidity and precipitation. However, until recently, soil moisture observations had only been available over a limited number of regional soil moisture networks. This has hampered scientific progress as regards the characterisation of land surface processes not just in meteorology but many other scientific disciplines as well. Fortunately, in recent years, satellite soil moisture data have increasingly become available. One of the freely available global soil moisture data sets is derived from the backscatter measurements acquired by the Advanced Scatterometer (ASCAT) that is a C-band active microwave remote sensing instrument flown on board of the Meteorological Operational (METOP) satellite series. ASCAT was designed to observe wind speed and direction over the oceans and was initially not foreseen for monitoring soil moisture over land. Yet, as argued in this review paper, the characteristics of the ASCAT instrument, most importantly its wavelength (5.7 cm), its high radiometric accuracy, and its multiple-viewing capabilities make it an attractive sensor for measuring soil moisture. Moreover, given the operational status of ASCAT, and its promising long-term prospects, many geoscientific applications might benefit from using ASCAT soil moisture data. Nonetheless, the  ASCAT soil moisture product is relatively complex, requiring a good understanding of its properties before it can be successfully used in applications. To provide a comprehensive overview of the major characteristics and caveats of the ASCAT soil moisture product, this paper describes the ASCAT instrument and the soil moisture processor and near-real-time distribution service implemented by the European Organisation for the Exploitation of Meteorological Satellites (EUMETSAT). A review of the most recent validation studies shows that the quality of ASCAT soil moisture product is – with the exception of arid environments –comparable to, and over some regions (e.g. Europe) even better than currently available soil moisture data derived from passive microwave sensors. Further, a review of applications studies shows that the use of the ASCAT soil moisture product is particularly advanced in the fields of numerical weather prediction and hydrologic modelling. But also in other application areas such as yield monitoring, epidemiologic modelling, or societal risks assessment some first progress can be noted. Considering the generally positive evaluation results, it is expected that the ASCAT soil moisture product will increasingly be used by a growing number of rather diverse land applications.","container-title":"Meteorologische Zeitschrift","DOI":"10.1127/0941-2948/2013/0399","ISSN":"1610-1227","language":"en","note":"Accepted: 2020-06-27T15:38:39Z\npublisher: Schweizerbart","source":"repositum.tuwien.at","title":"The ASCAT soil moisture product: a review of its specifications, validation results, and emerging applications","title-short":"The ASCAT soil moisture product","URL":"https://repositum.tuwien.at/handle/20.500.12708/198","author":[{"family":"Wagner","given":"Wolfgang"},{"family":"Hahn","given":"Sebastian"},{"family":"Kidd","given":"Richard"},{"family":"Melzer","given":"Thomas"},{"family":"Bartalis","given":"Zoltan"},{"family":"Hasenauer","given":"Sefan"},{"family":"Figa-Saldana","given":"Julia"},{"family":"Rosnay","given":"Patricia","non-dropping-particle":"de"},{"family":"Jann","given":"Alexander"},{"family":"Schneider","given":"Stefan"},{"family":"Komma","given":"Jürgen"},{"family":"Kubu","given":"Gerhard"},{"family":"Brugger","given":"Katharina"},{"family":"Aubrecht","given":"Christoph"},{"family":"Züger","given":"Johann"},{"family":"Gangkofner","given":"Ute"},{"family":"Kienberger","given":"Stefan"},{"family":"Brocca","given":"Luca"},{"family":"Wang","given":"Yong"},{"family":"Blöschl","given":"Günter"},{"family":"Eitzinger","given":"Josef"},{"family":"Steinnocher","given":"Klaus"},{"family":"Zeil","given":"Peter"},{"family":"Rubel","given":"Franz"}],"accessed":{"date-parts":[["2021",5,26]]},"issued":{"date-parts":[["2013"]]}}},{"id":96,"uris":["http://zotero.org/users/7782726/items/X54ST8WD"],"uri":["http://zotero.org/users/7782726/items/X54ST8WD"],"itemData":{"id":96,"type":"article-journal","abstract":"Global soil moisture products retrieved from various remote sensing sensors are becoming readily available with a nearly daily temporal resolution. Active and passive microwave sensors are generally considered as the best technologies for retrieving soil moisture from space. The Advanced Microwave Scanning Radiometer for the Earth observing system (AMSR-E) on-board the Aqua satellite and the Advanced SCATterometer (ASCAT) on-board the MetOp (Meteorological Operational) satellite are among the sensors most widely used for soil moisture retrieval in the last years. However, due to differences in the spatial resolution, observation depths and measurement uncertainties, validation of satellite data with in situ observations and/or modelled data is not straightforward. In this study, a comprehensive assessment of the reliability of soil moisture estimations from the ASCAT and AMSR-E sensors is carried out by using observed and modelled soil moisture data over 17 sites located in 4 countries across Europe (Italy, Spain, France and Luxembourg). As regards satellite data, products generated by implementing three different algorithms with AMSR-E data are considered: (i) the Land Parameter Retrieval Model, LPRM, (ii) the standard NASA (National Aeronautics and Space Administration) algorithm, and (iii) the Polarization Ratio Index, PRI. For ASCAT the Vienna University of Technology, TUWIEN, change detection algorithm is employed. An exponential filter is applied to approach root-zone soil moisture. Moreover, two different scaling strategies, based respectively on linear regression correction and Cumulative Density Function (CDF) matching, are employed to remove systematic differences between satellite and site-specific soil moisture data. Results are shown in terms of both relative soil moisture values (i.e., between 0 and 1) and anomalies from the climatological expectation. Among the three soil moisture products derived from AMSR-E sensor data, for most sites the highest correlation with observed and modelled data is found using the LPRM algorithm. Considering relative soil moisture values for an ~5cm soil layer, the TUWIEN ASCAT product outperforms AMSR-E over all sites in France and central Italy while similar results are obtained in all other regions. Specifically, the average correlation coefficient with observed (modelled) data equals to 0.71 (0.74) and 0.62 (0.72) for ASCAT and AMSR-E-LPRM, respectively. Correlation values increase up to 0.81 (0.81) and 0.69 (0.77) for the two satellite products when exponential filtering and CDF matching approaches are applied. On the other hand, considering the anomalies, correlation values decrease but, more significantly, in this case ASCAT outperforms all the other products for all sites except the Spanish ones. Overall, the reliability of all the satellite soil moisture products was found to decrease with increasing vegetation density and to be in good accordance with previous studies. The results provide an overview of the ASCAT and AMSR-E reliability and robustness over different regions in Europe, thereby highlighting advantages and shortcomings for the effective use of these data sets for operational applications such as flood forecasting and numerical weather prediction.","container-title":"Remote Sensing of Environment","DOI":"10.1016/j.rse.2011.08.003","ISSN":"0034-4257","issue":"12","journalAbbreviation":"Remote Sensing of Environment","language":"en","page":"3390-3408","source":"ScienceDirect","title":"Soil moisture estimation through ASCAT and AMSR-E sensors: An intercomparison and validation study across Europe","title-short":"Soil moisture estimation through ASCAT and AMSR-E sensors","volume":"115","author":[{"family":"Brocca","given":"L."},{"family":"Hasenauer","given":"S."},{"family":"Lacava","given":"T."},{"family":"Melone","given":"F."},{"family":"Moramarco","given":"T."},{"family":"Wagner","given":"W."},{"family":"Dorigo","given":"W."},{"family":"Matgen","given":"P."},{"family":"Martínez-Fernández","given":"J."},{"family":"Llorens","given":"P."},{"family":"Latron","given":"J."},{"family":"Martin","given":"C."},{"family":"Bittelli","given":"M."}],"issued":{"date-parts":[["2011",12,15]]}}},{"id":98,"uris":["http://zotero.org/users/7782726/items/SBVYR22A"],"uri":["http://zotero.org/users/7782726/items/SBVYR22A"],"itemData":{"id":98,"type":"article-journal","abstract":"In this study we evaluate the skill of a new, merged soil moisture product (ECV_SM) that has been developed in the framework of the European Space Agency's Water Cycle Multi-mission Observation Strategy and Climate Change Initiative projects. The product combines in a synergistic way the soil moisture retrievals from four passive (SMMR, SSM/I, TMI, and AMSR-E) and two active (ERS AMI and ASCAT) coarse resolution microwave sensors into a global data set spanning the period 1979–2010. The evaluation uses ground-based soil moisture observations of 596 sites from 28 historical and active monitoring networks worldwide. Besides providing conventional measures of agreement, we use the triple collocation technique to assess random errors in the data set. The average Spearman correlation coefficient between ECV_SM and all in-situ observations is 0.46 for the absolute values and 0.36 for the soil moisture anomalies, but differences between networks and time periods are very large. Unbiased root-mean-square differences and triple collocation errors show less variation between networks, with average values around 0.05 and 0.04m3m−3, respectively. The ECV_SM quality shows an upward trend over time, but a consistent decrease of all performance metrics is observed for the period 2007–2010. Comparing the skill of the merged product with the skill of the individual input products shows that the merged product has a similar or better performance than the individual input products, except with regard to the ASCAT product, compared to which the performance of ECV_SM is inferior. The cause of the latter is most likely a combination of the mismatch in sampling time between the satellite observations and in-situ measurements, and the resampling and scaling strategy used to integrate the ASCAT product into ECV_SM on the other. The results of this study will be used to further improve the scaling and merging algorithms for future product updates.","container-title":"Remote Sensing of Environment","DOI":"10.1016/j.rse.2014.07.023","ISSN":"0034-4257","journalAbbreviation":"Remote Sensing of Environment","language":"en","page":"380-395","source":"ScienceDirect","title":"Evaluation of the ESA CCI soil moisture product using ground-based observations","volume":"162","author":[{"family":"Dorigo","given":"W. A."},{"family":"Gruber","given":"A."},{"family":"De Jeu","given":"R. A. M."},{"family":"Wagner","given":"W."},{"family":"Stacke","given":"T."},{"family":"Loew","given":"A."},{"family":"Albergel","given":"C."},{"family":"Brocca","given":"L."},{"family":"Chung","given":"D."},{"family":"Parinussa","given":"R. M."},{"family":"Kidd","given":"R."}],"issued":{"date-parts":[["2015",6,1]]}}},{"id":100,"uris":["http://zotero.org/users/7782726/items/SLPXEATT"],"uri":["http://zotero.org/users/7782726/items/SLPXEATT"],"itemData":{"id":100,"type":"article-journal","abstract":"Estimation of soil moisture at large scale has been performed using several satellite-based passive microwave sensors and a variety of retrieval methods over the past two decades. The most recent source of soil moisture is the European Space Agency Soil Moisture and Ocean Salinity (SMOS) mission. A thorough validation must be conducted to insure product quality that will, in turn, support the widespread utilization of the data. This is especially important since SMOS utilizes a new sensor technology and is the first passive L-band system in routine operation. In this paper, we contribute to the validation of SMOS using a set of four in situ soil moisture networks located in the U.S. These ground-based observations are combined with retrievals based on another satellite sensor, the Advanced Microwave Scanning Radiometer (AMSR-E). The watershed sites are highly reliable and address scaling with replicate sampling. Results of the validation analysis indicate that the SMOS soil moisture estimates are approaching the level of performance anticipated, based on comparisons with the in situ data and AMSR-E retrievals. The overall root-mean-square error of the SMOS soil moisture estimates is 0.043 m3/m3 for the watershed networks (ascending). There are bias issues at some sites that need to be addressed, as well as some outlier responses. Additional statistical metrics were also considered. Analyses indicated that active or recent rainfall can contribute to interpretation problems when assessing algorithm performance, which is related to the contributing depth of the satellite sensor. Using a precipitation flag can improve the performance. An investigation of the vegetation optical depth (tau) retrievals provided by the SMOS algorithm indicated that, for the watershed sites, these are not a reliable source of information about the vegetation canopy. The SMOS algorithms will continue to be refined as feedback from validation is evaluated, and it is expected that the SMOS estimates will improve.","container-title":"IEEE Transactions on Geoscience and Remote Sensing","DOI":"10.1109/TGRS.2011.2168533","ISSN":"1558-0644","issue":"5","note":"event: IEEE Transactions on Geoscience and Remote Sensing","page":"1530-1543","source":"IEEE Xplore","title":"Validation of Soil Moisture and Ocean Salinity (SMOS) Soil Moisture Over Watershed Networks in the U.S.","volume":"50","author":[{"family":"Jackson","given":"Thomas J."},{"family":"Bindlish","given":"Rajat"},{"family":"Cosh","given":"Michael H."},{"family":"Zhao","given":"Tianjie"},{"family":"Starks","given":"Patrick J."},{"family":"Bosch","given":"David D."},{"family":"Seyfried","given":"Mark"},{"family":"Moran","given":"Mary Susan"},{"family":"Goodrich","given":"David C."},{"family":"Kerr","given":"Yann H."},{"family":"Leroux","given":"Delphine"}],"issued":{"date-parts":[["2012",5]]}}}],"schema":"https://github.com/citation-style-language/schema/raw/master/csl-citation.json"} </w:instrText>
      </w:r>
      <w:r>
        <w:fldChar w:fldCharType="separate"/>
      </w:r>
      <w:r w:rsidR="00A8211B" w:rsidRPr="00A8211B">
        <w:t>(Brocca et al., 2011; Dorigo et al., 2015; Jackson et al., 2012; Wagner et al., 2013)</w:t>
      </w:r>
      <w:r>
        <w:fldChar w:fldCharType="end"/>
      </w:r>
      <w:r w:rsidRPr="008B4774">
        <w:t>. However, due to the limited penetration depth of microwave signals, sensors can only measure the surface soil moisture (</w:t>
      </w:r>
      <w:r w:rsidR="008F3FE5">
        <w:t xml:space="preserve">e.g., </w:t>
      </w:r>
      <w:r w:rsidRPr="008B4774">
        <w:t>top 5 cm of the soil column) under low to moderate vegetation cover condition</w:t>
      </w:r>
      <w:r w:rsidR="004D409B">
        <w:t>s</w:t>
      </w:r>
      <w:r w:rsidRPr="008B4774">
        <w:t xml:space="preserve"> </w:t>
      </w:r>
      <w:r>
        <w:fldChar w:fldCharType="begin"/>
      </w:r>
      <w:r w:rsidR="00A8211B">
        <w:instrText xml:space="preserve"> ADDIN ZOTERO_ITEM CSL_CITATION {"citationID":"Gqh7sPZy","properties":{"formattedCitation":"(Crow et al., 2012; Entekhabi et al., 2014)","plainCitation":"(Crow et al., 2012; Entekhabi et al., 2014)","noteIndex":0},"citationItems":[{"id":56,"uris":["http://zotero.org/users/7782726/items/IRNEVBSW"],"uri":["http://zotero.org/users/7782726/items/IRNEVBSW"],"itemData":{"id":56,"type":"article-journal","abstract":"The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P."}],"accessed":{"date-parts":[["2021",5,25]]},"issued":{"date-parts":[["2012"]]}}},{"id":155,"uris":["http://zotero.org/users/7782726/items/JUDVIJHB"],"uri":["http://zotero.org/users/7782726/items/JUDVIJHB"],"itemData":{"id":155,"type":"article-journal","note":"publisher: JPL publication 400-1567; https://www. google. com/url? sa= t&amp;rct= j&amp;q …","title":"SMAP handbook","author":[{"family":"Entekhabi","given":"Dara"},{"family":"Yueh","given":"Simon"},{"family":"De Lannoy","given":"Gabrielle"}],"issued":{"date-parts":[["2014"]]}}}],"schema":"https://github.com/citation-style-language/schema/raw/master/csl-citation.json"} </w:instrText>
      </w:r>
      <w:r>
        <w:fldChar w:fldCharType="separate"/>
      </w:r>
      <w:r w:rsidR="00A8211B" w:rsidRPr="00A8211B">
        <w:t>(Crow et al., 2012; Entekhabi et al., 2014)</w:t>
      </w:r>
      <w:r>
        <w:fldChar w:fldCharType="end"/>
      </w:r>
      <w:r w:rsidRPr="008B4774">
        <w:t xml:space="preserve">. Moreover, they cannot detect soil moisture under snow or ice, or in frozen soils </w:t>
      </w:r>
      <w:r>
        <w:fldChar w:fldCharType="begin"/>
      </w:r>
      <w:r w:rsidR="00A8211B">
        <w:instrText xml:space="preserve"> ADDIN ZOTERO_ITEM CSL_CITATION {"citationID":"BWCB6OFt","properties":{"formattedCitation":"(Entekhabi et al., 2014)","plainCitation":"(Entekhabi et al., 2014)","noteIndex":0},"citationItems":[{"id":155,"uris":["http://zotero.org/users/7782726/items/JUDVIJHB"],"uri":["http://zotero.org/users/7782726/items/JUDVIJHB"],"itemData":{"id":155,"type":"article-journal","note":"publisher: JPL publication 400-1567; https://www. google. com/url? sa= t&amp;rct= j&amp;q …","title":"SMAP handbook","author":[{"family":"Entekhabi","given":"Dara"},{"family":"Yueh","given":"Simon"},{"family":"De Lannoy","given":"Gabrielle"}],"issued":{"date-parts":[["2014"]]}}}],"schema":"https://github.com/citation-style-language/schema/raw/master/csl-citation.json"} </w:instrText>
      </w:r>
      <w:r>
        <w:fldChar w:fldCharType="separate"/>
      </w:r>
      <w:r w:rsidR="00A8211B" w:rsidRPr="00A8211B">
        <w:t>(Entekhabi et al., 2014)</w:t>
      </w:r>
      <w:r>
        <w:fldChar w:fldCharType="end"/>
      </w:r>
      <w:r w:rsidRPr="008B4774">
        <w:t xml:space="preserve">. In summary, each source of soil moisture estimates is not perfect and has characteristic uncertainties. Therefore, it is desirable </w:t>
      </w:r>
      <w:bookmarkStart w:id="160" w:name="_Hlk74300610"/>
      <w:r w:rsidRPr="008B4774">
        <w:t>to merge independent product</w:t>
      </w:r>
      <w:r>
        <w:t>s</w:t>
      </w:r>
      <w:r w:rsidRPr="008B4774">
        <w:t xml:space="preserve"> to obtain a more accurate estimate. </w:t>
      </w:r>
      <w:bookmarkEnd w:id="160"/>
    </w:p>
    <w:p w14:paraId="0F29B29C" w14:textId="0BB5D61C" w:rsidR="0081736A" w:rsidRPr="008B4774" w:rsidRDefault="0081736A" w:rsidP="0081736A">
      <w:r w:rsidRPr="008B4774">
        <w:t>Data assimilation using Kalman filter-based methodologies is one of the most commonly used approaches for merging different products while taking into account their relative uncertainties</w:t>
      </w:r>
      <w:r>
        <w:t xml:space="preserve"> </w:t>
      </w:r>
      <w:r>
        <w:fldChar w:fldCharType="begin"/>
      </w:r>
      <w:r w:rsidR="00A8211B">
        <w:instrText xml:space="preserve"> ADDIN ZOTERO_ITEM CSL_CITATION {"citationID":"Y6den7nU","properties":{"formattedCitation":"(Yilmaz et al., 2012)","plainCitation":"(Yilmaz et al., 2012)","noteIndex":0},"citationItems":[{"id":183,"uris":["http://zotero.org/users/7782726/items/EUUL8YJ2"],"uri":["http://zotero.org/users/7782726/items/EUUL8YJ2"],"itemData":{"id":183,"type":"article-journal","container-title":"Water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A8211B">
        <w:rPr>
          <w:rFonts w:hint="eastAsia"/>
        </w:rPr>
        <w:instrText>‐</w:instrText>
      </w:r>
      <w:r w:rsidR="00A8211B">
        <w:instrText>and model</w:instrText>
      </w:r>
      <w:r w:rsidR="00A8211B">
        <w:rPr>
          <w:rFonts w:hint="eastAsia"/>
        </w:rPr>
        <w:instrText>‐</w:instrText>
      </w:r>
      <w:r w:rsidR="00A8211B">
        <w:instrText xml:space="preserve">based soil moisture products","volume":"48","author":[{"family":"Yilmaz","given":"MUSTAFA TUĞRUL"},{"family":"Crow","given":"W. T."},{"family":"Anderson","given":"Martha C."},{"family":"Hain","given":"Chris"}],"issued":{"date-parts":[["2012"]]}}}],"schema":"https://github.com/citation-style-language/schema/raw/master/csl-citation.json"} </w:instrText>
      </w:r>
      <w:r>
        <w:fldChar w:fldCharType="separate"/>
      </w:r>
      <w:r w:rsidR="00A8211B" w:rsidRPr="00A8211B">
        <w:t>(Yilmaz et al., 2012)</w:t>
      </w:r>
      <w:r>
        <w:fldChar w:fldCharType="end"/>
      </w:r>
      <w:r w:rsidRPr="008B4774">
        <w:t>. For example, the SMAP L</w:t>
      </w:r>
      <w:r>
        <w:t>evel-</w:t>
      </w:r>
      <w:r w:rsidRPr="008B4774">
        <w:t xml:space="preserve">4 </w:t>
      </w:r>
      <w:r>
        <w:t xml:space="preserve">soil moisture </w:t>
      </w:r>
      <w:r w:rsidRPr="008B4774">
        <w:t xml:space="preserve">product is </w:t>
      </w:r>
      <w:r>
        <w:t>generated by</w:t>
      </w:r>
      <w:r w:rsidRPr="008B4774">
        <w:t xml:space="preserve"> a data assimilation system that combin</w:t>
      </w:r>
      <w:r>
        <w:t>es</w:t>
      </w:r>
      <w:r w:rsidRPr="008B4774">
        <w:t xml:space="preserve"> L-band brightness temperature </w:t>
      </w:r>
      <w:r>
        <w:t xml:space="preserve">measurements, precipitation observations, and </w:t>
      </w:r>
      <w:r w:rsidRPr="008B4774">
        <w:t xml:space="preserve">the NASA Catchment land surface model </w:t>
      </w:r>
      <w:r>
        <w:fldChar w:fldCharType="begin"/>
      </w:r>
      <w:r w:rsidR="0064031E">
        <w:instrText xml:space="preserve"> ADDIN ZOTERO_ITEM CSL_CITATION {"citationID":"DeVtqctu","properties":{"formattedCitation":"(R. H. Reichle et al., 2017)","plainCitation":"(R. H. Reichle et al., 2017)","noteIndex":0},"citationItems":[{"id":184,"uris":["http://zotero.org/users/7782726/items/QJ7KNAPV"],"uri":["http://zotero.org/users/7782726/items/QJ7KNAPV"],"itemData":{"id":184,"type":"article-journal","abstract":"&lt;section class=\"abstract\"&gt;&lt;h2 class=\"abstractTitle text-title my-1\" id=\"d149744354e604\"&gt;Abstract&lt;/h2&gt;&lt;p&gt;The Soil Moisture Active Passive (SMAP) mission Level-4 Surface and Root-Zone Soil Moisture (L4_SM) data product is generated by assimilating SMAP L-band brightness temperature observations into the NASA Catchment land surface model. The L4_SM product is available from 31 March 2015 to present (within 3 days from real time) and provides 3-hourly, global, 9-km resolution estimates of surface (0–5 cm) and root-zone (0–100 cm) soil moisture and land surface conditions. This study presents an overview of the L4_SM algorithm, validation approach, and product assessment versus in situ measurements. Core validation sites provide spatially averaged surface (root zone) soil moisture measurements for 43 (17) “reference pixels” at 9- and 36-km gridcell scales located in 17 (7) distinct watersheds. Sparse networks provide point-scale measurements of surface (root zone) soil moisture at 406 (311) locations. Core validation site results indicate that the L4_SM product meets its soil moisture accuracy requirement, specified as an unbiased RMSE (ubRMSE, or standard deviation of the error) of 0.04 m&lt;sup&gt;3&lt;/sup&gt; m&lt;sup&gt;−3&lt;/sup&gt; or better. The ubRMSE for L4_SM surface (root zone) soil moisture is 0.038 m&lt;sup&gt;3&lt;/sup&gt; m&lt;sup&gt;−3&lt;/sup&gt; (0.030 m&lt;sup&gt;3&lt;/sup&gt; m&lt;sup&gt;−3&lt;/sup&gt;) at the 9-km scale and 0.035 m&lt;sup&gt;3&lt;/sup&gt; m&lt;sup&gt;−3&lt;/sup&gt; (0.026 m&lt;sup&gt;3&lt;/sup&gt; m&lt;sup&gt;−3&lt;/sup&gt;) at the 36-km scale. The L4_SM estimates improve (significantly at the 5% level for surface soil moisture) over model-only estimates, which do not benefit from the assimilation of SMAP brightness temperature observations and have a 9-km surface (root zone) ubRMSE of 0.042 m&lt;sup&gt;3&lt;/sup&gt; m&lt;sup&gt;−3&lt;/sup&gt; (0.032 m&lt;sup&gt;3&lt;/sup&gt; m&lt;sup&gt;−3&lt;/sup&gt;). Time series correlations exhibit similar relative performance. The sparse network results corroborate these findings over a greater variety of climate and land cover conditions.&lt;/p&gt;&lt;/section&gt;","container-title":"Journal of Hydrometeorology","DOI":"10.1175/JHM-D-17-0063.1","ISSN":"1525-7541, 1525-755X","issue":"10","language":"EN","note":"publisher: American Meteorological Society\nsection: Journal of Hydrometeorology","page":"2621-2645","source":"journals.ametsoc.org","title":"Assessment of the SMAP Level-4 Surface and Root-Zone Soil Moisture Product Using In Situ Measurements","volume":"18","author":[{"family":"Reichle","given":"Rolf H."},{"family":"Lannoy","given":"Gabrielle J. M. De"},{"family":"Liu","given":"Qing"},{"family":"Ardizzone","given":"Joseph V."},{"family":"Colliander","given":"Andreas"},{"family":"Conaty","given":"Austin"},{"family":"Crow","given":"Wade"},{"family":"Jackson","given":"Thomas J."},{"family":"Jones","given":"Lucas A."},{"family":"Kimball","given":"John S."},{"family":"Koster","given":"Randal D."},{"family":"Mahanama","given":"Sarith P."},{"family":"Smith","given":"Edmond B."},{"family":"Berg","given":"Aaron"},{"family":"Bircher","given":"Simone"},{"family":"Bosch","given":"David"},{"family":"Caldwell","given":"Todd G."},{"family":"Cosh","given":"Michael"},{"family":"González-Zamora","given":"Ángel"},{"family":"Collins","given":"Chandra D. Holifield"},{"family":"Jensen","given":"Karsten H."},{"family":"Livingston","given":"Stan"},{"family":"Lopez-Baeza","given":"Ernesto"},{"family":"Martínez-Fernández","given":"José"},{"family":"McNairn","given":"Heather"},{"family":"Moghaddam","given":"Mahta"},{"family":"Pacheco","given":"Anna"},{"family":"Pellarin","given":"Thierry"},{"family":"Prueger","given":"John"},{"family":"Rowlandson","given":"Tracy"},{"family":"Seyfried","given":"Mark"},{"family":"Starks","given":"Patrick"},{"family":"Su","given":"Zhongbo"},{"family":"Thibeault","given":"Marc"},{"family":"Velde","given":"Rogier","dropping-particle":"van der"},{"family":"Walker","given":"Jeffrey"},{"family":"Wu","given":"Xiaoling"},{"family":"Zeng","given":"Yijian"}],"issued":{"date-parts":[["2017",10,1]]}}}],"schema":"https://github.com/citation-style-language/schema/raw/master/csl-citation.json"} </w:instrText>
      </w:r>
      <w:r>
        <w:fldChar w:fldCharType="separate"/>
      </w:r>
      <w:r w:rsidR="0064031E" w:rsidRPr="0064031E">
        <w:t>(R. H. Reichle et al., 2017)</w:t>
      </w:r>
      <w:r>
        <w:fldChar w:fldCharType="end"/>
      </w:r>
      <w:r w:rsidRPr="008B4774">
        <w:t xml:space="preserve">. </w:t>
      </w:r>
      <w:r>
        <w:t xml:space="preserve">However, the </w:t>
      </w:r>
      <w:r w:rsidRPr="008B4774">
        <w:t xml:space="preserve">integration of independent data sources </w:t>
      </w:r>
      <w:r>
        <w:t xml:space="preserve">using </w:t>
      </w:r>
      <w:r w:rsidRPr="008B4774">
        <w:t xml:space="preserve">Kalman filter-based methodologies </w:t>
      </w:r>
      <w:r>
        <w:t>i</w:t>
      </w:r>
      <w:r w:rsidRPr="008B4774">
        <w:t>n land data assimilation studies</w:t>
      </w:r>
      <w:r>
        <w:t xml:space="preserve"> may not be optimal because</w:t>
      </w:r>
      <w:r w:rsidR="002C12D2">
        <w:t xml:space="preserve"> </w:t>
      </w:r>
      <w:r>
        <w:t xml:space="preserve">these methodologies </w:t>
      </w:r>
      <w:r w:rsidRPr="008B4774">
        <w:t xml:space="preserve">often rely on </w:t>
      </w:r>
      <w:r w:rsidRPr="00D80F3F">
        <w:t>prior knowledge of product uncertainties</w:t>
      </w:r>
      <w:r>
        <w:t xml:space="preserve"> which is arguably subjective </w:t>
      </w:r>
      <w:r>
        <w:fldChar w:fldCharType="begin"/>
      </w:r>
      <w:r w:rsidR="0064031E">
        <w:instrText xml:space="preserve"> ADDIN ZOTERO_ITEM CSL_CITATION {"citationID":"RlkIAQiY","properties":{"formattedCitation":"(Crow &amp; Loon, 2006; R. H. Reichle et al., 2008)","plainCitation":"(Crow &amp; Loon, 2006; R. H. Reichle et al., 2008)","noteIndex":0},"citationItems":[{"id":187,"uris":["http://zotero.org/users/7782726/items/FB6RN6JC"],"uri":["http://zotero.org/users/7782726/items/FB6RN6JC"],"itemData":{"id":187,"type":"article-journal","abstract":"&lt;section class=\"abstract\"&gt;&lt;h2 class=\"abstractTitle text-title my-1\" id=\"d8528917e66\"&gt;Abstract&lt;/h2&gt;&lt;p&gt;Data assimilation approaches require some type of state forecast error covariance information in order to optimally merge model predictions with observations. The ensemble Kalman filter (EnKF) dynamically derives such information through a Monte Carlo approach and the introduction of random noise in model states, fluxes, and/or forcing data. However, in land data assimilation, relatively little guidance exists concerning strategies for selecting the appropriate magnitude and/or type of introduced model noise. In addition, little is known about the sensitivity of filter prediction accuracy to (potentially) inappropriate assumptions concerning the source and magnitude of modeling error. Using a series of synthetic identical twin experiments, this analysis explores the consequences of making incorrect assumptions concerning the source and magnitude of model error on the efficiency of assimilating surface soil moisture observations to constrain deeper root-zone soil moisture predictions made by a land surface model. Results suggest that inappropriate model error assumptions can lead to circumstances in which the assimilation of surface soil moisture observations actually degrades the performance of a land surface model (relative to open-loop assimilations that lack a data assimilation component). Prospects for diagnosing such circumstances and adaptively correcting the culpable model error assumptions using filter innovations are discussed. The dual assimilation of both runoff (from streamflow) and surface soil moisture observations appears to offer a more robust assimilation framework where incorrect model error assumptions are more readily diagnosed via filter innovations.&lt;/p&gt;&lt;/section&gt;","container-title":"Journal of Hydrometeorology","DOI":"10.1175/JHM499.1","ISSN":"1525-7541, 1525-755X","issue":"3","language":"EN","note":"publisher: American Meteorological Society\nsection: Journal of Hydrometeorology","page":"421-432","source":"journals.ametsoc.org","title":"Impact of Incorrect Model Error Assumptions on the Sequential Assimilation of Remotely Sensed Surface Soil Moisture","volume":"7","author":[{"family":"Crow","given":"Wade T."},{"family":"Loon","given":"Emiel Van"}],"issued":{"date-parts":[["2006",6,1]]}}},{"id":190,"uris":["http://zotero.org/users/7782726/items/VC26LJAG"],"uri":["http://zotero.org/users/7782726/items/VC26LJAG"],"itemData":{"id":190,"type":"article-journal","abstract":"In a 19-year twin experiment for the Red-Arkansas river basin we assimilate synthetic surface soil moisture retrievals into the NASA Catchment land surface model. We demonstrate how poorly specified model and observation error parameters affect the quality of the assimilation products. In particular, soil moisture estimates from data assimilation are sensitive to observation and model error variances and, for very poor input error parameters, may even be worse than model estimates without data assimilation. Estimates of surface heat fluxes and runoff are at best marginally improved through the assimilation of surface soil moisture and tend to have large errors when the assimilation system operates with poor input error parameters. We present a computationally affordable, adaptive assimilation system that continually adjusts model and observation error parameters in response to internal diagnostics. The adaptive filter can identify model and observation error variances and provide generally improved assimilation estimates when compared to the non-adaptive system.","container-title":"Water Resources Research","DOI":"10.1029/2007WR006357","ISSN":"1944-7973","issue":"3","language":"en","note":"_eprint: https://agupubs.onlinelibrary.wiley.com/doi/pdf/10.1029/2007WR006357","source":"Wiley Online Library","title":"An adaptive ensemble Kalman filter for soil moisture data assimilation","URL":"https://agupubs.onlinelibrary.wiley.com/doi/abs/10.1029/2007WR006357","volume":"44","author":[{"family":"Reichle","given":"Rolf H."},{"family":"Crow","given":"Wade T."},{"family":"Keppenne","given":"Christian L."}],"accessed":{"date-parts":[["2021",6,7]]},"issued":{"date-parts":[["2008"]]}}}],"schema":"https://github.com/citation-style-language/schema/raw/master/csl-citation.json"} </w:instrText>
      </w:r>
      <w:r>
        <w:fldChar w:fldCharType="separate"/>
      </w:r>
      <w:r w:rsidR="0064031E" w:rsidRPr="0064031E">
        <w:t>(Crow &amp; Loon, 2006; R. H. Reichle et al., 2008)</w:t>
      </w:r>
      <w:r>
        <w:fldChar w:fldCharType="end"/>
      </w:r>
      <w:r w:rsidRPr="008B4774">
        <w:t xml:space="preserve">. </w:t>
      </w:r>
      <w:r>
        <w:t xml:space="preserve">Therefore, </w:t>
      </w:r>
      <w:r w:rsidRPr="008B4774">
        <w:t>Yilmaz et al.</w:t>
      </w:r>
      <w:r>
        <w:t xml:space="preserve"> </w:t>
      </w:r>
      <w:r>
        <w:fldChar w:fldCharType="begin"/>
      </w:r>
      <w:r w:rsidR="00A8211B">
        <w:instrText xml:space="preserve"> ADDIN ZOTERO_ITEM CSL_CITATION {"citationID":"rqeKuEqe","properties":{"formattedCitation":"(Yilmaz et al., 2012)","plainCitation":"(Yilmaz et al., 2012)","noteIndex":0},"citationItems":[{"id":183,"uris":["http://zotero.org/users/7782726/items/EUUL8YJ2"],"uri":["http://zotero.org/users/7782726/items/EUUL8YJ2"],"itemData":{"id":183,"type":"article-journal","container-title":"Water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A8211B">
        <w:rPr>
          <w:rFonts w:hint="eastAsia"/>
        </w:rPr>
        <w:instrText>‐</w:instrText>
      </w:r>
      <w:r w:rsidR="00A8211B">
        <w:instrText>and model</w:instrText>
      </w:r>
      <w:r w:rsidR="00A8211B">
        <w:rPr>
          <w:rFonts w:hint="eastAsia"/>
        </w:rPr>
        <w:instrText>‐</w:instrText>
      </w:r>
      <w:r w:rsidR="00A8211B">
        <w:instrText xml:space="preserve">based soil moisture products","volume":"48","author":[{"family":"Yilmaz","given":"MUSTAFA TUĞRUL"},{"family":"Crow","given":"W. T."},{"family":"Anderson","given":"Martha C."},{"family":"Hain","given":"Chris"}],"issued":{"date-parts":[["2012"]]}}}],"schema":"https://github.com/citation-style-language/schema/raw/master/csl-citation.json"} </w:instrText>
      </w:r>
      <w:r>
        <w:fldChar w:fldCharType="separate"/>
      </w:r>
      <w:r w:rsidR="00A8211B" w:rsidRPr="00A8211B">
        <w:t>(Yilmaz et al., 2012)</w:t>
      </w:r>
      <w:r>
        <w:fldChar w:fldCharType="end"/>
      </w:r>
      <w:r>
        <w:t xml:space="preserve"> </w:t>
      </w:r>
      <w:r w:rsidRPr="008B4774">
        <w:t xml:space="preserve">introduced an objective </w:t>
      </w:r>
      <w:r w:rsidRPr="008B4774">
        <w:lastRenderedPageBreak/>
        <w:t xml:space="preserve">methodology </w:t>
      </w:r>
      <w:r>
        <w:t>which</w:t>
      </w:r>
      <w:r w:rsidRPr="00406C78">
        <w:t xml:space="preserve"> is less dependent on uncertain, user-defined error assumptions</w:t>
      </w:r>
      <w:r>
        <w:t xml:space="preserve"> </w:t>
      </w:r>
      <w:r w:rsidRPr="008B4774">
        <w:t xml:space="preserve">for blending satellite- and model-based SM products in the least squares framework where uncertainty estimates for each product are obtained using the triple collocation method. This </w:t>
      </w:r>
      <w:r w:rsidR="002C12D2">
        <w:t xml:space="preserve">chapter </w:t>
      </w:r>
      <w:r w:rsidRPr="008B4774">
        <w:t>adopt</w:t>
      </w:r>
      <w:r w:rsidR="002C12D2">
        <w:t>s</w:t>
      </w:r>
      <w:r w:rsidRPr="008B4774">
        <w:t xml:space="preserve"> the same methodology to blend the in-situ, remote sensing, and modeled soil moisture datasets.</w:t>
      </w:r>
    </w:p>
    <w:p w14:paraId="4DB5C1BE" w14:textId="2904935D" w:rsidR="0081736A" w:rsidRDefault="0081736A" w:rsidP="0081736A">
      <w:r w:rsidRPr="008B4774">
        <w:t>Therefore, the overarching goal</w:t>
      </w:r>
      <w:r>
        <w:t>s</w:t>
      </w:r>
      <w:r w:rsidRPr="008B4774">
        <w:t xml:space="preserve"> of this </w:t>
      </w:r>
      <w:r w:rsidR="002C12D2">
        <w:t>chapter</w:t>
      </w:r>
      <w:r w:rsidRPr="008B4774">
        <w:t xml:space="preserve"> </w:t>
      </w:r>
      <w:r>
        <w:t>are</w:t>
      </w:r>
      <w:r w:rsidRPr="008B4774">
        <w:t xml:space="preserve"> to </w:t>
      </w:r>
      <w:r>
        <w:t xml:space="preserve">(1) adopt an objective methodology introduced by </w:t>
      </w:r>
      <w:r w:rsidRPr="008B4774">
        <w:t>Yilmaz et al.</w:t>
      </w:r>
      <w:r>
        <w:t xml:space="preserve"> </w:t>
      </w:r>
      <w:r>
        <w:fldChar w:fldCharType="begin"/>
      </w:r>
      <w:r w:rsidR="00A8211B">
        <w:instrText xml:space="preserve"> ADDIN ZOTERO_ITEM CSL_CITATION {"citationID":"Pm5SEToF","properties":{"formattedCitation":"(Yilmaz et al., 2012)","plainCitation":"(Yilmaz et al., 2012)","noteIndex":0},"citationItems":[{"id":183,"uris":["http://zotero.org/users/7782726/items/EUUL8YJ2"],"uri":["http://zotero.org/users/7782726/items/EUUL8YJ2"],"itemData":{"id":183,"type":"article-journal","container-title":"Water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A8211B">
        <w:rPr>
          <w:rFonts w:hint="eastAsia"/>
        </w:rPr>
        <w:instrText>‐</w:instrText>
      </w:r>
      <w:r w:rsidR="00A8211B">
        <w:instrText>and model</w:instrText>
      </w:r>
      <w:r w:rsidR="00A8211B">
        <w:rPr>
          <w:rFonts w:hint="eastAsia"/>
        </w:rPr>
        <w:instrText>‐</w:instrText>
      </w:r>
      <w:r w:rsidR="00A8211B">
        <w:instrText xml:space="preserve">based soil moisture products","volume":"48","author":[{"family":"Yilmaz","given":"MUSTAFA TUĞRUL"},{"family":"Crow","given":"W. T."},{"family":"Anderson","given":"Martha C."},{"family":"Hain","given":"Chris"}],"issued":{"date-parts":[["2012"]]}}}],"schema":"https://github.com/citation-style-language/schema/raw/master/csl-citation.json"} </w:instrText>
      </w:r>
      <w:r>
        <w:fldChar w:fldCharType="separate"/>
      </w:r>
      <w:r w:rsidR="00A8211B" w:rsidRPr="00A8211B">
        <w:t>(Yilmaz et al., 2012)</w:t>
      </w:r>
      <w:r>
        <w:fldChar w:fldCharType="end"/>
      </w:r>
      <w:r w:rsidRPr="008B4774">
        <w:t xml:space="preserve"> </w:t>
      </w:r>
      <w:r>
        <w:t xml:space="preserve">in blending multisource soil moisture products in Oklahoma as a case study and </w:t>
      </w:r>
      <w:r w:rsidRPr="008B4774">
        <w:t>(</w:t>
      </w:r>
      <w:r>
        <w:t>2</w:t>
      </w:r>
      <w:r w:rsidRPr="008B4774">
        <w:t>) evaluate the effect of incorporating in situ observations into soil moisture blending</w:t>
      </w:r>
      <w:r>
        <w:t>.</w:t>
      </w:r>
      <w:r w:rsidRPr="008B4774">
        <w:t xml:space="preserve"> </w:t>
      </w:r>
      <w:bookmarkStart w:id="161" w:name="_Hlk74002561"/>
      <w:r w:rsidRPr="008B4774">
        <w:t xml:space="preserve">Specifically, this </w:t>
      </w:r>
      <w:r w:rsidR="002C12D2">
        <w:t>chapter</w:t>
      </w:r>
      <w:r w:rsidRPr="008B4774">
        <w:t xml:space="preserve"> adopt</w:t>
      </w:r>
      <w:r w:rsidR="002C12D2">
        <w:t>s</w:t>
      </w:r>
      <w:r w:rsidRPr="008B4774">
        <w:t xml:space="preserve"> the </w:t>
      </w:r>
      <w:r>
        <w:t>Triple Collocation (</w:t>
      </w:r>
      <w:r w:rsidRPr="008B4774">
        <w:t>TC</w:t>
      </w:r>
      <w:r>
        <w:t>)</w:t>
      </w:r>
      <w:r w:rsidRPr="008B4774">
        <w:t xml:space="preserve"> based least square weighting method to merge the Satellite SMAP_L3, Land Surface </w:t>
      </w:r>
      <w:r>
        <w:t xml:space="preserve">Noah </w:t>
      </w:r>
      <w:r w:rsidRPr="008B4774">
        <w:t>Model, and the interpolated Mesonet soil moisture products across Oklahoma and compare</w:t>
      </w:r>
      <w:r w:rsidR="002C12D2">
        <w:t>s</w:t>
      </w:r>
      <w:r w:rsidRPr="008B4774">
        <w:t xml:space="preserve"> the merged product</w:t>
      </w:r>
      <w:r>
        <w:t xml:space="preserve"> (</w:t>
      </w:r>
      <w:r w:rsidRPr="000E73A7">
        <w:t>OU-MSSM</w:t>
      </w:r>
      <w:r>
        <w:t>)</w:t>
      </w:r>
      <w:r w:rsidRPr="008B4774">
        <w:t xml:space="preserve"> with </w:t>
      </w:r>
      <w:r>
        <w:t xml:space="preserve">the </w:t>
      </w:r>
      <w:r w:rsidRPr="008B4774">
        <w:t>equal weights merging product</w:t>
      </w:r>
      <w:r>
        <w:t xml:space="preserve"> (</w:t>
      </w:r>
      <w:r w:rsidRPr="00837AB7">
        <w:t>AVE</w:t>
      </w:r>
      <w:r>
        <w:t>)</w:t>
      </w:r>
      <w:r w:rsidRPr="008B4774">
        <w:t xml:space="preserve"> and SMAP L4 soil moisture product</w:t>
      </w:r>
      <w:r>
        <w:t>s using t</w:t>
      </w:r>
      <w:r w:rsidRPr="008B2F4D">
        <w:t>he Automated Soil Moisture Mapping System</w:t>
      </w:r>
      <w:r>
        <w:t xml:space="preserve"> as the benchmark</w:t>
      </w:r>
      <w:r w:rsidRPr="008B4774">
        <w:t xml:space="preserve">. </w:t>
      </w:r>
      <w:bookmarkEnd w:id="161"/>
      <w:r w:rsidRPr="008B4774">
        <w:t xml:space="preserve">The rest of the </w:t>
      </w:r>
      <w:r w:rsidR="002C12D2">
        <w:t>chapter</w:t>
      </w:r>
      <w:r w:rsidRPr="008B4774">
        <w:t xml:space="preserve"> is organized as follows: Section </w:t>
      </w:r>
      <w:r w:rsidR="00206370">
        <w:t>4.</w:t>
      </w:r>
      <w:r w:rsidRPr="008B4774">
        <w:t xml:space="preserve">2 details the data and study area; Section </w:t>
      </w:r>
      <w:r w:rsidR="00206370">
        <w:t>4.</w:t>
      </w:r>
      <w:r w:rsidRPr="008B4774">
        <w:t>3 describes the method</w:t>
      </w:r>
      <w:r>
        <w:t>s</w:t>
      </w:r>
      <w:r w:rsidRPr="008B4774">
        <w:t xml:space="preserve"> and data processing; Section </w:t>
      </w:r>
      <w:r w:rsidR="00206370">
        <w:t>4.</w:t>
      </w:r>
      <w:r w:rsidRPr="008B4774">
        <w:t xml:space="preserve">4 presents the results and analysis; Section </w:t>
      </w:r>
      <w:r w:rsidR="00206370">
        <w:t>4.</w:t>
      </w:r>
      <w:r w:rsidRPr="008B4774">
        <w:t xml:space="preserve">5 provides discussion; and the Section </w:t>
      </w:r>
      <w:r w:rsidR="00206370">
        <w:t>4.</w:t>
      </w:r>
      <w:r w:rsidRPr="008B4774">
        <w:t>6 provides conclusions for this study.</w:t>
      </w:r>
    </w:p>
    <w:p w14:paraId="49E383A3" w14:textId="77777777" w:rsidR="002C12D2" w:rsidRDefault="002C12D2" w:rsidP="0081736A">
      <w:pPr>
        <w:rPr>
          <w:b/>
        </w:rPr>
      </w:pPr>
    </w:p>
    <w:p w14:paraId="2058F7AE" w14:textId="26469656" w:rsidR="0081736A" w:rsidRDefault="00792234" w:rsidP="00792234">
      <w:pPr>
        <w:pStyle w:val="2"/>
      </w:pPr>
      <w:bookmarkStart w:id="162" w:name="_Toc75939864"/>
      <w:r>
        <w:t>4.2 Data Sources</w:t>
      </w:r>
      <w:bookmarkEnd w:id="162"/>
    </w:p>
    <w:p w14:paraId="7D02354F" w14:textId="76AD07D0" w:rsidR="00792234" w:rsidRDefault="00457CA3" w:rsidP="00457CA3">
      <w:pPr>
        <w:pStyle w:val="3"/>
      </w:pPr>
      <w:bookmarkStart w:id="163" w:name="_Toc75939865"/>
      <w:r>
        <w:t xml:space="preserve">4.2.1 </w:t>
      </w:r>
      <w:r w:rsidRPr="00457CA3">
        <w:t>The Automated Soil Moisture Mapping System</w:t>
      </w:r>
      <w:bookmarkEnd w:id="163"/>
    </w:p>
    <w:p w14:paraId="214D2532" w14:textId="330E27F3" w:rsidR="00B70EC5" w:rsidRDefault="00B70EC5" w:rsidP="00B70EC5">
      <w:r w:rsidRPr="00DD0541">
        <w:t>The fully automated system developed by Ochsner et al.</w:t>
      </w:r>
      <w:r>
        <w:t xml:space="preserve"> </w:t>
      </w:r>
      <w:r>
        <w:fldChar w:fldCharType="begin"/>
      </w:r>
      <w:r w:rsidR="006B2ACE">
        <w:instrText xml:space="preserve"> ADDIN ZOTERO_ITEM CSL_CITATION {"citationID":"NwJGNuu1","properties":{"formattedCitation":"(Ochsner et al., 2019)","plainCitation":"(Ochsner et al., 2019)","dontUpdate":true,"noteIndex":0},"citationItems":[{"id":65,"uris":["http://zotero.org/users/7782726/items/PSYT4PCI"],"uri":["http://zotero.org/users/7782726/items/PSYT4PCI"],"itemData":{"id":65,"type":"article-journal","abstract":"Soil moisture spatial patterns with length scales of 1-100 km influence hydrological, ecological, and agricultural processes, but the footprint or support volume of existing monitoring systems, for example, satellite-based radiometers and sparse in situ monitoring networks, is often either too large or too small to effectively observe these mesoscale patterns. This measurement scale gap hinders our understanding of soil water processes and complicates calibration and validation of hydrologic models and soil moisture satellites. One possible solution is to utilize geostatistical techniques that have proven effective for mapping static patterns in soil properties. The objective of this study was to determine how effectively dynamic, mesoscale soil moisture patterns can be mapped by applying regression kriging to the data from a sparse, large-scale in situ network. The fully automated system developed here uses several data sets: daily soil moisture measurements from the Oklahoma Mesonet, sand content estimates from the Natural Resource Conservation Service Soil Survey Geographic Database, and an antecedent precipitation index computed from National Weather Service multisensor precipitation estimates. A multiple linear regression model is fitted daily to the observed data, and the residuals of that model are used in a semivariogram estimation and kriging routine to produce daily statewide maps of soil moisture at 5-, 25-, and 60-cm depths at 800-m resolution. During over 3 years of operation, this mapping system has revealed complex, dynamic, and depth-specific mesoscale patterns, reflecting the shifting influences of both soil</w:instrText>
      </w:r>
      <w:r w:rsidR="006B2ACE">
        <w:rPr>
          <w:rFonts w:hint="eastAsia"/>
        </w:rPr>
        <w:instrText xml:space="preserve"> texture and precipitation, with a mean absolute error of </w:instrText>
      </w:r>
      <w:r w:rsidR="006B2ACE">
        <w:rPr>
          <w:rFonts w:hint="eastAsia"/>
        </w:rPr>
        <w:instrText>≤</w:instrText>
      </w:r>
      <w:r w:rsidR="006B2ACE">
        <w:rPr>
          <w:rFonts w:hint="eastAsia"/>
        </w:rPr>
        <w:instrText>0.0576 cm3/cm3 across all three depths.","container-title":"Water Resources Research","DOI":"https://doi.org/10.1029/2018WR024535","ISSN":"1944-7973","issue":"6","language":"en","note":"_eprint: h</w:instrText>
      </w:r>
      <w:r w:rsidR="006B2ACE">
        <w:instrText xml:space="preserve">ttps://onlinelibrary.wiley.com/doi/pdf/10.1029/2018WR024535","page":"4785-4800","source":"Wiley Online Library","title":"Mesoscale Soil Moisture Patterns Revealed Using a Sparse In Situ Network and Regression Kriging","volume":"55","author":[{"family":"Ochsner","given":"Tyson E."},{"family":"Linde","given":"Evan"},{"family":"Haffner","given":"Matthew"},{"family":"Dong","given":"Jingnuo"}],"issued":{"date-parts":[["2019"]]}}}],"schema":"https://github.com/citation-style-language/schema/raw/master/csl-citation.json"} </w:instrText>
      </w:r>
      <w:r>
        <w:fldChar w:fldCharType="separate"/>
      </w:r>
      <w:r w:rsidR="00807F53" w:rsidRPr="00807F53">
        <w:t>(2019)</w:t>
      </w:r>
      <w:r>
        <w:fldChar w:fldCharType="end"/>
      </w:r>
      <w:r w:rsidRPr="00DD0541">
        <w:t xml:space="preserve"> applied regression kriging to several data sets: daily soil moisture measurements from the Oklahoma Mesonet, sand content estimates from the Natural Resource Conservation Service Soil Survey Geographic Database, and an antecedent precipitation index computed from National Weather Service multi</w:t>
      </w:r>
      <w:r>
        <w:t>-</w:t>
      </w:r>
      <w:r w:rsidRPr="00DD0541">
        <w:t>sensor precipitation estimates. This mapping system provides daily statewide maps of soil moisture at 5‐</w:t>
      </w:r>
      <w:r w:rsidRPr="00DD0541">
        <w:lastRenderedPageBreak/>
        <w:t xml:space="preserve">, 25‐, and 60‐cm depths at 800‐m resolution </w:t>
      </w:r>
      <w:r>
        <w:t xml:space="preserve">from </w:t>
      </w:r>
      <w:r w:rsidRPr="00DD0541">
        <w:t xml:space="preserve">2015-09-01 to present with a mean absolute error of ≤0.0576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3</m:t>
                </m:r>
              </m:sup>
            </m:sSup>
          </m:num>
          <m:den>
            <m:sSup>
              <m:sSupPr>
                <m:ctrlPr>
                  <w:rPr>
                    <w:rFonts w:ascii="Cambria Math" w:hAnsi="Cambria Math"/>
                    <w:i/>
                  </w:rPr>
                </m:ctrlPr>
              </m:sSupPr>
              <m:e>
                <m:r>
                  <w:rPr>
                    <w:rFonts w:ascii="Cambria Math" w:hAnsi="Cambria Math"/>
                  </w:rPr>
                  <m:t>cm</m:t>
                </m:r>
              </m:e>
              <m:sup>
                <m:r>
                  <w:rPr>
                    <w:rFonts w:ascii="Cambria Math" w:hAnsi="Cambria Math"/>
                  </w:rPr>
                  <m:t>3</m:t>
                </m:r>
              </m:sup>
            </m:sSup>
          </m:den>
        </m:f>
      </m:oMath>
      <w:r w:rsidRPr="00DD0541">
        <w:t xml:space="preserve"> across all three depths. This product is used in this study as a benchmark when comparing the blended soil moisture products and SMAP L4 product and is referred </w:t>
      </w:r>
      <w:r>
        <w:t xml:space="preserve">to </w:t>
      </w:r>
      <w:r w:rsidRPr="00DD0541">
        <w:t xml:space="preserve">as </w:t>
      </w:r>
      <w:r>
        <w:t xml:space="preserve">the </w:t>
      </w:r>
      <w:r w:rsidRPr="00DD0541">
        <w:t>OSU soil moisture measurement in the following contents.</w:t>
      </w:r>
    </w:p>
    <w:p w14:paraId="42F9ED3B" w14:textId="77777777" w:rsidR="00A0483C" w:rsidRDefault="00A0483C" w:rsidP="00B70EC5"/>
    <w:p w14:paraId="2B309EEC" w14:textId="2F960FBB" w:rsidR="00B61BE0" w:rsidRDefault="005D0C69" w:rsidP="005D0C69">
      <w:pPr>
        <w:pStyle w:val="3"/>
      </w:pPr>
      <w:bookmarkStart w:id="164" w:name="_Toc75939866"/>
      <w:r>
        <w:t>4.2.2</w:t>
      </w:r>
      <w:r w:rsidR="00A0483C">
        <w:t>T</w:t>
      </w:r>
      <w:r w:rsidRPr="005D0C69">
        <w:t>the Oklahoma Mesonet Soil Moisture Measurements</w:t>
      </w:r>
      <w:bookmarkEnd w:id="164"/>
    </w:p>
    <w:p w14:paraId="240854D5" w14:textId="7DF85222" w:rsidR="00344408" w:rsidRDefault="00344408" w:rsidP="00344408">
      <w:r>
        <w:t>Established in January 1994, t</w:t>
      </w:r>
      <w:r w:rsidRPr="00B40AD8">
        <w:t xml:space="preserve">he Oklahoma Mesonet </w:t>
      </w:r>
      <w:r>
        <w:t xml:space="preserve">is a multipurpose network operating more than 110 automated stations with at least one station in each of Oklahoma’s 77 counties </w:t>
      </w:r>
      <w:r>
        <w:fldChar w:fldCharType="begin"/>
      </w:r>
      <w:r w:rsidR="00807F53">
        <w:instrText xml:space="preserve"> ADDIN ZOTERO_ITEM CSL_CITATION {"citationID":"Epk1jcgs","properties":{"formattedCitation":"(Brock et al., 1995; McPherson et al., 2007)","plainCitation":"(Brock et al., 1995; McPherson et al., 2007)","noteIndex":0},"citationItems":[{"id":17,"uris":["http://zotero.org/users/7782726/items/42KGE6UN"],"uri":["http://zotero.org/users/7782726/items/42KGE6UN"],"itemData":{"id":17,"type":"article-journal","abstract":"&lt;section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fldChar w:fldCharType="separate"/>
      </w:r>
      <w:r w:rsidR="00807F53" w:rsidRPr="00807F53">
        <w:t>(Brock et al., 1995; McPherson et al., 2007)</w:t>
      </w:r>
      <w:r>
        <w:fldChar w:fldCharType="end"/>
      </w:r>
      <w:r>
        <w:t xml:space="preserve">. Quality-assured data </w:t>
      </w:r>
      <w:r w:rsidRPr="00B40AD8">
        <w:t xml:space="preserve">including temperature, humidity, solar radiation, wind speed and direction, and soil moisture </w:t>
      </w:r>
      <w:r>
        <w:t xml:space="preserve">are available through an operations center located at </w:t>
      </w:r>
      <w:r w:rsidRPr="00B40AD8">
        <w:t xml:space="preserve">the Oklahoma Climatological Survey (OCS). Soil moisture data are collected every 30 min </w:t>
      </w:r>
      <w:r>
        <w:t xml:space="preserve">by soil moisture sensors at </w:t>
      </w:r>
      <w:r w:rsidRPr="00B40AD8">
        <w:t xml:space="preserve">each site </w:t>
      </w:r>
      <w:r>
        <w:t>at four different depths (</w:t>
      </w:r>
      <w:r w:rsidRPr="003D3B3E">
        <w:t>5, 25, 60, and 75 cm below the surface</w:t>
      </w:r>
      <w:r w:rsidR="00A0483C">
        <w:t>;</w:t>
      </w:r>
      <w:r>
        <w:t xml:space="preserve"> </w:t>
      </w:r>
      <w:r>
        <w:fldChar w:fldCharType="begin"/>
      </w:r>
      <w:r w:rsidR="00C70ADF">
        <w:instrText xml:space="preserve"> ADDIN ZOTERO_ITEM CSL_CITATION {"citationID":"d0zFpxKl","properties":{"formattedCitation":"(Illston et al., 2008)","plainCitation":"(Illston et al., 2008)","dontUpdate":true,"noteIndex":0},"citationItems":[{"id":193,"uris":["http://zotero.org/users/7782726/items/VNJR8K7G"],"uri":["http://zotero.org/users/7782726/items/VNJR8K7G"],"itemData":{"id":193,"type":"article-journal","abstract":"&lt;section class=\"abstract\"&gt;&lt;h2 class=\"abstractTitle text-title my-1\" id=\"d155138061e110\"&gt;Abstract&lt;/h2&gt;&lt;p&gt;Soil moisture is an important component in many hydrologic and land–atmosphere interactions. Understanding the spatial and temporal nature of soil moisture on the mesoscale is vital to determine the influence that land surface processes have on the atmosphere. Recognizing the need for improved in situ soil moisture measurements, the Oklahoma Mesonet, an automated network of 116 remote meteorological stations across Oklahoma, installed Campbell Scientific 229-L devices to measure soil moisture conditions. Herein, background information on the soil moisture measurements, the technical design of the soil moisture network embedded within the Oklahoma Mesonet, and the quality assurance (QA) techniques applied to the observations are provided. This project also demonstrated the importance of operational QA regarding the data collected, whereby the percentage of observations that passed the QA procedures increased significantly once daily QA was applied.&lt;/p&gt;&lt;/section&gt;","container-title":"Journal of Atmospheric and Oceanic Technology","DOI":"10.1175/2007JTECHA993.1","ISSN":"0739-0572, 1520-0426","issue":"2","language":"EN","note":"publisher: American Meteorological Society\nsection: Journal of Atmospheric and Oceanic Technology","page":"167-182","source":"journals.ametsoc.org","title":"Mesoscale Monitoring of Soil Moisture across a Statewide Network","volume":"25","author":[{"family":"Illston","given":"Bradley G."},{"family":"Basara","given":"Jeffrey B."},{"family":"Fiebrich","given":"Christopher A."},{"family":"Crawford","given":"Kenneth C."},{"family":"Hunt","given":"Eric"},{"family":"Fisher","given":"Daniel K."},{"family":"Elliott","given":"Ronald"},{"family":"Humes","given":"Karen"}],"issued":{"date-parts":[["2008",2,1]]}}}],"schema":"https://github.com/citation-style-language/schema/raw/master/csl-citation.json"} </w:instrText>
      </w:r>
      <w:r>
        <w:fldChar w:fldCharType="separate"/>
      </w:r>
      <w:r w:rsidR="00807F53" w:rsidRPr="00807F53">
        <w:t>Illston et al., 2008)</w:t>
      </w:r>
      <w:r>
        <w:fldChar w:fldCharType="end"/>
      </w:r>
      <w:r w:rsidRPr="00B40AD8">
        <w:t xml:space="preserve">. Since the TC analysis requires three spatially and temporally collocated measurement systems and SMAP measurements are </w:t>
      </w:r>
      <w:r>
        <w:t>available from 03/31/2015</w:t>
      </w:r>
      <w:r w:rsidRPr="00B40AD8">
        <w:t xml:space="preserve">, the Mesonet soil moisture measurements </w:t>
      </w:r>
      <w:r>
        <w:t xml:space="preserve">of 115 Mesonet sites </w:t>
      </w:r>
      <w:r w:rsidRPr="00B40AD8">
        <w:t>ranging from 04/01/2015 to 07/01/2019 were used in this study</w:t>
      </w:r>
      <w:r>
        <w:t xml:space="preserve"> </w:t>
      </w:r>
      <w:r w:rsidRPr="00B40AD8">
        <w:t>(see Figure 1). Since the data points are spread-out across the state, interpolation was conducted using ordinary Kriging, as previously suggested by</w:t>
      </w:r>
      <w:r>
        <w:t xml:space="preserve"> </w:t>
      </w:r>
      <w:r>
        <w:fldChar w:fldCharType="begin"/>
      </w:r>
      <w:r w:rsidR="00807F53">
        <w:instrText xml:space="preserve"> ADDIN ZOTERO_ITEM CSL_CITATION {"citationID":"WgYRL5uA","properties":{"formattedCitation":"(Lakhankar et al., 2010)","plainCitation":"(Lakhankar et al., 2010)","noteIndex":0},"citationItems":[{"id":171,"uris":["http://zotero.org/users/7782726/items/U5IPDYIM"],"uri":["http://zotero.org/users/7782726/items/U5IPDYIM"],"itemData":{"id":171,"type":"article-journal","container-title":"Sensors","issue":"1","note":"publisher: Molecular Diversity Preservation International","page":"913-932","title":"Analysis of large scale spatial variability of soil moisture using a geostatistical method","volume":"10","author":[{"family":"Lakhankar","given":"Tarendra"},{"family":"Jones","given":"Andrew S."},{"family":"Combs","given":"Cynthia L."},{"family":"Sengupta","given":"Manajit"},{"family":"Vonder Haar","given":"Thomas H."},{"family":"Khanbilvardi","given":"Reza"}],"issued":{"date-parts":[["2010"]]}}}],"schema":"https://github.com/citation-style-language/schema/raw/master/csl-citation.json"} </w:instrText>
      </w:r>
      <w:r>
        <w:fldChar w:fldCharType="separate"/>
      </w:r>
      <w:r w:rsidR="00807F53" w:rsidRPr="00807F53">
        <w:t>(Lakhankar et al., 2010)</w:t>
      </w:r>
      <w:r>
        <w:fldChar w:fldCharType="end"/>
      </w:r>
      <w:r>
        <w:t xml:space="preserve"> </w:t>
      </w:r>
      <w:r w:rsidRPr="00B40AD8">
        <w:t>and then re-gridded to 9 km.</w:t>
      </w:r>
      <w:r>
        <w:t xml:space="preserve"> The re-gridded Oklahoma Mesonet soil moisture measurements were </w:t>
      </w:r>
      <w:r w:rsidRPr="00F65F12">
        <w:t xml:space="preserve">used as an independent data source </w:t>
      </w:r>
      <w:r>
        <w:t xml:space="preserve">of </w:t>
      </w:r>
      <w:r w:rsidRPr="00F63908">
        <w:t xml:space="preserve">OU-MSSM </w:t>
      </w:r>
      <w:r w:rsidRPr="00F65F12">
        <w:t>in the objective methodology introduced by Yilmaz et al</w:t>
      </w:r>
      <w:r>
        <w:t xml:space="preserve"> </w:t>
      </w:r>
      <w:r w:rsidR="00FA1B64">
        <w:fldChar w:fldCharType="begin"/>
      </w:r>
      <w:r w:rsidR="006B2ACE">
        <w:instrText xml:space="preserve"> ADDIN ZOTERO_ITEM CSL_CITATION {"citationID":"jGSruS4u","properties":{"formattedCitation":"(Yilmaz et al., 2012)","plainCitation":"(Yilmaz et al., 2012)","dontUpdate":true,"noteIndex":0},"citationItems":[{"id":183,"uris":["http://zotero.org/users/7782726/items/EUUL8YJ2"],"uri":["http://zotero.org/users/7782726/items/EUUL8YJ2"],"itemData":{"id":183,"type":"article-journal","container-title":"Water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6B2ACE">
        <w:rPr>
          <w:rFonts w:hint="eastAsia"/>
        </w:rPr>
        <w:instrText>‐</w:instrText>
      </w:r>
      <w:r w:rsidR="006B2ACE">
        <w:instrText>and model</w:instrText>
      </w:r>
      <w:r w:rsidR="006B2ACE">
        <w:rPr>
          <w:rFonts w:hint="eastAsia"/>
        </w:rPr>
        <w:instrText>‐</w:instrText>
      </w:r>
      <w:r w:rsidR="006B2ACE">
        <w:instrText xml:space="preserve">based soil moisture products","volume":"48","author":[{"family":"Yilmaz","given":"MUSTAFA TUĞRUL"},{"family":"Crow","given":"W. T."},{"family":"Anderson","given":"Martha C."},{"family":"Hain","given":"Chris"}],"issued":{"date-parts":[["2012"]]}}}],"schema":"https://github.com/citation-style-language/schema/raw/master/csl-citation.json"} </w:instrText>
      </w:r>
      <w:r w:rsidR="00FA1B64">
        <w:fldChar w:fldCharType="separate"/>
      </w:r>
      <w:r w:rsidR="00FA1B64" w:rsidRPr="00FA1B64">
        <w:t>(2012)</w:t>
      </w:r>
      <w:r w:rsidR="00FA1B64">
        <w:fldChar w:fldCharType="end"/>
      </w:r>
      <w:r>
        <w:t>.</w:t>
      </w:r>
    </w:p>
    <w:p w14:paraId="7D913669" w14:textId="77777777" w:rsidR="00A0483C" w:rsidRDefault="00A0483C" w:rsidP="00344408"/>
    <w:p w14:paraId="4A37BEB7" w14:textId="51D637B6" w:rsidR="0073400F" w:rsidRDefault="00700D9A" w:rsidP="00700D9A">
      <w:pPr>
        <w:pStyle w:val="3"/>
      </w:pPr>
      <w:bookmarkStart w:id="165" w:name="_Toc75939867"/>
      <w:r>
        <w:lastRenderedPageBreak/>
        <w:t xml:space="preserve">4.2.3 </w:t>
      </w:r>
      <w:r w:rsidRPr="00700D9A">
        <w:t>NLDAS-2 Noah Soil Moisture Estimations</w:t>
      </w:r>
      <w:bookmarkEnd w:id="165"/>
    </w:p>
    <w:p w14:paraId="3EAA1647" w14:textId="7930C262" w:rsidR="0013570F" w:rsidRDefault="0013570F" w:rsidP="0013570F">
      <w:r>
        <w:t>The Noah model is a land surface model (LSM) of t</w:t>
      </w:r>
      <w:r w:rsidRPr="00E20B4D">
        <w:t xml:space="preserve">he </w:t>
      </w:r>
      <w:r>
        <w:t xml:space="preserve">phase 2 of the </w:t>
      </w:r>
      <w:r w:rsidRPr="00E20B4D">
        <w:t>North American Land Data Assimilation System (NLDAS-2)</w:t>
      </w:r>
      <w:r>
        <w:t>, generating</w:t>
      </w:r>
      <w:r w:rsidRPr="00483DE0">
        <w:t xml:space="preserve"> energy fluxes, water fluxes, and state variables (e.g., soil moisture)</w:t>
      </w:r>
      <w:r>
        <w:t xml:space="preserve"> </w:t>
      </w:r>
      <w:r>
        <w:fldChar w:fldCharType="begin"/>
      </w:r>
      <w:r w:rsidR="00807F53">
        <w:instrText xml:space="preserve"> ADDIN ZOTERO_ITEM CSL_CITATION {"citationID":"5lAbPy98","properties":{"formattedCitation":"(Xia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fldChar w:fldCharType="separate"/>
      </w:r>
      <w:r w:rsidR="00807F53" w:rsidRPr="00807F53">
        <w:t>(Xia et al., 2014)</w:t>
      </w:r>
      <w:r>
        <w:fldChar w:fldCharType="end"/>
      </w:r>
      <w:r w:rsidRPr="00483DE0">
        <w:t>.</w:t>
      </w:r>
      <w:r w:rsidRPr="00E20B4D">
        <w:t xml:space="preserve"> It provides hourly soil moisture fields at 1/8° </w:t>
      </w:r>
      <w:r>
        <w:t>resolution</w:t>
      </w:r>
      <w:r w:rsidRPr="00E20B4D">
        <w:t xml:space="preserve"> from 1979 to present</w:t>
      </w:r>
      <w:r>
        <w:t xml:space="preserve"> at four soil layers: </w:t>
      </w:r>
      <w:r w:rsidRPr="00B34160">
        <w:t>0–10, 10–40, 40–100, and 100–200 cm</w:t>
      </w:r>
      <w:r w:rsidRPr="00E20B4D">
        <w:t xml:space="preserve">. </w:t>
      </w:r>
      <w:r w:rsidRPr="009730CE">
        <w:t>Noah uses a dominant vegetation type with a varied root depth (e.g., 100 cm for grassland and 200 cm for forest and woodland)</w:t>
      </w:r>
      <w:r>
        <w:t xml:space="preserve">. Details about the NLDAS-2 Noah LSM can be found in </w:t>
      </w:r>
      <w:r>
        <w:fldChar w:fldCharType="begin"/>
      </w:r>
      <w:r w:rsidR="00807F53">
        <w:instrText xml:space="preserve"> ADDIN ZOTERO_ITEM CSL_CITATION {"citationID":"n8YSHlke","properties":{"formattedCitation":"(Xia et al., 2012)","plainCitation":"(Xia et al., 2012)","noteIndex":0},"citationItems":[{"id":163,"uris":["http://zotero.org/users/7782726/items/AX28JFDM"],"uri":</w:instrText>
      </w:r>
      <w:r w:rsidR="00807F53">
        <w:rPr>
          <w:rFonts w:hint="eastAsia"/>
        </w:rPr>
        <w:instrText>["http://zotero.org/users/7782726/items/AX28JFDM"],"itemData":{"id":163,"type":"article-journal","container-title":"Journal of Geophysical Research: Atmospheres","issue":"D3","note":"ISBN: 0148-0227\npublisher: Wiley Online Library","title":"Continental</w:instrText>
      </w:r>
      <w:r w:rsidR="00807F53">
        <w:rPr>
          <w:rFonts w:hint="eastAsia"/>
        </w:rPr>
        <w:instrText>‐</w:instrText>
      </w:r>
      <w:r w:rsidR="00807F53">
        <w:rPr>
          <w:rFonts w:hint="eastAsia"/>
        </w:rPr>
        <w:instrText>scale water and energy flux analysis and validation for the North American Land Data Assimilation System project phase 2 (NLDAS</w:instrText>
      </w:r>
      <w:r w:rsidR="00807F53">
        <w:rPr>
          <w:rFonts w:hint="eastAsia"/>
        </w:rPr>
        <w:instrText>‐</w:instrText>
      </w:r>
      <w:r w:rsidR="00807F53">
        <w:rPr>
          <w:rFonts w:hint="eastAsia"/>
        </w:rPr>
        <w:instrText>2): 1. Intercomparison and application of model products","volume":"117","author":[{"family":"Xia","given":"Youlong"},{"family":</w:instrText>
      </w:r>
      <w:r w:rsidR="00807F53">
        <w:instrText xml:space="preserve">"Mitchell","given":"Kenneth"},{"family":"Ek","given":"Michael"},{"family":"Sheffield","given":"Justin"},{"family":"Cosgrove","given":"Brian"},{"family":"Wood","given":"Eric"},{"family":"Luo","given":"Lifeng"},{"family":"Alonge","given":"Charles"},{"family":"Wei","given":"Helin"},{"family":"Meng","given":"Jesse"}],"issued":{"date-parts":[["2012"]]}}}],"schema":"https://github.com/citation-style-language/schema/raw/master/csl-citation.json"} </w:instrText>
      </w:r>
      <w:r>
        <w:fldChar w:fldCharType="separate"/>
      </w:r>
      <w:r w:rsidR="00807F53" w:rsidRPr="00807F53">
        <w:t>(Xia et al., 2012)</w:t>
      </w:r>
      <w:r>
        <w:fldChar w:fldCharType="end"/>
      </w:r>
      <w:r>
        <w:t>. In this study</w:t>
      </w:r>
      <w:r w:rsidRPr="00E20B4D">
        <w:t xml:space="preserve">, the hourly soil moisture simulations of NLDAS-2 Noah model between the period of 04-01-2015 to 07-01-2019 </w:t>
      </w:r>
      <w:r>
        <w:fldChar w:fldCharType="begin"/>
      </w:r>
      <w:r w:rsidR="00807F53">
        <w:instrText xml:space="preserve"> ADDIN ZOTERO_ITEM CSL_CITATION {"citationID":"Lb5Ea0u1","properties":{"formattedCitation":"({\\i{}GES DISC Dataset: NLDAS Noah Land Surface Model L4 Monthly Climatology 0.125 x 0.125 Degree V002 (NLDAS_NOAH0125_MC 002)}, n.d.)","plainCitation":"(GES DISC Dataset: NLDAS Noah Land Surface Model L4 Monthly Climatology 0.125 x 0.125 Degree V002 (NLDAS_NOAH0125_MC 002), n.d.)","noteIndex":0},"citationItems":[{"id":167,"uris":["http://zotero.org/users/7782726/items/VGYXKDY9"],"uri":["http://zotero.org/users/7782726/items/VGYXKDY9"],"itemData":{"id":167,"type":"webpage","title":"GES DISC Dataset: NLDAS Noah Land Surface Model L4 Monthly Climatology 0.125 x 0.125 degree V002 (NLDAS_NOAH0125_MC 002)","URL":"https://disc.gsfc.nasa.gov/datasets/NLDAS_NOAH0125_MC_002/summary"}}],"schema":"https://github.com/citation-style-language/schema/raw/master/csl-citation.json"} </w:instrText>
      </w:r>
      <w:r>
        <w:fldChar w:fldCharType="separate"/>
      </w:r>
      <w:r w:rsidR="00807F53" w:rsidRPr="00807F53">
        <w:t>(</w:t>
      </w:r>
      <w:r w:rsidR="00807F53" w:rsidRPr="00807F53">
        <w:rPr>
          <w:i/>
          <w:iCs/>
        </w:rPr>
        <w:t>GES DISC Dataset: NLDAS Noah Land Surface Model L4 Monthly Climatology 0.125 x 0.125 Degree V002 (NLDAS_NOAH0125_MC 002)</w:t>
      </w:r>
      <w:r w:rsidR="00807F53" w:rsidRPr="00807F53">
        <w:t>, n.d.)</w:t>
      </w:r>
      <w:r>
        <w:fldChar w:fldCharType="end"/>
      </w:r>
      <w:r>
        <w:t xml:space="preserve"> </w:t>
      </w:r>
      <w:r w:rsidRPr="00E20B4D">
        <w:t>were used</w:t>
      </w:r>
      <w:r>
        <w:t xml:space="preserve"> as an independent data source of </w:t>
      </w:r>
      <w:r w:rsidRPr="000E73A7">
        <w:t>OU-MSSM</w:t>
      </w:r>
      <w:r>
        <w:t xml:space="preserve"> in the</w:t>
      </w:r>
      <w:r w:rsidRPr="00314187">
        <w:t xml:space="preserve"> objective methodology </w:t>
      </w:r>
      <w:r>
        <w:t xml:space="preserve">introduced by </w:t>
      </w:r>
      <w:r w:rsidRPr="00314187">
        <w:t>Yilmaz et al</w:t>
      </w:r>
      <w:r>
        <w:t xml:space="preserve"> </w:t>
      </w:r>
      <w:r w:rsidR="0054659B">
        <w:fldChar w:fldCharType="begin"/>
      </w:r>
      <w:r w:rsidR="006B2ACE">
        <w:instrText xml:space="preserve"> ADDIN ZOTERO_ITEM CSL_CITATION {"citationID":"LKYcTMrp","properties":{"formattedCitation":"(Yilmaz et al., 2012)","plainCitation":"(Yilmaz et al., 2012)","dontUpdate":true,"noteIndex":0},"citationItems":[{"id":183,"uris":["http://zotero.org/users/7782726/items/EUUL8YJ2"],"uri":["http://zotero.org/users/7782726/items/EUUL8YJ2"],"itemData":{"id":183,"type":"article-journal","container-title":"Water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6B2ACE">
        <w:rPr>
          <w:rFonts w:hint="eastAsia"/>
        </w:rPr>
        <w:instrText>‐</w:instrText>
      </w:r>
      <w:r w:rsidR="006B2ACE">
        <w:instrText>and model</w:instrText>
      </w:r>
      <w:r w:rsidR="006B2ACE">
        <w:rPr>
          <w:rFonts w:hint="eastAsia"/>
        </w:rPr>
        <w:instrText>‐</w:instrText>
      </w:r>
      <w:r w:rsidR="006B2ACE">
        <w:instrText xml:space="preserve">based soil moisture products","volume":"48","author":[{"family":"Yilmaz","given":"MUSTAFA TUĞRUL"},{"family":"Crow","given":"W. T."},{"family":"Anderson","given":"Martha C."},{"family":"Hain","given":"Chris"}],"issued":{"date-parts":[["2012"]]}}}],"schema":"https://github.com/citation-style-language/schema/raw/master/csl-citation.json"} </w:instrText>
      </w:r>
      <w:r w:rsidR="0054659B">
        <w:fldChar w:fldCharType="separate"/>
      </w:r>
      <w:r w:rsidR="0054659B" w:rsidRPr="0054659B">
        <w:t>(2012)</w:t>
      </w:r>
      <w:r w:rsidR="0054659B">
        <w:fldChar w:fldCharType="end"/>
      </w:r>
      <w:r w:rsidRPr="00E20B4D">
        <w:t>.</w:t>
      </w:r>
    </w:p>
    <w:p w14:paraId="71E76758" w14:textId="6B2E4922" w:rsidR="0013570F" w:rsidRDefault="00F7168B" w:rsidP="00F7168B">
      <w:pPr>
        <w:pStyle w:val="3"/>
      </w:pPr>
      <w:bookmarkStart w:id="166" w:name="_Toc75939868"/>
      <w:r>
        <w:t xml:space="preserve">4.2.4 </w:t>
      </w:r>
      <w:r w:rsidRPr="00F7168B">
        <w:t>SMAP L3 and L4 Soil Moisture Retrievals</w:t>
      </w:r>
      <w:bookmarkEnd w:id="166"/>
    </w:p>
    <w:p w14:paraId="3C1E47BF" w14:textId="0F4EF10D" w:rsidR="00F7168B" w:rsidRDefault="00F7168B" w:rsidP="00F7168B">
      <w:pPr>
        <w:rPr>
          <w:snapToGrid w:val="0"/>
          <w:lang w:eastAsia="de-DE"/>
        </w:rPr>
      </w:pPr>
      <w:r w:rsidRPr="00F7168B">
        <w:rPr>
          <w:snapToGrid w:val="0"/>
          <w:lang w:eastAsia="de-DE"/>
        </w:rPr>
        <w:t xml:space="preserve">The Soil Moisture Active Passive (SMAP) mission has been providing global L-band brightness temperature observations and surface soil moisture retrievals since 31 March 2015 at about 40-km resolution from a 685-km, near-polar, sun-synchronous orbit </w:t>
      </w:r>
      <w:r w:rsidRPr="00F7168B">
        <w:rPr>
          <w:snapToGrid w:val="0"/>
          <w:lang w:eastAsia="de-DE"/>
        </w:rPr>
        <w:fldChar w:fldCharType="begin"/>
      </w:r>
      <w:r w:rsidR="00807F53">
        <w:rPr>
          <w:snapToGrid w:val="0"/>
          <w:lang w:eastAsia="de-DE"/>
        </w:rPr>
        <w:instrText xml:space="preserve"> ADDIN ZOTERO_ITEM CSL_CITATION {"citationID":"qZBjFCnW","properties":{"formattedCitation":"(Entekhabi et al., 2010)","plainCitation":"(Entekhabi et al., 2010)","noteIndex":0},"citationItems":[{"id":181,"uris":["http://zotero.org/users/7782726/items/EYFKXMK4"],"uri":["http://zotero.org/users/7782726/items/EYFKXMK4"],"itemData":{"id":181,"type":"article-journal","container-title":"Proceedings of the IEEE","issue":"5","note":"ISBN: 0018-9219\npublisher: IEEE","page":"704-716","title":"The soil moisture active passive (SMAP) mission","volume":"98","author":[{"family":"Entekhabi","given":"Dara"},{"family":"Njoku","given":"Eni G."},{"family":"O'Neill","given":"Peggy E."},{"family":"Kellogg","given":"Kent H."},{"family":"Crow","given":"Wade T."},{"family":"Edelstein","given":"Wendy N."},{"family":"Entin","given":"Jared K."},{"family":"Goodman","given":"Shawn D."},{"family":"Jackson","given":"Thomas J."},{"family":"Johnson","given":"Joel"}],"issued":{"date-parts":[["2010"]]}}}],"schema":"https://github.com/citation-style-language/schema/raw/master/csl-citation.json"} </w:instrText>
      </w:r>
      <w:r w:rsidRPr="00F7168B">
        <w:rPr>
          <w:snapToGrid w:val="0"/>
          <w:lang w:eastAsia="de-DE"/>
        </w:rPr>
        <w:fldChar w:fldCharType="separate"/>
      </w:r>
      <w:r w:rsidR="00807F53" w:rsidRPr="00807F53">
        <w:t>(Entekhabi et al., 2010)</w:t>
      </w:r>
      <w:r w:rsidRPr="00F7168B">
        <w:rPr>
          <w:snapToGrid w:val="0"/>
          <w:lang w:eastAsia="de-DE"/>
        </w:rPr>
        <w:fldChar w:fldCharType="end"/>
      </w:r>
      <w:r w:rsidRPr="00F7168B">
        <w:rPr>
          <w:snapToGrid w:val="0"/>
          <w:lang w:eastAsia="de-DE"/>
        </w:rPr>
        <w:t xml:space="preserve">. In total, the SMAP mission has generated 24 distributable data products representing four levels of data processing. In this study, the SMAP Enhanced L3 Radiometer Global Daily 9 km EASEGrid Soil Moisture, Version 3 (L3_SM_P_E; [40]) product was used as an independent data source of OU-MSSM in the objective methodology </w:t>
      </w:r>
      <w:bookmarkStart w:id="167" w:name="_Hlk74002609"/>
      <w:r w:rsidRPr="00F7168B">
        <w:rPr>
          <w:snapToGrid w:val="0"/>
          <w:lang w:eastAsia="de-DE"/>
        </w:rPr>
        <w:t xml:space="preserve">introduced by Yilmaz et al. </w:t>
      </w:r>
      <w:r w:rsidR="00054454">
        <w:rPr>
          <w:snapToGrid w:val="0"/>
          <w:lang w:eastAsia="de-DE"/>
        </w:rPr>
        <w:fldChar w:fldCharType="begin"/>
      </w:r>
      <w:r w:rsidR="006B2ACE">
        <w:rPr>
          <w:snapToGrid w:val="0"/>
          <w:lang w:eastAsia="de-DE"/>
        </w:rPr>
        <w:instrText xml:space="preserve"> ADDIN ZOTERO_ITEM CSL_CITATION {"citationID":"Gp3t08lL","properties":{"formattedCitation":"(Yilmaz et al., 2012)","plainCitation":"(Yilmaz et al., 2012)","dontUpdate":true,"noteIndex":0},"citationItems":[{"id":183,"uris":["http://zotero.org/users/7782726/items/EUUL8YJ2"],"uri":["http://zotero.org/users/7782726/items/EUUL8YJ2"],"itemData":{"id":183,"type":"article-journal","container-title":"Water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6B2ACE">
        <w:rPr>
          <w:rFonts w:hint="eastAsia"/>
          <w:snapToGrid w:val="0"/>
          <w:lang w:eastAsia="de-DE"/>
        </w:rPr>
        <w:instrText>‐</w:instrText>
      </w:r>
      <w:r w:rsidR="006B2ACE">
        <w:rPr>
          <w:snapToGrid w:val="0"/>
          <w:lang w:eastAsia="de-DE"/>
        </w:rPr>
        <w:instrText>and model</w:instrText>
      </w:r>
      <w:r w:rsidR="006B2ACE">
        <w:rPr>
          <w:rFonts w:hint="eastAsia"/>
          <w:snapToGrid w:val="0"/>
          <w:lang w:eastAsia="de-DE"/>
        </w:rPr>
        <w:instrText>‐</w:instrText>
      </w:r>
      <w:r w:rsidR="006B2ACE">
        <w:rPr>
          <w:snapToGrid w:val="0"/>
          <w:lang w:eastAsia="de-DE"/>
        </w:rPr>
        <w:instrText xml:space="preserve">based soil moisture products","volume":"48","author":[{"family":"Yilmaz","given":"MUSTAFA TUĞRUL"},{"family":"Crow","given":"W. T."},{"family":"Anderson","given":"Martha C."},{"family":"Hain","given":"Chris"}],"issued":{"date-parts":[["2012"]]}}}],"schema":"https://github.com/citation-style-language/schema/raw/master/csl-citation.json"} </w:instrText>
      </w:r>
      <w:r w:rsidR="00054454">
        <w:rPr>
          <w:snapToGrid w:val="0"/>
          <w:lang w:eastAsia="de-DE"/>
        </w:rPr>
        <w:fldChar w:fldCharType="separate"/>
      </w:r>
      <w:r w:rsidR="00054454" w:rsidRPr="00054454">
        <w:t>(2012)</w:t>
      </w:r>
      <w:r w:rsidR="00054454">
        <w:rPr>
          <w:snapToGrid w:val="0"/>
          <w:lang w:eastAsia="de-DE"/>
        </w:rPr>
        <w:fldChar w:fldCharType="end"/>
      </w:r>
      <w:r w:rsidRPr="00F7168B">
        <w:rPr>
          <w:snapToGrid w:val="0"/>
          <w:lang w:eastAsia="de-DE"/>
        </w:rPr>
        <w:t xml:space="preserve"> </w:t>
      </w:r>
      <w:bookmarkEnd w:id="167"/>
      <w:r w:rsidRPr="00F7168B">
        <w:rPr>
          <w:snapToGrid w:val="0"/>
          <w:lang w:eastAsia="de-DE"/>
        </w:rPr>
        <w:t xml:space="preserve">because it can satisfy the independency assumption of triple collocation analysis </w:t>
      </w:r>
      <w:r w:rsidRPr="00F7168B">
        <w:rPr>
          <w:snapToGrid w:val="0"/>
          <w:lang w:eastAsia="de-DE"/>
        </w:rPr>
        <w:fldChar w:fldCharType="begin"/>
      </w:r>
      <w:r w:rsidR="00807F53">
        <w:rPr>
          <w:snapToGrid w:val="0"/>
          <w:lang w:eastAsia="de-DE"/>
        </w:rPr>
        <w:instrText xml:space="preserve"> ADDIN ZOTERO_ITEM CSL_CITATION {"citationID":"HtfSafzX","properties":{"formattedCitation":"(Stoffelen, 1998)","plainCitation":"(Stoffelen, 1998)","noteIndex":0},"citationItems":[{"id":157,"uris":["http://zotero.org/users/7782726/items/E4RN6USV"],"uri":["http://zotero.org/users/7782726/items/E4RN6USV"],"itemData":{"id":157,"type":"article-journal","container-title":"Journal of geophysical research: oceans","issue":"C4","note":"ISBN: 0148-0227\npublisher: Wiley Online Library","page":"7755-7766","title":"T</w:instrText>
      </w:r>
      <w:r w:rsidR="00807F53">
        <w:rPr>
          <w:rFonts w:hint="eastAsia"/>
          <w:snapToGrid w:val="0"/>
          <w:lang w:eastAsia="de-DE"/>
        </w:rPr>
        <w:instrText>oward the true near</w:instrText>
      </w:r>
      <w:r w:rsidR="00807F53">
        <w:rPr>
          <w:rFonts w:hint="eastAsia"/>
          <w:snapToGrid w:val="0"/>
          <w:lang w:eastAsia="de-DE"/>
        </w:rPr>
        <w:instrText>‐</w:instrText>
      </w:r>
      <w:r w:rsidR="00807F53">
        <w:rPr>
          <w:rFonts w:hint="eastAsia"/>
          <w:snapToGrid w:val="0"/>
          <w:lang w:eastAsia="de-DE"/>
        </w:rPr>
        <w:instrText>surface wind speed: Error modeling and calibration using triple collocation","volume":"103","author":[{"family":"Stoffelen","given":"Ad"}],"issued":{"date-parts":[["1998"]]}}}],"schema":"https://github.com/citation-style-language/schem</w:instrText>
      </w:r>
      <w:r w:rsidR="00807F53">
        <w:rPr>
          <w:snapToGrid w:val="0"/>
          <w:lang w:eastAsia="de-DE"/>
        </w:rPr>
        <w:instrText xml:space="preserve">a/raw/master/csl-citation.json"} </w:instrText>
      </w:r>
      <w:r w:rsidRPr="00F7168B">
        <w:rPr>
          <w:snapToGrid w:val="0"/>
          <w:lang w:eastAsia="de-DE"/>
        </w:rPr>
        <w:fldChar w:fldCharType="separate"/>
      </w:r>
      <w:r w:rsidR="00807F53" w:rsidRPr="00807F53">
        <w:t>(Stoffelen, 1998)</w:t>
      </w:r>
      <w:r w:rsidRPr="00F7168B">
        <w:rPr>
          <w:snapToGrid w:val="0"/>
          <w:lang w:eastAsia="de-DE"/>
        </w:rPr>
        <w:fldChar w:fldCharType="end"/>
      </w:r>
      <w:r w:rsidRPr="00F7168B">
        <w:rPr>
          <w:snapToGrid w:val="0"/>
          <w:lang w:eastAsia="de-DE"/>
        </w:rPr>
        <w:t xml:space="preserve">. </w:t>
      </w:r>
      <w:bookmarkStart w:id="168" w:name="_Hlk63172860"/>
      <w:r w:rsidRPr="00F7168B">
        <w:rPr>
          <w:snapToGrid w:val="0"/>
          <w:lang w:eastAsia="de-DE"/>
        </w:rPr>
        <w:t>It is a daily global composite of gridded surface soil moisture retrievals of 6:00 am (descending) and 6:00 pm (ascending)</w:t>
      </w:r>
      <w:bookmarkEnd w:id="168"/>
      <w:r w:rsidRPr="00F7168B">
        <w:rPr>
          <w:snapToGrid w:val="0"/>
          <w:lang w:eastAsia="de-DE"/>
        </w:rPr>
        <w:t xml:space="preserve">. The SMAP L3_SM_P_E product pertaining to the period from 04-01-2015 </w:t>
      </w:r>
      <w:r w:rsidRPr="00F7168B">
        <w:rPr>
          <w:snapToGrid w:val="0"/>
          <w:lang w:eastAsia="de-DE"/>
        </w:rPr>
        <w:lastRenderedPageBreak/>
        <w:t xml:space="preserve">to 07-01-2019 were used in this study </w:t>
      </w:r>
      <w:r w:rsidRPr="00F7168B">
        <w:rPr>
          <w:snapToGrid w:val="0"/>
          <w:lang w:eastAsia="de-DE"/>
        </w:rPr>
        <w:fldChar w:fldCharType="begin"/>
      </w:r>
      <w:r w:rsidR="002F575A">
        <w:rPr>
          <w:snapToGrid w:val="0"/>
          <w:lang w:eastAsia="de-DE"/>
        </w:rPr>
        <w:instrText xml:space="preserve"> ADDIN ZOTERO_ITEM CSL_CITATION {"citationID":"08KfFjJB","properties":{"formattedCitation":"(ONeill et al., 2019)","plainCitation":"(ONeill et al., 2019)","noteIndex":0},"citationItems":[{"id":162,"uris":["http://zotero.org/users/7782726/items/VGFDAUDZ"],"uri":["http://zotero.org/users/7782726/items/VGFDAUDZ"],"itemData":{"id":162,"type":"article","note":"type: dataset\nDOI: 10.5067/T90W6VRLCBHI","publisher":"NASA National Snow and Ice Data Center DAAC","source":"DOI.org (Datacite)","title":"SMAP Enhanced L3 Radiometer Global Daily 9 km EASE-Grid Soil Moisture, Version 3","URL":"https://nsidc.org/data/SPL3SMP_E/versions/3","author":[{"family":"ONeill","given":"Peggy E."},{"family":"Chan","given":"Steven"},{"family":"Njoku","given":"Eni G."},{"family":"Jackson","given":"Tom"},{"family":"Bindlish","given":"Rajat"}],"accessed":{"date-parts":[["2020",2,20]]},"issued":{"date-parts":[["2019"]]}}}],"schema":"https://github.com/citation-style-language/schema/raw/master/csl-citation.json"} </w:instrText>
      </w:r>
      <w:r w:rsidRPr="00F7168B">
        <w:rPr>
          <w:snapToGrid w:val="0"/>
          <w:lang w:eastAsia="de-DE"/>
        </w:rPr>
        <w:fldChar w:fldCharType="separate"/>
      </w:r>
      <w:r w:rsidR="002F575A" w:rsidRPr="002F575A">
        <w:t>(ONeill et al., 2019)</w:t>
      </w:r>
      <w:r w:rsidRPr="00F7168B">
        <w:rPr>
          <w:snapToGrid w:val="0"/>
          <w:lang w:eastAsia="de-DE"/>
        </w:rPr>
        <w:fldChar w:fldCharType="end"/>
      </w:r>
      <w:r w:rsidRPr="00F7168B">
        <w:rPr>
          <w:snapToGrid w:val="0"/>
          <w:lang w:eastAsia="de-DE"/>
        </w:rPr>
        <w:t xml:space="preserve">. The SMAP Level-4 soil moisture product is generated by a data assimilation system that combines L-band brightness temperature measurements, and precipitation observations with the NASA Catchment land surface model </w:t>
      </w:r>
      <w:r w:rsidRPr="00F7168B">
        <w:rPr>
          <w:snapToGrid w:val="0"/>
          <w:lang w:eastAsia="de-DE"/>
        </w:rPr>
        <w:fldChar w:fldCharType="begin"/>
      </w:r>
      <w:r w:rsidR="0075552F">
        <w:rPr>
          <w:snapToGrid w:val="0"/>
          <w:lang w:eastAsia="de-DE"/>
        </w:rPr>
        <w:instrText xml:space="preserve"> ADDIN ZOTERO_ITEM CSL_CITATION {"citationID":"SFQ8vinp","properties":{"formattedCitation":"(R. H. Reichle et al., 2017)","plainCitation":"(R. H. Reichle et al., 2017)","dontUpdate":true,"noteIndex":0},"citationItems":[{"id":184,"uris":["http://zotero.org/users/7782726/items/QJ7KNAPV"],"uri":["http://zotero.org/users/7782726/items/QJ7KNAPV"],"itemData":{"id":184,"type":"article-journal","abstract":"&lt;section class=\"abstract\"&gt;&lt;h2 class=\"abstractTitle text-title my-1\" id=\"d149744354e604\"&gt;Abstract&lt;/h2&gt;&lt;p&gt;The Soil Moisture Active Passive (SMAP) mission Level-4 Surface and Root-Zone Soil Moisture (L4_SM) data product is generated by assimilating SMAP L-band brightness temperature observations into the NASA Catchment land surface model. The L4_SM product is available from 31 March 2015 to present (within 3 days from real time) and provides 3-hourly, global, 9-km resolution estimates of surface (0–5 cm) and root-zone (0–100 cm) soil moisture and land surface conditions. This study presents an overview of the L4_SM algorithm, validation approach, and product assessment versus in situ measurements. Core validation sites provide spatially averaged surface (root zone) soil moisture measurements for 43 (17) “reference pixels” at 9- and 36-km gridcell scales located in 17 (7) distinct watersheds. Sparse networks provide point-scale measurements of surface (root zone) soil moisture at 406 (311) locations. Core validation site results indicate that the L4_SM product meets its soil moisture accuracy requirement, specified as an unbiased RMSE (ubRMSE, or standard deviation of the error) of 0.04 m&lt;sup&gt;3&lt;/sup&gt; m&lt;sup&gt;−3&lt;/sup&gt; or better. The ubRMSE for L4_SM surface (root zone) soil moisture is 0.038 m&lt;sup&gt;3&lt;/sup&gt; m&lt;sup&gt;−3&lt;/sup&gt; (0.030 m&lt;sup&gt;3&lt;/sup&gt; m&lt;sup&gt;−3&lt;/sup&gt;) at the 9-km scale and 0.035 m&lt;sup&gt;3&lt;/sup&gt; m&lt;sup&gt;−3&lt;/sup&gt; (0.026 m&lt;sup&gt;3&lt;/sup&gt; m&lt;sup&gt;−3&lt;/sup&gt;) at the 36-km scale. The L4_SM estimates improve (significantly at the 5% level for surface soil moisture) over model-only estimates, which do not benefit from the assimilation of SMAP brightness temperature observations and have a 9-km surface (root zone) ubRMSE of 0.042 m&lt;sup&gt;3&lt;/sup&gt; m&lt;sup&gt;−3&lt;/sup&gt; (0.032 m&lt;sup&gt;3&lt;/sup&gt; m&lt;sup&gt;−3&lt;/sup&gt;). Time series correlations exhibit similar relative performance. The sparse network results corroborate these findings over a greater variety of climate and land cover conditions.&lt;/p&gt;&lt;/section&gt;","container-title":"Journal of Hydrometeorology","DOI":"10.1175/JHM-D-17-0063.1","ISSN":"1525-7541, 1525-755X","issue":"10","language":"EN","note":"publisher: American Meteorological Society\nsection: Journal of Hydrometeorology","page":"2621-2645","source":"journals.ametsoc.org","title":"Assessment of the SMAP Level-4 Surface and Root-Zone Soil Moisture Product Using In Situ Measurements","volume":"18","author":[{"family":"Reichle","given":"Rolf H."},{"family":"Lannoy","given":"Gabrielle J. M. De"},{"family":"Liu","given":"Qing"},{"family":"Ardizzone","given":"Joseph V."},{"family":"Colliander","given":"Andreas"},{"family":"Conaty","given":"Austin"},{"family":"Crow","given":"Wade"},{"family":"Jackson","given":"Thomas J."},{"family":"Jones","given":"Lucas A."},{"family":"Kimball","given":"John S."},{"family":"Koster","given":"Randal D."},{"family":"Mahanama","given":"Sarith P."},{"family":"Smith","given":"Edmond B."},{"family":"Berg","given":"Aaron"},{"family":"Bircher","given":"Simone"},{"family":"Bosch","given":"David"},{"family":"Caldwell","given":"Todd G."},{"family":"Cosh","given":"Michael"},{"family":"González-Zamora","given":"Ángel"},{"family":"Collins","given":"Chandra D. Holifield"},{"family":"Jensen","given":"Karsten H."},{"family":"Livingston","given":"Stan"},{"family":"Lopez-Baeza","given":"Ernesto"},{"family":"Martínez-Fernández","given":"José"},{"family":"McNairn","given":"Heather"},{"family":"Moghaddam","given":"Mahta"},{"family":"Pacheco","given":"Anna"},{"family":"Pellarin","given":"Thierry"},{"family":"Prueger","given":"John"},{"family":"Rowlandson","given":"Tracy"},{"family":"Seyfried","given":"Mark"},{"family":"Starks","given":"Patrick"},{"family":"Su","given":"Zhongbo"},{"family":"Thibeault","given":"Marc"},{"family":"Velde","given":"Rogier","dropping-particle":"van der"},{"family":"Walker","given":"Jeffrey"},{"family":"Wu","given":"Xiaoling"},{"family":"Zeng","given":"Yijian"}],"issued":{"date-parts":[["2017",10,1]]}}}],"schema":"https://github.com/citation-style-language/schema/raw/master/csl-citation.json"} </w:instrText>
      </w:r>
      <w:r w:rsidRPr="00F7168B">
        <w:rPr>
          <w:snapToGrid w:val="0"/>
          <w:lang w:eastAsia="de-DE"/>
        </w:rPr>
        <w:fldChar w:fldCharType="separate"/>
      </w:r>
      <w:r w:rsidR="0064031E" w:rsidRPr="0064031E">
        <w:t>(Reichle et al., 2017)</w:t>
      </w:r>
      <w:r w:rsidRPr="00F7168B">
        <w:rPr>
          <w:snapToGrid w:val="0"/>
          <w:lang w:eastAsia="de-DE"/>
        </w:rPr>
        <w:fldChar w:fldCharType="end"/>
      </w:r>
      <w:r w:rsidRPr="00F7168B">
        <w:rPr>
          <w:snapToGrid w:val="0"/>
          <w:lang w:eastAsia="de-DE"/>
        </w:rPr>
        <w:t xml:space="preserve">. Surface (0-5 cm) and root zone soil moisture (0-100 cm) are available every three hours on a global grid with 9-km spacing within about three days from the time of observation </w:t>
      </w:r>
      <w:r w:rsidRPr="00F7168B">
        <w:rPr>
          <w:snapToGrid w:val="0"/>
          <w:lang w:eastAsia="de-DE"/>
        </w:rPr>
        <w:fldChar w:fldCharType="begin"/>
      </w:r>
      <w:r w:rsidR="0075552F">
        <w:rPr>
          <w:snapToGrid w:val="0"/>
          <w:lang w:eastAsia="de-DE"/>
        </w:rPr>
        <w:instrText xml:space="preserve"> ADDIN ZOTERO_ITEM CSL_CITATION {"citationID":"RpI58qI6","properties":{"formattedCitation":"(R. H. Reichle et al., 2017)","plainCitation":"(R. H. Reichle et al., 2017)","dontUpdate":true,"noteIndex":0},"citationItems":[{"id":184,"uris":["http://zotero.org/users/7782726/items/QJ7KNAPV"],"uri":["http://zotero.org/users/7782726/items/QJ7KNAPV"],"itemData":{"id":184,"type":"article-journal","abstract":"&lt;section class=\"abstract\"&gt;&lt;h2 class=\"abstractTitle text-title my-1\" id=\"d149744354e604\"&gt;Abstract&lt;/h2&gt;&lt;p&gt;The Soil Moisture Active Passive (SMAP) mission Level-4 Surface and Root-Zone Soil Moisture (L4_SM) data product is generated by assimilating SMAP L-band brightness temperature observations into the NASA Catchment land surface model. The L4_SM product is available from 31 March 2015 to present (within 3 days from real time) and provides 3-hourly, global, 9-km resolution estimates of surface (0–5 cm) and root-zone (0–100 cm) soil moisture and land surface conditions. This study presents an overview of the L4_SM algorithm, validation approach, and product assessment versus in situ measurements. Core validation sites provide spatially averaged surface (root zone) soil moisture measurements for 43 (17) “reference pixels” at 9- and 36-km gridcell scales located in 17 (7) distinct watersheds. Sparse networks provide point-scale measurements of surface (root zone) soil moisture at 406 (311) locations. Core validation site results indicate that the L4_SM product meets its soil moisture accuracy requirement, specified as an unbiased RMSE (ubRMSE, or standard deviation of the error) of 0.04 m&lt;sup&gt;3&lt;/sup&gt; m&lt;sup&gt;−3&lt;/sup&gt; or better. The ubRMSE for L4_SM surface (root zone) soil moisture is 0.038 m&lt;sup&gt;3&lt;/sup&gt; m&lt;sup&gt;−3&lt;/sup&gt; (0.030 m&lt;sup&gt;3&lt;/sup&gt; m&lt;sup&gt;−3&lt;/sup&gt;) at the 9-km scale and 0.035 m&lt;sup&gt;3&lt;/sup&gt; m&lt;sup&gt;−3&lt;/sup&gt; (0.026 m&lt;sup&gt;3&lt;/sup&gt; m&lt;sup&gt;−3&lt;/sup&gt;) at the 36-km scale. The L4_SM estimates improve (significantly at the 5% level for surface soil moisture) over model-only estimates, which do not benefit from the assimilation of SMAP brightness temperature observations and have a 9-km surface (root zone) ubRMSE of 0.042 m&lt;sup&gt;3&lt;/sup&gt; m&lt;sup&gt;−3&lt;/sup&gt; (0.032 m&lt;sup&gt;3&lt;/sup&gt; m&lt;sup&gt;−3&lt;/sup&gt;). Time series correlations exhibit similar relative performance. The sparse network results corroborate these findings over a greater variety of climate and land cover conditions.&lt;/p&gt;&lt;/section&gt;","container-title":"Journal of Hydrometeorology","DOI":"10.1175/JHM-D-17-0063.1","ISSN":"1525-7541, 1525-755X","issue":"10","language":"EN","note":"publisher: American Meteorological Society\nsection: Journal of Hydrometeorology","page":"2621-2645","source":"journals.ametsoc.org","title":"Assessment of the SMAP Level-4 Surface and Root-Zone Soil Moisture Product Using In Situ Measurements","volume":"18","author":[{"family":"Reichle","given":"Rolf H."},{"family":"Lannoy","given":"Gabrielle J. M. De"},{"family":"Liu","given":"Qing"},{"family":"Ardizzone","given":"Joseph V."},{"family":"Colliander","given":"Andreas"},{"family":"Conaty","given":"Austin"},{"family":"Crow","given":"Wade"},{"family":"Jackson","given":"Thomas J."},{"family":"Jones","given":"Lucas A."},{"family":"Kimball","given":"John S."},{"family":"Koster","given":"Randal D."},{"family":"Mahanama","given":"Sarith P."},{"family":"Smith","given":"Edmond B."},{"family":"Berg","given":"Aaron"},{"family":"Bircher","given":"Simone"},{"family":"Bosch","given":"David"},{"family":"Caldwell","given":"Todd G."},{"family":"Cosh","given":"Michael"},{"family":"González-Zamora","given":"Ángel"},{"family":"Collins","given":"Chandra D. Holifield"},{"family":"Jensen","given":"Karsten H."},{"family":"Livingston","given":"Stan"},{"family":"Lopez-Baeza","given":"Ernesto"},{"family":"Martínez-Fernández","given":"José"},{"family":"McNairn","given":"Heather"},{"family":"Moghaddam","given":"Mahta"},{"family":"Pacheco","given":"Anna"},{"family":"Pellarin","given":"Thierry"},{"family":"Prueger","given":"John"},{"family":"Rowlandson","given":"Tracy"},{"family":"Seyfried","given":"Mark"},{"family":"Starks","given":"Patrick"},{"family":"Su","given":"Zhongbo"},{"family":"Thibeault","given":"Marc"},{"family":"Velde","given":"Rogier","dropping-particle":"van der"},{"family":"Walker","given":"Jeffrey"},{"family":"Wu","given":"Xiaoling"},{"family":"Zeng","given":"Yijian"}],"issued":{"date-parts":[["2017",10,1]]}}}],"schema":"https://github.com/citation-style-language/schema/raw/master/csl-citation.json"} </w:instrText>
      </w:r>
      <w:r w:rsidRPr="00F7168B">
        <w:rPr>
          <w:snapToGrid w:val="0"/>
          <w:lang w:eastAsia="de-DE"/>
        </w:rPr>
        <w:fldChar w:fldCharType="separate"/>
      </w:r>
      <w:r w:rsidR="0064031E" w:rsidRPr="0064031E">
        <w:t>(Reichle et al., 2017)</w:t>
      </w:r>
      <w:r w:rsidRPr="00F7168B">
        <w:rPr>
          <w:snapToGrid w:val="0"/>
          <w:lang w:eastAsia="de-DE"/>
        </w:rPr>
        <w:fldChar w:fldCharType="end"/>
      </w:r>
      <w:r w:rsidRPr="00F7168B">
        <w:rPr>
          <w:snapToGrid w:val="0"/>
          <w:lang w:eastAsia="de-DE"/>
        </w:rPr>
        <w:t xml:space="preserve">. The SMAP Level-4 surface soil moisture product (SMAP L4) between the period of 04-01-2015 to 07-01-2019 was used in this study in the comparison with the merged product using the OSU soil moisture measurement as benchmark </w:t>
      </w:r>
      <w:r w:rsidRPr="00F7168B">
        <w:rPr>
          <w:snapToGrid w:val="0"/>
          <w:lang w:eastAsia="de-DE"/>
        </w:rPr>
        <w:fldChar w:fldCharType="begin"/>
      </w:r>
      <w:r w:rsidR="0075552F">
        <w:rPr>
          <w:snapToGrid w:val="0"/>
          <w:lang w:eastAsia="de-DE"/>
        </w:rPr>
        <w:instrText xml:space="preserve"> ADDIN ZOTERO_ITEM CSL_CITATION {"citationID":"2jP9I29g","properties":{"formattedCitation":"(R. Reichle et al., 2020)","plainCitation":"(R. Reichle et al., 2020)","dontUpdate":true,"noteIndex":0},"citationItems":[{"id":196,"uris":["http://zotero.org/users/7782726/items/AZIA5D29"],"uri":["http://zotero.org/users/7782726/items/AZIA5D29"],"itemData":{"id":196,"type":"article","note":"type: dataset\nDOI: 10.5067/9LNYIYOBNBR5","publisher":"NASA National Snow and Ice Data Center DAAC","source":"DOI.org (Datacite)","title":"SMAP L4 Global 3-hourly 9 km EASE-Grid Surface and Root Zone Soil Moisture Geophysical Data, Version 5","URL":"https://nsidc.org/data/SPL4SMGP/versions/5","author":[{"family":"Reichle","given":"Rolf"},{"family":"De Lannoy","given":"Gabrielle"},{"family":"Koster","given":"Randal"},{"family":"Crow","given":"Wade"},{"family":"Kimball","given":"John"},{"family":"Liu","given":"Qing"}],"accessed":{"date-parts":[["2021",6,7]]},"issued":{"date-parts":[["2020"]]}}}],"schema":"https://github.com/citation-style-language/schema/raw/master/csl-citation.json"} </w:instrText>
      </w:r>
      <w:r w:rsidRPr="00F7168B">
        <w:rPr>
          <w:snapToGrid w:val="0"/>
          <w:lang w:eastAsia="de-DE"/>
        </w:rPr>
        <w:fldChar w:fldCharType="separate"/>
      </w:r>
      <w:r w:rsidR="0064031E" w:rsidRPr="0064031E">
        <w:t>(Reichle et al., 2020)</w:t>
      </w:r>
      <w:r w:rsidRPr="00F7168B">
        <w:rPr>
          <w:snapToGrid w:val="0"/>
          <w:lang w:eastAsia="de-DE"/>
        </w:rPr>
        <w:fldChar w:fldCharType="end"/>
      </w:r>
      <w:r w:rsidRPr="00F7168B">
        <w:rPr>
          <w:snapToGrid w:val="0"/>
          <w:lang w:eastAsia="de-DE"/>
        </w:rPr>
        <w:t xml:space="preserve"> .</w:t>
      </w:r>
    </w:p>
    <w:p w14:paraId="4652C038" w14:textId="0A432061" w:rsidR="006064AE" w:rsidRDefault="006064AE" w:rsidP="006064AE">
      <w:pPr>
        <w:pStyle w:val="3"/>
        <w:rPr>
          <w:lang w:bidi="ar-SA"/>
        </w:rPr>
      </w:pPr>
      <w:bookmarkStart w:id="169" w:name="_Toc75939869"/>
      <w:r>
        <w:rPr>
          <w:snapToGrid w:val="0"/>
          <w:lang w:eastAsia="de-DE"/>
        </w:rPr>
        <w:t xml:space="preserve">4.2.5 </w:t>
      </w:r>
      <w:r w:rsidRPr="006064AE">
        <w:rPr>
          <w:lang w:bidi="ar-SA"/>
        </w:rPr>
        <w:t>Auxiliary Data</w:t>
      </w:r>
      <w:bookmarkEnd w:id="169"/>
    </w:p>
    <w:p w14:paraId="4C3DD67F" w14:textId="774366FA" w:rsidR="006064AE" w:rsidRPr="00117AD5" w:rsidRDefault="00597C03" w:rsidP="00117AD5">
      <w:pPr>
        <w:pStyle w:val="4"/>
      </w:pPr>
      <w:r w:rsidRPr="00117AD5">
        <w:t xml:space="preserve">4.2.5.1 </w:t>
      </w:r>
      <w:r w:rsidRPr="00117AD5">
        <w:rPr>
          <w:lang w:bidi="ar-SA"/>
        </w:rPr>
        <w:t>The National Land Cover Dataset 2016</w:t>
      </w:r>
    </w:p>
    <w:p w14:paraId="2EBE03E5" w14:textId="67FEA056" w:rsidR="00A827FE" w:rsidRDefault="00A827FE" w:rsidP="00A827FE">
      <w:r w:rsidRPr="001C58A3">
        <w:t xml:space="preserve">To </w:t>
      </w:r>
      <w:r>
        <w:t>compare</w:t>
      </w:r>
      <w:r w:rsidRPr="001C58A3">
        <w:t xml:space="preserve"> the performance of </w:t>
      </w:r>
      <w:r>
        <w:t xml:space="preserve">the </w:t>
      </w:r>
      <w:r w:rsidRPr="001C58A3">
        <w:t>three soil moisture products</w:t>
      </w:r>
      <w:r>
        <w:t xml:space="preserve"> (</w:t>
      </w:r>
      <w:r w:rsidRPr="00BB653B">
        <w:t>OU-MSSM, AVE</w:t>
      </w:r>
      <w:r>
        <w:t xml:space="preserve"> </w:t>
      </w:r>
      <w:r w:rsidRPr="00BB653B">
        <w:t>and SMAP</w:t>
      </w:r>
      <w:r>
        <w:t xml:space="preserve"> L4)</w:t>
      </w:r>
      <w:r w:rsidRPr="001C58A3">
        <w:t xml:space="preserve"> over different land cover</w:t>
      </w:r>
      <w:r>
        <w:t xml:space="preserve"> types</w:t>
      </w:r>
      <w:r w:rsidRPr="001C58A3">
        <w:t>, the national land cover data</w:t>
      </w:r>
      <w:r>
        <w:t>set</w:t>
      </w:r>
      <w:r w:rsidRPr="001C58A3">
        <w:t xml:space="preserve"> (NLCD) 2016 product was used in this study. The </w:t>
      </w:r>
      <w:r>
        <w:t xml:space="preserve">NLCD </w:t>
      </w:r>
      <w:r w:rsidRPr="001C58A3">
        <w:t xml:space="preserve">provides nationwide data on </w:t>
      </w:r>
      <w:r>
        <w:t xml:space="preserve">continental U.S. </w:t>
      </w:r>
      <w:r w:rsidRPr="001C58A3">
        <w:t>land cover and land cover change at a 30</w:t>
      </w:r>
      <w:r>
        <w:t xml:space="preserve"> </w:t>
      </w:r>
      <w:r w:rsidRPr="001C58A3">
        <w:t xml:space="preserve">m resolution with a 16-class legend based on a modified Anderson Level II classification system. There are fifteen land cover types </w:t>
      </w:r>
      <w:r>
        <w:t>w</w:t>
      </w:r>
      <w:r w:rsidRPr="001C58A3">
        <w:t>i</w:t>
      </w:r>
      <w:r>
        <w:t>thi</w:t>
      </w:r>
      <w:r w:rsidRPr="001C58A3">
        <w:t>n the state</w:t>
      </w:r>
      <w:r>
        <w:t xml:space="preserve"> of Oklahoma as shown in </w:t>
      </w:r>
      <w:r w:rsidRPr="001C58A3">
        <w:t xml:space="preserve">Figure </w:t>
      </w:r>
      <w:r w:rsidR="00C32ACD">
        <w:t>4.</w:t>
      </w:r>
      <w:r w:rsidRPr="001C58A3">
        <w:t xml:space="preserve">1. </w:t>
      </w:r>
    </w:p>
    <w:p w14:paraId="64325534" w14:textId="77777777" w:rsidR="00094977" w:rsidRDefault="00094977" w:rsidP="00900C9A">
      <w:pPr>
        <w:keepNext/>
        <w:ind w:left="-432"/>
      </w:pPr>
      <w:r>
        <w:rPr>
          <w:noProof/>
        </w:rPr>
        <w:lastRenderedPageBreak/>
        <w:drawing>
          <wp:inline distT="0" distB="0" distL="0" distR="0" wp14:anchorId="08B50379" wp14:editId="1D6502A4">
            <wp:extent cx="5943600" cy="4205605"/>
            <wp:effectExtent l="0" t="0" r="0" b="4445"/>
            <wp:docPr id="22" name="图片 22"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pic:nvPicPr>
                  <pic:blipFill>
                    <a:blip r:embed="rId73">
                      <a:extLst>
                        <a:ext uri="{28A0092B-C50C-407E-A947-70E740481C1C}">
                          <a14:useLocalDpi xmlns:a14="http://schemas.microsoft.com/office/drawing/2010/main" val="0"/>
                        </a:ext>
                      </a:extLst>
                    </a:blip>
                    <a:stretch>
                      <a:fillRect/>
                    </a:stretch>
                  </pic:blipFill>
                  <pic:spPr>
                    <a:xfrm>
                      <a:off x="0" y="0"/>
                      <a:ext cx="5943600" cy="4205605"/>
                    </a:xfrm>
                    <a:prstGeom prst="rect">
                      <a:avLst/>
                    </a:prstGeom>
                  </pic:spPr>
                </pic:pic>
              </a:graphicData>
            </a:graphic>
          </wp:inline>
        </w:drawing>
      </w:r>
    </w:p>
    <w:p w14:paraId="6E3D88CE" w14:textId="17BD9C64" w:rsidR="00A827FE" w:rsidRDefault="00094977" w:rsidP="00094977">
      <w:pPr>
        <w:pStyle w:val="a3"/>
        <w:ind w:firstLine="0"/>
        <w:rPr>
          <w:b w:val="0"/>
          <w:bCs w:val="0"/>
        </w:rPr>
      </w:pPr>
      <w:bookmarkStart w:id="170" w:name="_Toc75360579"/>
      <w:bookmarkStart w:id="171" w:name="_Toc75361847"/>
      <w:bookmarkStart w:id="172" w:name="_Toc75361902"/>
      <w:r>
        <w:t xml:space="preserve">Figure </w:t>
      </w:r>
      <w:r w:rsidR="00C52D82">
        <w:t>4</w:t>
      </w:r>
      <w:r w:rsidR="00764D25">
        <w:t>.</w:t>
      </w:r>
      <w:r>
        <w:fldChar w:fldCharType="begin"/>
      </w:r>
      <w:r>
        <w:instrText>SEQ Figure \* ARABIC \s 1</w:instrText>
      </w:r>
      <w:r>
        <w:fldChar w:fldCharType="separate"/>
      </w:r>
      <w:r w:rsidR="00492676">
        <w:rPr>
          <w:noProof/>
        </w:rPr>
        <w:t>1</w:t>
      </w:r>
      <w:r>
        <w:fldChar w:fldCharType="end"/>
      </w:r>
      <w:r>
        <w:t xml:space="preserve">. </w:t>
      </w:r>
      <w:r w:rsidRPr="00094977">
        <w:rPr>
          <w:b w:val="0"/>
          <w:bCs w:val="0"/>
        </w:rPr>
        <w:t>The distribution of in situ soil moisture stations from the Oklahoma Mesonet on a National Land Cover Dataset (NLCD) land cover type (for year 2016) map.</w:t>
      </w:r>
      <w:bookmarkEnd w:id="170"/>
      <w:bookmarkEnd w:id="171"/>
      <w:bookmarkEnd w:id="172"/>
    </w:p>
    <w:p w14:paraId="100E671D" w14:textId="5BBDBBB3" w:rsidR="000A5AD7" w:rsidRDefault="00D368AB" w:rsidP="00D368AB">
      <w:pPr>
        <w:pStyle w:val="4"/>
      </w:pPr>
      <w:r>
        <w:t xml:space="preserve">4.2.5.2 </w:t>
      </w:r>
      <w:r w:rsidRPr="00D368AB">
        <w:t>Oklahoma Climate Divisions</w:t>
      </w:r>
    </w:p>
    <w:p w14:paraId="02E920A3" w14:textId="4ED37E06" w:rsidR="003909D6" w:rsidRDefault="003909D6" w:rsidP="003909D6">
      <w:r w:rsidRPr="001C58A3">
        <w:t xml:space="preserve">The performance of </w:t>
      </w:r>
      <w:r>
        <w:t xml:space="preserve">the </w:t>
      </w:r>
      <w:r w:rsidRPr="001C58A3">
        <w:t>three soil moisture products</w:t>
      </w:r>
      <w:r>
        <w:t xml:space="preserve"> (</w:t>
      </w:r>
      <w:r w:rsidRPr="00BB653B">
        <w:t>OU-MSSM, AVE</w:t>
      </w:r>
      <w:r>
        <w:t xml:space="preserve"> </w:t>
      </w:r>
      <w:r w:rsidRPr="00BB653B">
        <w:t>and SMAP</w:t>
      </w:r>
      <w:r>
        <w:t xml:space="preserve"> L4)</w:t>
      </w:r>
      <w:r w:rsidRPr="001C58A3">
        <w:t xml:space="preserve"> </w:t>
      </w:r>
      <w:r>
        <w:t xml:space="preserve">were also compared </w:t>
      </w:r>
      <w:r w:rsidRPr="001C58A3">
        <w:t xml:space="preserve">over </w:t>
      </w:r>
      <w:r>
        <w:t>nine</w:t>
      </w:r>
      <w:r w:rsidRPr="001C58A3">
        <w:t xml:space="preserve"> </w:t>
      </w:r>
      <w:r>
        <w:t xml:space="preserve">climate divisions in Oklahoma (Figure </w:t>
      </w:r>
      <w:r w:rsidR="00C32ACD">
        <w:t>4.</w:t>
      </w:r>
      <w:r>
        <w:t>2)</w:t>
      </w:r>
      <w:r w:rsidRPr="00B2490B">
        <w:t>. These nine divisions correspond to</w:t>
      </w:r>
      <w:r>
        <w:t xml:space="preserve"> </w:t>
      </w:r>
      <w:r w:rsidRPr="00B2490B">
        <w:t>multiple factors such as climatic conditions, county lines, crop districts, and drainage basins rather</w:t>
      </w:r>
      <w:r>
        <w:t xml:space="preserve"> </w:t>
      </w:r>
      <w:r w:rsidRPr="00B2490B">
        <w:t xml:space="preserve">than strict climatic homogeneity </w:t>
      </w:r>
      <w:r>
        <w:fldChar w:fldCharType="begin"/>
      </w:r>
      <w:r w:rsidR="00807F53">
        <w:instrText xml:space="preserve"> ADDIN ZOTERO_ITEM CSL_CITATION {"citationID":"tWrvhFmL","properties":{"formattedCitation":"(Guttman &amp; Quayle, 1996; Illston et al., 2004)","plainCitation":"(Guttman &amp; Quayle, 1996; Illston et al., 2004)","noteIndex":0},"citationItems":[{"id":43,"uris":["http://zotero.org/users/7782726/items/BUTEJPLW"],"uri":["http://zotero.org/users/7782726/items/BUTEJPLW"],"itemData":{"id":43,"type":"article-journal","abstract":"&lt;section class=\"abstract\"&gt;&lt;p&gt;The history of climatic divisions in the contiguous United States has been pieced together from fragmentary documentation. Each of the 48 contiguous states has been subdivided into climatic divisions. Divisional boundaries are now standardized, and a set of climatic variables for time-invariant divisional boundaries has been compiled for the period of record beginning in 1895. This paper documents the origins of climatic divisions, the computational methodology of an area-invariant divisional dataset maintained by the National Climatic Data Center, and the strengths and weaknesses of divisional data.&lt;/p&gt;&lt;/section&gt;","container-title":"Bulletin of the American Meteorological Society","DOI":"10.1175/1520-0477(1996)077&lt;0293:AHPOUC&gt;2.0.CO;2","ISSN":"0003-0007, 1520-0477","issue":"2","language":"en","note":"publisher: American Meteorological Society\nsection: Bulletin of the American Meteorological Society","page":"293-304","source":"journals.ametsoc.org","title":"A Historical Perspective of U.S. Climate Divisions","volume":"77","author":[{"family":"Guttman","given":"Nathaniel B."},{"family":"Quayle","given":"Robert G."}],"issued":{"date-parts":[["1996",2,1]]}}},{"id":170,"uris":["http://zotero.org/users/7782726/items/DZ6NK8V8"],"uri":["http://zotero.org/users/7782726/items/DZ6NK8V8"],"itemData":{"id":170,"type":"article-journal","container-title":"International Journal of Climatology: A Journal of the Royal Meteorological Society","issue":"15","note":"ISBN: 0899-8418\npublisher: Wiley Online Library","page":"1883-1896","title":"Seasonal to interannual variations of soil moisture measured in Oklahoma","volume":"24","author":[{"family":"Illston","given":"Bradley G."},{"family":"Basara","given":"Jeffrey B."},{"family":"Crawford","given":"Kenneth C."}],"issued":{"date-parts":[["2004"]]}}}],"schema":"https://github.com/citation-style-language/schema/raw/master/csl-citation.json"} </w:instrText>
      </w:r>
      <w:r>
        <w:fldChar w:fldCharType="separate"/>
      </w:r>
      <w:r w:rsidR="00807F53" w:rsidRPr="00807F53">
        <w:t>(Guttman &amp; Quayle, 1996; Illston et al., 2004)</w:t>
      </w:r>
      <w:r>
        <w:fldChar w:fldCharType="end"/>
      </w:r>
      <w:r w:rsidRPr="00B2490B">
        <w:t>.</w:t>
      </w:r>
      <w:r>
        <w:t xml:space="preserve"> </w:t>
      </w:r>
      <w:r w:rsidRPr="00B2490B">
        <w:t>Each</w:t>
      </w:r>
      <w:r>
        <w:t xml:space="preserve"> </w:t>
      </w:r>
      <w:r w:rsidRPr="00B2490B">
        <w:t>climate division represents</w:t>
      </w:r>
      <w:r>
        <w:t xml:space="preserve"> </w:t>
      </w:r>
      <w:r w:rsidRPr="00B2490B">
        <w:t>a section of the state that is considered to have homogeneous weather</w:t>
      </w:r>
      <w:r>
        <w:t xml:space="preserve"> </w:t>
      </w:r>
      <w:r w:rsidRPr="00B2490B">
        <w:t>and climate patterns. The hottest</w:t>
      </w:r>
      <w:r>
        <w:t xml:space="preserve"> </w:t>
      </w:r>
      <w:r w:rsidRPr="00B2490B">
        <w:t>temperatures in the state usually occur in the south, with</w:t>
      </w:r>
      <w:r>
        <w:t xml:space="preserve"> </w:t>
      </w:r>
      <w:r w:rsidRPr="00B2490B">
        <w:t xml:space="preserve">cooler conditions towards the north </w:t>
      </w:r>
      <w:r>
        <w:fldChar w:fldCharType="begin"/>
      </w:r>
      <w:r w:rsidR="00807F53">
        <w:instrText xml:space="preserve"> ADDIN ZOTERO_ITEM CSL_CITATION {"citationID":"eRIJQ2fF","properties":{"formattedCitation":"(Illston et al., 2004)","plainCitation":"(Illston et al., 2004)","noteIndex":0},"citationItems":[{"id":170,"uris":["http://zotero.org/users/7782726/items/DZ6NK8V8"],"uri":["http://zotero.org/users/7782726/items/DZ6NK8V8"],"itemData":{"id":170,"type":"article-journal","container-title":"International Journal of Climatology: A Journal of the Royal Meteorological Society","issue":"15","note":"ISBN: 0899-8418\npublisher: Wiley Online Library","page":"1883-1896","title":"Seasonal to interannual variations of soil moisture measured in Oklahoma","volume":"24","author":[{"family":"Illston","given":"Bradley G."},{"family":"Basara","given":"Jeffrey B."},{"family":"Crawford","given":"Kenneth C."}],"issued":{"date-parts":[["2004"]]}}}],"schema":"https://github.com/citation-style-language/schema/raw/master/csl-citation.json"} </w:instrText>
      </w:r>
      <w:r>
        <w:fldChar w:fldCharType="separate"/>
      </w:r>
      <w:r w:rsidR="00807F53" w:rsidRPr="00807F53">
        <w:t>(Illston et al., 2004)</w:t>
      </w:r>
      <w:r>
        <w:fldChar w:fldCharType="end"/>
      </w:r>
      <w:r w:rsidRPr="00B2490B">
        <w:t>. In addition, the division that typically receives</w:t>
      </w:r>
      <w:r>
        <w:t xml:space="preserve"> </w:t>
      </w:r>
      <w:r w:rsidRPr="00B2490B">
        <w:t>the least amount of precipitation (504 mm/year)</w:t>
      </w:r>
      <w:r>
        <w:t xml:space="preserve"> </w:t>
      </w:r>
      <w:r w:rsidRPr="00B2490B">
        <w:t>is the extreme northwest division (the Oklahoma</w:t>
      </w:r>
      <w:r>
        <w:t xml:space="preserve"> </w:t>
      </w:r>
      <w:r w:rsidRPr="00B2490B">
        <w:lastRenderedPageBreak/>
        <w:t>panhandle), while increased precipitation is observed toward</w:t>
      </w:r>
      <w:r>
        <w:t xml:space="preserve"> </w:t>
      </w:r>
      <w:r w:rsidRPr="00B2490B">
        <w:t>the southeast (1200 mm/year</w:t>
      </w:r>
      <w:r w:rsidR="00C01CE0">
        <w:t>;</w:t>
      </w:r>
      <w:r>
        <w:t xml:space="preserve"> </w:t>
      </w:r>
      <w:r>
        <w:fldChar w:fldCharType="begin"/>
      </w:r>
      <w:r w:rsidR="006B2ACE">
        <w:instrText xml:space="preserve"> ADDIN ZOTERO_ITEM CSL_CITATION {"citationID":"XhZaFfde","properties":{"formattedCitation":"(Illston et al., 2004)","plainCitation":"(Illston et al., 2004)","dontUpdate":true,"noteIndex":0},"citationItems":[{"id":170,"uris":["http://zotero.org/users/7782726/items/DZ6NK8V8"],"uri":["http://zotero.org/users/7782726/items/DZ6NK8V8"],"itemData":{"id":170,"type":"article-journal","container-title":"International Journal of Climatology: A Journal of the Royal Meteorological Society","issue":"15","note":"ISBN: 0899-8418\npublisher: Wiley Online Library","page":"1883-1896","title":"Seasonal to interannual variations of soil moisture measured in Oklahoma","volume":"24","author":[{"family":"Illston","given":"Bradley G."},{"family":"Basara","given":"Jeffrey B."},{"family":"Crawford","given":"Kenneth C."}],"issued":{"date-parts":[["2004"]]}}}],"schema":"https://github.com/citation-style-language/schema/raw/master/csl-citation.json"} </w:instrText>
      </w:r>
      <w:r>
        <w:fldChar w:fldCharType="separate"/>
      </w:r>
      <w:r w:rsidR="00807F53" w:rsidRPr="00807F53">
        <w:t>Illston et al., 2004)</w:t>
      </w:r>
      <w:r>
        <w:fldChar w:fldCharType="end"/>
      </w:r>
      <w:r w:rsidRPr="00B2490B">
        <w:t>.</w:t>
      </w:r>
      <w:r>
        <w:t xml:space="preserve"> </w:t>
      </w:r>
      <w:r w:rsidRPr="00B2490B">
        <w:t>As a result, the climate of Oklahoma varies significantly across the</w:t>
      </w:r>
      <w:r>
        <w:t xml:space="preserve"> </w:t>
      </w:r>
      <w:r w:rsidRPr="00B2490B">
        <w:t>state.</w:t>
      </w:r>
    </w:p>
    <w:p w14:paraId="6EAC1B95" w14:textId="77777777" w:rsidR="00C01CE0" w:rsidRDefault="00C01CE0" w:rsidP="003909D6"/>
    <w:p w14:paraId="1BDC07EE" w14:textId="703F5E4B" w:rsidR="003909D6" w:rsidRDefault="001D55DC" w:rsidP="001D55DC">
      <w:pPr>
        <w:pStyle w:val="4"/>
      </w:pPr>
      <w:r>
        <w:t xml:space="preserve">4.2.5.3 </w:t>
      </w:r>
      <w:r w:rsidRPr="001D55DC">
        <w:t>STATSGO Soil Texture</w:t>
      </w:r>
    </w:p>
    <w:p w14:paraId="6564728F" w14:textId="3D5C39BF" w:rsidR="0036184A" w:rsidRDefault="5E4FB5CC" w:rsidP="0036184A">
      <w:r>
        <w:t>The performance of the three soil moisture products (OU-MSSM, AVE and SMAP L4) were also compared over different soil textures in Oklahoma (Figure 4.2). The soil texture data</w:t>
      </w:r>
      <w:r w:rsidR="001D3180">
        <w:t xml:space="preserve"> (spatial resolution 9 km)</w:t>
      </w:r>
      <w:r>
        <w:t xml:space="preserve"> was </w:t>
      </w:r>
      <w:r w:rsidR="0001560F">
        <w:t>aggregated</w:t>
      </w:r>
      <w:r>
        <w:t xml:space="preserve"> from the 1‐km STATSGO database of Miller and White [1998] </w:t>
      </w:r>
      <w:r w:rsidR="0036184A">
        <w:fldChar w:fldCharType="begin"/>
      </w:r>
      <w:r w:rsidR="0036184A">
        <w:instrText xml:space="preserve"> ADDIN ZOTERO_ITEM CSL_CITATION {"citationID":"mruuKaKS","properties":{"formattedCitation":"(Miller &amp; White, 1998)","plainCitation":"(Miller &amp; White, 1998)","noteIndex":0},"citationItems":[{"id":197,"uris":["http://zotero.org/users/7782726/items/K8PSAZRD"],"uri":["http://zotero.org/users/7782726/items/K8PSAZRD"],"itemData":{"id":197,"type":"article-journal","abstract":"ABSTRACT: Soil information is now widely required by many climate and hydrology models and soil–vegetation–atmosphere transfer schemes. This pa-per describes the development of a multilayer soil characteristics dataset for the conterminous United States (CONUS-SOIL) that specifically addresses the need for soil physical and hydraulic property information over large areas. The State Soil Geographic Database (STATSGO) developed by the U.S. De-partment of Agriculture–Natural Resources Conservation Service served as the starting point for CONUS-SOIL. Geographic information system and Perl computer programming language tools were used to create map coverages of soil properties including soil texture and rock fragment classes, depth-to-bed-rock, bulk density, porosity, rock fragment volume, particle-size (sand, silt, and clay) fractions, available water capacity, and hydrologic soil group. In-terpolation procedures for the continuous and categorical variables describing these soil properties were developed and applied to the original STATSGO data. In addition to any interpolation errors, the CONUS-SOIL dataset reflects the limitations of the procedures used to generate detailed county-level soil","container-title":"Res","page":"711–724","source":"CiteSeer","title":"A conterminous United States multi-layer soil characteristics data set for regional climate and hydrology modeling, Earth Interactions, 2. Web-based publication","author":[{"family":"Miller","given":"Douglas A."},{"family":"White","given":"Richard A."}],"issued":{"date-parts":[["1998"]]}}}],"schema":"https://github.com/citation-style-language/schema/raw/master/csl-citation.json"} </w:instrText>
      </w:r>
      <w:r w:rsidR="0036184A">
        <w:fldChar w:fldCharType="separate"/>
      </w:r>
      <w:r>
        <w:t>(Miller &amp; White, 1998)</w:t>
      </w:r>
      <w:r w:rsidR="0036184A">
        <w:fldChar w:fldCharType="end"/>
      </w:r>
      <w:r>
        <w:t>, which carries 16 texture classes by layer over 11 layers to 2‐m depth. There are seven texture classes in Oklahoma including sand, sandy loam, silt loam, loam, silty clay loam, clay loam, and clay (Figure 4.2).</w:t>
      </w:r>
    </w:p>
    <w:p w14:paraId="16D85655" w14:textId="77777777" w:rsidR="00827275" w:rsidRDefault="00827275" w:rsidP="00A97E17">
      <w:pPr>
        <w:keepNext/>
        <w:ind w:left="-432"/>
      </w:pPr>
      <w:r>
        <w:rPr>
          <w:noProof/>
        </w:rPr>
        <w:drawing>
          <wp:inline distT="0" distB="0" distL="0" distR="0" wp14:anchorId="3FEE21EB" wp14:editId="3126D599">
            <wp:extent cx="5943600" cy="2628265"/>
            <wp:effectExtent l="0" t="0" r="0" b="635"/>
            <wp:docPr id="23" name="图片 2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pic:nvPicPr>
                  <pic:blipFill>
                    <a:blip r:embed="rId74">
                      <a:extLst>
                        <a:ext uri="{28A0092B-C50C-407E-A947-70E740481C1C}">
                          <a14:useLocalDpi xmlns:a14="http://schemas.microsoft.com/office/drawing/2010/main" val="0"/>
                        </a:ext>
                      </a:extLst>
                    </a:blip>
                    <a:stretch>
                      <a:fillRect/>
                    </a:stretch>
                  </pic:blipFill>
                  <pic:spPr>
                    <a:xfrm>
                      <a:off x="0" y="0"/>
                      <a:ext cx="5943600" cy="2628265"/>
                    </a:xfrm>
                    <a:prstGeom prst="rect">
                      <a:avLst/>
                    </a:prstGeom>
                  </pic:spPr>
                </pic:pic>
              </a:graphicData>
            </a:graphic>
          </wp:inline>
        </w:drawing>
      </w:r>
    </w:p>
    <w:p w14:paraId="5BB1EB58" w14:textId="62CA6F3B" w:rsidR="0036184A" w:rsidRDefault="00827275" w:rsidP="00A97E17">
      <w:pPr>
        <w:pStyle w:val="a3"/>
        <w:ind w:firstLine="0"/>
        <w:rPr>
          <w:b w:val="0"/>
          <w:bCs w:val="0"/>
        </w:rPr>
      </w:pPr>
      <w:bookmarkStart w:id="173" w:name="_Toc75360580"/>
      <w:bookmarkStart w:id="174" w:name="_Toc75361848"/>
      <w:bookmarkStart w:id="175" w:name="_Toc75361903"/>
      <w:r>
        <w:t xml:space="preserve">Figure </w:t>
      </w:r>
      <w:r w:rsidR="00C52D82">
        <w:t>4</w:t>
      </w:r>
      <w:r w:rsidR="00764D25">
        <w:t>.</w:t>
      </w:r>
      <w:r>
        <w:fldChar w:fldCharType="begin"/>
      </w:r>
      <w:r>
        <w:instrText>SEQ Figure \* ARABIC \s 1</w:instrText>
      </w:r>
      <w:r>
        <w:fldChar w:fldCharType="separate"/>
      </w:r>
      <w:r w:rsidR="00492676">
        <w:rPr>
          <w:noProof/>
        </w:rPr>
        <w:t>2</w:t>
      </w:r>
      <w:r>
        <w:fldChar w:fldCharType="end"/>
      </w:r>
      <w:r>
        <w:t xml:space="preserve">. </w:t>
      </w:r>
      <w:r w:rsidRPr="00827275">
        <w:rPr>
          <w:b w:val="0"/>
          <w:bCs w:val="0"/>
        </w:rPr>
        <w:t xml:space="preserve">Oklahoma climate divisions and the </w:t>
      </w:r>
      <w:r w:rsidR="00ED0D6A">
        <w:rPr>
          <w:b w:val="0"/>
          <w:bCs w:val="0"/>
        </w:rPr>
        <w:t>9</w:t>
      </w:r>
      <w:r w:rsidRPr="00827275">
        <w:rPr>
          <w:b w:val="0"/>
          <w:bCs w:val="0"/>
        </w:rPr>
        <w:t>-km STATSGO database derived soil texture classes.</w:t>
      </w:r>
      <w:bookmarkEnd w:id="173"/>
      <w:bookmarkEnd w:id="174"/>
      <w:bookmarkEnd w:id="175"/>
    </w:p>
    <w:p w14:paraId="2821578F" w14:textId="77777777" w:rsidR="00D23D8D" w:rsidRPr="00D23D8D" w:rsidRDefault="00D23D8D" w:rsidP="00D23D8D"/>
    <w:p w14:paraId="4A115EF4" w14:textId="7AB8091D" w:rsidR="001D55DC" w:rsidRPr="001D55DC" w:rsidRDefault="00D23D8D" w:rsidP="00D23D8D">
      <w:pPr>
        <w:pStyle w:val="2"/>
      </w:pPr>
      <w:bookmarkStart w:id="176" w:name="_Toc75939870"/>
      <w:r>
        <w:t xml:space="preserve">4.3 </w:t>
      </w:r>
      <w:r w:rsidRPr="00D23D8D">
        <w:t>Methodology</w:t>
      </w:r>
      <w:bookmarkEnd w:id="176"/>
    </w:p>
    <w:p w14:paraId="71B70448" w14:textId="15B397E2" w:rsidR="007654CA" w:rsidRDefault="007654CA" w:rsidP="007654CA">
      <w:r>
        <w:t xml:space="preserve">The soil moisture blending schemes used in this </w:t>
      </w:r>
      <w:r w:rsidR="005470C5">
        <w:t xml:space="preserve">chapter were </w:t>
      </w:r>
      <w:r>
        <w:t xml:space="preserve">introduced by </w:t>
      </w:r>
      <w:r w:rsidRPr="00314187">
        <w:t>Yilmaz et al.</w:t>
      </w:r>
      <w:r w:rsidR="00105867">
        <w:t xml:space="preserve"> </w:t>
      </w:r>
      <w:r w:rsidR="00105867">
        <w:fldChar w:fldCharType="begin"/>
      </w:r>
      <w:r w:rsidR="006B2ACE">
        <w:instrText xml:space="preserve"> ADDIN ZOTERO_ITEM CSL_CITATION {"citationID":"AIRlu7wM","properties":{"formattedCitation":"(Yilmaz et al., 2012)","plainCitation":"(Yilmaz et al., 2012)","dontUpdate":true,"noteIndex":0},"citationItems":[{"id":183,"uris":["http://zotero.org/users/7782726/items/EUUL8YJ2"],"uri":["http://zotero.org/users/7782726/items/EUUL8YJ2"],"itemData":{"id":183,"type":"article-journal","container-title":"Water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6B2ACE">
        <w:rPr>
          <w:rFonts w:hint="eastAsia"/>
        </w:rPr>
        <w:instrText>‐</w:instrText>
      </w:r>
      <w:r w:rsidR="006B2ACE">
        <w:instrText>and model</w:instrText>
      </w:r>
      <w:r w:rsidR="006B2ACE">
        <w:rPr>
          <w:rFonts w:hint="eastAsia"/>
        </w:rPr>
        <w:instrText>‐</w:instrText>
      </w:r>
      <w:r w:rsidR="006B2ACE">
        <w:instrText xml:space="preserve">based soil moisture products","volume":"48","author":[{"family":"Yilmaz","given":"MUSTAFA TUĞRUL"},{"family":"Crow","given":"W. T."},{"family":"Anderson","given":"Martha C."},{"family":"Hain","given":"Chris"}],"issued":{"date-parts":[["2012"]]}}}],"schema":"https://github.com/citation-style-language/schema/raw/master/csl-citation.json"} </w:instrText>
      </w:r>
      <w:r w:rsidR="00105867">
        <w:fldChar w:fldCharType="separate"/>
      </w:r>
      <w:r w:rsidR="00105867" w:rsidRPr="00105867">
        <w:t>(2012)</w:t>
      </w:r>
      <w:r w:rsidR="00105867">
        <w:fldChar w:fldCharType="end"/>
      </w:r>
      <w:r>
        <w:t xml:space="preserve">. Triple Colocation (TC) is used to estimate the error variances of parent products, including </w:t>
      </w:r>
      <w:r>
        <w:lastRenderedPageBreak/>
        <w:t>t</w:t>
      </w:r>
      <w:r w:rsidRPr="00662261">
        <w:t>he re-gridded Oklahoma Mesonet soil moisture measurements</w:t>
      </w:r>
      <w:r>
        <w:t xml:space="preserve"> (Mesonet), </w:t>
      </w:r>
      <w:r w:rsidRPr="00662261">
        <w:t>the soil moisture simulations of NLDAS-2 Noah model</w:t>
      </w:r>
      <w:r>
        <w:t xml:space="preserve"> (Noah), and the SMAP Level-3 soil moisture product (SMAP L3). Least square weighting (LSW) is used to merge these products. The merged product is named the University of Oklahoma </w:t>
      </w:r>
      <w:r w:rsidRPr="00664049">
        <w:t>Multi-Sensor Soil Moisture</w:t>
      </w:r>
      <w:r>
        <w:t xml:space="preserve"> (OU-MSSM). We also </w:t>
      </w:r>
      <w:r w:rsidRPr="00607464">
        <w:t>compare the</w:t>
      </w:r>
      <w:r>
        <w:t xml:space="preserve"> </w:t>
      </w:r>
      <w:r w:rsidRPr="00607464">
        <w:t xml:space="preserve">OU-MSSM with </w:t>
      </w:r>
      <w:r>
        <w:t xml:space="preserve">the </w:t>
      </w:r>
      <w:r w:rsidRPr="00607464">
        <w:t xml:space="preserve">equal weights merging product (AVE) and </w:t>
      </w:r>
      <w:r>
        <w:t xml:space="preserve">the </w:t>
      </w:r>
      <w:r w:rsidRPr="00607464">
        <w:t xml:space="preserve">SMAP L4 soil moisture product using the </w:t>
      </w:r>
      <w:r>
        <w:t>a</w:t>
      </w:r>
      <w:r w:rsidRPr="00607464">
        <w:t xml:space="preserve">utomated </w:t>
      </w:r>
      <w:r>
        <w:t>s</w:t>
      </w:r>
      <w:r w:rsidRPr="00607464">
        <w:t xml:space="preserve">oil </w:t>
      </w:r>
      <w:r>
        <w:t>m</w:t>
      </w:r>
      <w:r w:rsidRPr="00607464">
        <w:t xml:space="preserve">oisture </w:t>
      </w:r>
      <w:r>
        <w:t>m</w:t>
      </w:r>
      <w:r w:rsidRPr="00607464">
        <w:t xml:space="preserve">apping </w:t>
      </w:r>
      <w:r>
        <w:t>s</w:t>
      </w:r>
      <w:r w:rsidRPr="00607464">
        <w:t>ystem as benchmark.</w:t>
      </w:r>
    </w:p>
    <w:p w14:paraId="2F84C6AA" w14:textId="77777777" w:rsidR="005470C5" w:rsidRDefault="005470C5" w:rsidP="007654CA"/>
    <w:p w14:paraId="0AB98046" w14:textId="77ED4400" w:rsidR="003E0A46" w:rsidRDefault="003E0A46" w:rsidP="003E0A46">
      <w:pPr>
        <w:pStyle w:val="3"/>
      </w:pPr>
      <w:bookmarkStart w:id="177" w:name="_Toc75939871"/>
      <w:r>
        <w:t xml:space="preserve">4.3.1 </w:t>
      </w:r>
      <w:r w:rsidRPr="003E0A46">
        <w:t>Triple Collocation</w:t>
      </w:r>
      <w:bookmarkEnd w:id="177"/>
    </w:p>
    <w:p w14:paraId="251B552D" w14:textId="2CDFA027" w:rsidR="00A32281" w:rsidRPr="00FC28DC" w:rsidRDefault="00A32281" w:rsidP="00A32281">
      <w:r w:rsidRPr="00FC28DC">
        <w:t>Triple collocation (TC) analysis is a method for estimating the random error variances of three spatially and temporally collocated measurement systems of the same geophysical variable without treating any one system as perfectly observed “truth”</w:t>
      </w:r>
      <w:r w:rsidR="00105867">
        <w:t xml:space="preserve"> </w:t>
      </w:r>
      <w:r>
        <w:fldChar w:fldCharType="begin"/>
      </w:r>
      <w:r w:rsidR="00B26FCC">
        <w:instrText xml:space="preserve"> ADDIN ZOTERO_ITEM CSL_CITATION {"citationID":"lrEmIZgW","properties":{"formattedCitation":"(Stoffelen, 1998)","plainCitation":"(Stoffelen, 1998)","noteIndex":0},"citationItems":[{"id":157,"uris":["http://zotero.org/users/7782726/items/E4RN6USV"],"uri":["http://zotero.org/users/7782726/items/E4RN6USV"],"itemData":{"id":157,"type":"article-journal","container-title":"Journal of geophysical research: oceans","issue":"C4","note":"ISBN: 0148-0227\npublisher: Wiley Online Library","page":"7755-7766","title":"T</w:instrText>
      </w:r>
      <w:r w:rsidR="00B26FCC">
        <w:rPr>
          <w:rFonts w:hint="eastAsia"/>
        </w:rPr>
        <w:instrText>oward the true near</w:instrText>
      </w:r>
      <w:r w:rsidR="00B26FCC">
        <w:rPr>
          <w:rFonts w:hint="eastAsia"/>
        </w:rPr>
        <w:instrText>‐</w:instrText>
      </w:r>
      <w:r w:rsidR="00B26FCC">
        <w:rPr>
          <w:rFonts w:hint="eastAsia"/>
        </w:rPr>
        <w:instrText>surface wind speed: Error modeling and calibration using triple collocation","volume":"103","author":[{"family":"Stoffelen","given":"Ad"}],"issued":{"date-parts":[["1998"]]}}}],"schema":"https://github.com/citation-style-language/schem</w:instrText>
      </w:r>
      <w:r w:rsidR="00B26FCC">
        <w:instrText xml:space="preserve">a/raw/master/csl-citation.json"} </w:instrText>
      </w:r>
      <w:r>
        <w:fldChar w:fldCharType="separate"/>
      </w:r>
      <w:r w:rsidR="00B26FCC" w:rsidRPr="00B26FCC">
        <w:t>(Stoffelen, 1998)</w:t>
      </w:r>
      <w:r>
        <w:fldChar w:fldCharType="end"/>
      </w:r>
      <w:r w:rsidRPr="00FC28DC">
        <w:t xml:space="preserve">. A few assumptions are necessary for the TC method: (1) linearity between the true soil moisture signal and the observations, (2) signal and error stationarity, i.e., their mean values and variances are assumed to remain constant over time, (3) error orthogonality, i.e., the errors are independent from the true soil moisture signal, (4) the errors of three independent products should be independent or unrelated which means they must have a zero cross-correlation, and (5) the expectation of error is treated as zero. </w:t>
      </w:r>
      <w:r>
        <w:t>Even though some</w:t>
      </w:r>
      <w:r w:rsidRPr="009607BC">
        <w:t xml:space="preserve"> studies </w:t>
      </w:r>
      <w:r w:rsidRPr="00AE4575">
        <w:t>indicate that some of the assumptions are not always met</w:t>
      </w:r>
      <w:r>
        <w:t xml:space="preserve">, no proposed alternatives showed </w:t>
      </w:r>
      <w:r w:rsidRPr="008C7024">
        <w:t>an enhanced accuracy or reliability of the error estimates</w:t>
      </w:r>
      <w:r>
        <w:t xml:space="preserve"> </w:t>
      </w:r>
      <w:r>
        <w:fldChar w:fldCharType="begin"/>
      </w:r>
      <w:r w:rsidR="00B26FCC">
        <w:instrText xml:space="preserve"> ADDIN ZOTERO_ITEM CSL_CITATION {"citationID":"ta3t4nKH","properties":{"formattedCitation":"(Gruber et al., 2016)","plainCitation":"(Gruber et al., 2016)","noteIndex":0},"citationItems":[{"id":175,"uris":["http://zotero.org/users/7782726/items/JYZMSUP3"],"uri":["http://zotero.org/users/7782726/items/JYZMSUP3"],"itemData":{"id":175,"type":"article-journal","container-title":"International Journal of Applied Earth Observation and Geoinformation","note":"ISBN: 0303-2434\npublisher: Elsevier","page":"200-211","title":"Recent advances in (soil moisture) triple collocation analysis","volume":"45","author":[{"family":"Gruber","given":"Alexander"},{"family":"Su","given":"C.-H."},{"family":"Zwieback","given":"Simon"},{"family":"Crow","given":"Wade"},{"family":"Dorigo","given":"Wouter"},{"family":"Wagner","given":"Wolfgang"}],"issued":{"date-parts":[["2016"]]}}}],"schema":"https://github.com/citation-style-language/schema/raw/master/csl-citation.json"} </w:instrText>
      </w:r>
      <w:r>
        <w:fldChar w:fldCharType="separate"/>
      </w:r>
      <w:r w:rsidR="00B26FCC" w:rsidRPr="00B26FCC">
        <w:t>(Gruber et al., 2016)</w:t>
      </w:r>
      <w:r>
        <w:fldChar w:fldCharType="end"/>
      </w:r>
      <w:r w:rsidRPr="008C7024">
        <w:t>.</w:t>
      </w:r>
      <w:r>
        <w:t xml:space="preserve"> For example, the difference between </w:t>
      </w:r>
      <w:r w:rsidRPr="0034038C">
        <w:t xml:space="preserve">the climatology of the three data sets </w:t>
      </w:r>
      <w:r>
        <w:t xml:space="preserve">used in TC will led to the </w:t>
      </w:r>
      <w:r w:rsidRPr="0034038C">
        <w:t>violation of signal stationarity</w:t>
      </w:r>
      <w:r>
        <w:t>.</w:t>
      </w:r>
      <w:r w:rsidRPr="0034038C">
        <w:t xml:space="preserve"> </w:t>
      </w:r>
      <w:r>
        <w:t xml:space="preserve">However, the adaptation proposed by many studies through removing the climatology of each data set individually </w:t>
      </w:r>
      <w:r w:rsidRPr="001341B1">
        <w:t>is susceptible to estimation errors</w:t>
      </w:r>
      <w:r>
        <w:t xml:space="preserve"> of the climatology </w:t>
      </w:r>
      <w:r>
        <w:fldChar w:fldCharType="begin"/>
      </w:r>
      <w:r w:rsidR="00B26FCC">
        <w:instrText xml:space="preserve"> ADDIN ZOTERO_ITEM CSL_CITATION {"citationID":"e2DdweBm","properties":{"formattedCitation":"(Crow et al., 2012; Draper et al., 2013; Gruber et al., 2016)","plainCitation":"(Crow et al., 2012; Draper et al., 2013; Gruber et al., 2016)","noteIndex":0},"citationItems":[{"id":56,"uris":["http://zotero.org/users/7782726/items/IRNEVBSW"],"uri":["http://zotero.org/users/7782726/items/IRNEVBSW"],"itemData":{"id":56,"type":"article-journal","abstract":"The contrast between the point-scale nature of current ground-based soil moisture instrumentation and the ground resolution (typically &gt;102 km2) of satellites used to retrieve soil moisture poses a significant challenge for the validation of data products from current and upcoming soil moisture satellite missions. Given typical levels of observed spatial variability in soil moisture fields, this mismatch confounds mission validation goals by introducing significant sampling uncertainty in footprint-scale soil moisture estimates obtained from sparse ground-based observations. During validation activities based on comparisons between ground observations and satellite retrievals, this sampling error can be misattributed to retrieval uncertainty and spuriously degrade the perceived accuracy of satellite soil moisture products. This review paper describes the magnitude of the soil moisture upscaling problem and measurement density requirements for ground-based soil moisture networks. Since many large-scale networks do not meet these requirements, it also summarizes a number of existing soil moisture upscaling strategies which may reduce the detrimental impact of spatial sampling errors on the reliability of satellite soil moisture validation using spatially sparse ground-based observations.","container-title":"Reviews of Geophysics","DOI":"https://doi.org/10.1029/2011RG000372","ISSN":"1944-9208","issue":"2","language":"en","note":"_eprint: https://agupubs.onlinelibrary.wiley.com/doi/pdf/10.1029/2011RG000372","source":"Wiley Online Library","title":"Upscaling sparse ground-based soil moisture observations for the validation of coarse-resolution satellite soil moisture products","URL":"https://agupubs.onlinelibrary.wiley.com/doi/abs/10.1029/2011RG000372","volume":"50","author":[{"family":"Crow","given":"Wade T."},{"family":"Berg","given":"Aaron A."},{"family":"Cosh","given":"Michael H."},{"family":"Loew","given":"Alexander"},{"family":"Mohanty","given":"Binayak P."},{"family":"Panciera","given":"Rocco"},{"family":"Rosnay","given":"Patricia","dropping-particle":"de"},{"family":"Ryu","given":"Dongryeol"},{"family":"Walker","given":"Jeffrey P."}],"accessed":{"date-parts":[["2021",5,25]]},"issued":{"date-parts":[["2012"]]}}},{"id":175,"uris":["http://zotero.org/users/7782726/items/JYZMSUP3"],"uri":["http://zotero.org/users/7782726/items/JYZMSUP3"],"itemData":{"id":175,"type":"article-journal","container-title":"International Journal of Applied Earth Observation and Geoinformation","note":"ISBN: 0303-2434\npublisher: Elsevier","page":"200-211","title":"Recent advances in (soil moisture) triple collocation analysis","volume":"45","author":[{"family":"Gruber","given":"Alexander"},{"family":"Su","given":"C.-H."},{"family":"Zwieback","given":"Simon"},{"family":"Crow","given":"Wade"},{"family":"Dorigo","given":"Wouter"},{"family":"Wagner","given":"Wolfgang"}],"issued":{"date-parts":[["2016"]]}}},{"id":262,"uris":["http://zotero.org/users/7782726/items/V9WH2CBN"],"uri":["http://zotero.org/users/7782726/items/V9WH2CBN"],"itemData":{"id":262,"type":"article-journal","container-title":"Remote Sensing of Environment","note":"ISBN: 0034-4257\npublisher: Elsevier","page":"288-298","title":"Estimating root mean square errors in remotely sensed soil moisture over continental scale domains","volume":"137","author":[{"family":"Draper","given":"Clara"},{"family":"Reichle","given":"Rolf"},{"family":"Jeu","given":"Richard","non-dropping-particle":"de"},{"family":"Naeimi","given":"Vahid"},{"family":"Parinussa","given":"Robert"},{"family":"Wagner","given":"Wolfgang"}],"issued":{"date-parts":[["2013"]]}}}],"schema":"https://github.com/citation-style-language/schema/raw/master/csl-citation.json"} </w:instrText>
      </w:r>
      <w:r>
        <w:fldChar w:fldCharType="separate"/>
      </w:r>
      <w:r w:rsidR="00B26FCC" w:rsidRPr="00B26FCC">
        <w:t>(Crow et al., 2012; Draper et al., 2013; Gruber et al., 2016)</w:t>
      </w:r>
      <w:r>
        <w:fldChar w:fldCharType="end"/>
      </w:r>
      <w:r>
        <w:t xml:space="preserve">. The error stationarity of large data sets covering several years limits the representativeness of the </w:t>
      </w:r>
      <w:r>
        <w:lastRenderedPageBreak/>
        <w:t xml:space="preserve">estimated average random error variance for subset time periods such as within different seasons. Therefore, Lowe and Schlenz </w:t>
      </w:r>
      <w:r>
        <w:fldChar w:fldCharType="begin"/>
      </w:r>
      <w:r w:rsidR="00B26FCC">
        <w:instrText xml:space="preserve"> ADDIN ZOTERO_ITEM CSL_CITATION {"citationID":"ImssZDu2","properties":{"formattedCitation":"(Loew &amp; Schlenz, 2011)","plainCitation":"(Loew &amp; Schlenz, 2011)","noteIndex":0},"citationItems":[{"id":263,"uris":["http://zotero.org/users/7782726/items/SUQEJ2HP"],"uri":["http://zotero.org/users/7782726/items/SUQEJ2HP"],"itemData":{"id":263,"type":"article-journal","container-title":"Hydrology and Earth System Sciences","issue":"1","note":"ISBN: 1027-5606\npublisher: Copernicus GmbH","page":"75-90","title":"A dynamic approach for evaluating coarse scale satellite soil moisture products","volume":"15","author":[{"family":"Loew","given":"Alexander"},{"family":"Schlenz","given":"Florian"}],"issued":{"date-parts":[["2011"]]}}}],"schema":"https://github.com/citation-style-language/schema/raw/master/csl-citation.json"} </w:instrText>
      </w:r>
      <w:r>
        <w:fldChar w:fldCharType="separate"/>
      </w:r>
      <w:r w:rsidR="00B26FCC" w:rsidRPr="00B26FCC">
        <w:t>(Loew &amp; Schlenz, 2011)</w:t>
      </w:r>
      <w:r>
        <w:fldChar w:fldCharType="end"/>
      </w:r>
      <w:r>
        <w:t xml:space="preserve"> proposed a dynamic TC approach by applying TC analysis within 30-day windows. However, the extremely low sampling density in the time window leads to very low precision estimates. Therefore, the TC analysis in our study </w:t>
      </w:r>
      <w:r w:rsidRPr="00BE0BD1">
        <w:t>rel</w:t>
      </w:r>
      <w:r w:rsidR="005470C5">
        <w:t>ies</w:t>
      </w:r>
      <w:r w:rsidRPr="00BE0BD1">
        <w:t xml:space="preserve"> on annual error variance estimates based on a large sampling density</w:t>
      </w:r>
      <w:r>
        <w:t xml:space="preserve">. </w:t>
      </w:r>
      <w:r w:rsidRPr="00FC28DC">
        <w:t xml:space="preserve">Yilmaz and Crow </w:t>
      </w:r>
      <w:r>
        <w:fldChar w:fldCharType="begin"/>
      </w:r>
      <w:r w:rsidR="00B26FCC">
        <w:instrText xml:space="preserve"> ADDIN ZOTERO_ITEM CSL_CITATION {"citationID":"HF0bbS9x","properties":{"formattedCitation":"(Yilmaz &amp; Crow, 2014)","plainCitation":"(Yilmaz &amp; Crow, 2014)","noteIndex":0},"citationItems":[{"id":172,"uris":["http://zotero.org/users/7782726/items/ZL5J3KE9"],"uri":["http://zotero.org/users/7782726/items/ZL5J3KE9"],"itemData":{"id":172,"type":"article-journal","container-title":"Journal of hydrometeorology","issue":"3","note":"ISBN: 1525-755X","page":"1293-1302","title":"Evaluation of assumptions in soil moisture triple collocation analysis","volume":"15","author":[{"family":"Yilmaz","given":"M. Tugrul"},{"family":"Crow","given":"Wade T."}],"issued":{"date-parts":[["2014"]]}}}],"schema":"https://github.com/citation-style-language/schema/raw/master/csl-citation.json"} </w:instrText>
      </w:r>
      <w:r>
        <w:fldChar w:fldCharType="separate"/>
      </w:r>
      <w:r w:rsidR="00B26FCC" w:rsidRPr="00B26FCC">
        <w:t>(Yilmaz &amp; Crow, 2014)</w:t>
      </w:r>
      <w:r>
        <w:fldChar w:fldCharType="end"/>
      </w:r>
      <w:r w:rsidRPr="00FC28DC">
        <w:t xml:space="preserve"> conducted experiments on the TC errors due to the relevance of three products, and the results revealed that the more independent </w:t>
      </w:r>
      <w:r>
        <w:t>the products</w:t>
      </w:r>
      <w:r w:rsidRPr="00FC28DC">
        <w:t xml:space="preserve"> are, the less TC induced error there will be. It is essential to consider the relevance of the inputs in order to make the TC method more reliable </w:t>
      </w:r>
      <w:r w:rsidRPr="00FC28DC">
        <w:fldChar w:fldCharType="begin"/>
      </w:r>
      <w:r w:rsidR="00B26FCC">
        <w:instrText xml:space="preserve"> ADDIN ZOTERO_ITEM CSL_CITATION {"citationID":"d8MyyiBJ","properties":{"formattedCitation":"(Li et al., 2018)","plainCitation":"(Li et al., 2018)","noteIndex":0},"citationItems":[{"id":173,"uris":["http://zotero.org/users/7782726/items/2D6XEVQN"],"uri":["http://zotero.org/users/7782726/items/2D6XEVQN"],"itemData":{"id":173,"type":"article-journal","container-title":"Journal of Hydrology","note":"ISBN: 0022-1694\npublisher: Elsevier","page":"71-83","title":"Cross-evaluation of ground-based, multi-satellite and reanalysis precipitation products: Applicability of the Triple Collocation method across Mainland China","volume":"562","author":[{"family":"Li","given":"Changming"},{"family":"Tang","given":"Guoqiang"},{"family":"Hong","given":"Yang"}],"issued":{"date-parts":[["2018"]]}}}],"schema":"https://github.com/citation-style-language/schema/raw/master/csl-citation.json"} </w:instrText>
      </w:r>
      <w:r w:rsidRPr="00FC28DC">
        <w:fldChar w:fldCharType="separate"/>
      </w:r>
      <w:r w:rsidR="00B26FCC" w:rsidRPr="00B26FCC">
        <w:t>(Li et al., 2018)</w:t>
      </w:r>
      <w:r w:rsidRPr="00FC28DC">
        <w:fldChar w:fldCharType="end"/>
      </w:r>
      <w:r w:rsidRPr="00FC28DC">
        <w:t>. The three selected soil products selected, i.e.</w:t>
      </w:r>
      <w:r>
        <w:t>,</w:t>
      </w:r>
      <w:r w:rsidRPr="00FC28DC">
        <w:t xml:space="preserve"> ground based (Mesonet), model based (Noah), and </w:t>
      </w:r>
      <w:r w:rsidR="00DE2E4A" w:rsidRPr="00FC28DC">
        <w:t>satellite based</w:t>
      </w:r>
      <w:r w:rsidRPr="00FC28DC">
        <w:t xml:space="preserve"> (SMAP</w:t>
      </w:r>
      <w:r>
        <w:t xml:space="preserve"> L3</w:t>
      </w:r>
      <w:r w:rsidRPr="00FC28DC">
        <w:t>)</w:t>
      </w:r>
      <w:r>
        <w:t>,</w:t>
      </w:r>
      <w:r w:rsidRPr="00FC28DC">
        <w:t xml:space="preserve"> all meet the above criteria.</w:t>
      </w:r>
    </w:p>
    <w:p w14:paraId="249F5FCA" w14:textId="6704C16E" w:rsidR="00A32281" w:rsidRDefault="00A32281" w:rsidP="00A32281">
      <w:pPr>
        <w:rPr>
          <w:spacing w:val="-2"/>
        </w:rPr>
      </w:pPr>
      <w:r w:rsidRPr="00B20A00">
        <w:rPr>
          <w:spacing w:val="-2"/>
        </w:rPr>
        <w:t>The TC method treat</w:t>
      </w:r>
      <w:r>
        <w:rPr>
          <w:spacing w:val="-2"/>
        </w:rPr>
        <w:t>s all</w:t>
      </w:r>
      <w:r w:rsidRPr="00B20A00">
        <w:rPr>
          <w:spacing w:val="-2"/>
        </w:rPr>
        <w:t xml:space="preserve"> three independent products as equally important, and thus no </w:t>
      </w:r>
      <w:r>
        <w:rPr>
          <w:spacing w:val="-2"/>
        </w:rPr>
        <w:t>preference or bias is introduced for any one approach</w:t>
      </w:r>
      <w:r w:rsidRPr="00B20A00">
        <w:rPr>
          <w:spacing w:val="-2"/>
        </w:rPr>
        <w:t>. Equation (</w:t>
      </w:r>
      <w:r w:rsidR="00C32ACD">
        <w:rPr>
          <w:spacing w:val="-2"/>
        </w:rPr>
        <w:t>4.</w:t>
      </w:r>
      <w:r>
        <w:rPr>
          <w:spacing w:val="-2"/>
        </w:rPr>
        <w:t>1</w:t>
      </w:r>
      <w:r w:rsidRPr="00B20A00">
        <w:rPr>
          <w:spacing w:val="-2"/>
        </w:rPr>
        <w:t xml:space="preserve">) illustrates </w:t>
      </w:r>
      <w:r>
        <w:rPr>
          <w:spacing w:val="-2"/>
        </w:rPr>
        <w:t>a</w:t>
      </w:r>
      <w:r w:rsidRPr="00B20A00">
        <w:rPr>
          <w:spacing w:val="-2"/>
        </w:rPr>
        <w:t xml:space="preserve"> </w:t>
      </w:r>
      <w:r>
        <w:rPr>
          <w:spacing w:val="-2"/>
        </w:rPr>
        <w:t>standard form</w:t>
      </w:r>
      <w:r w:rsidRPr="00B20A00">
        <w:rPr>
          <w:spacing w:val="-2"/>
        </w:rPr>
        <w:t xml:space="preserve"> of the TC method</w:t>
      </w:r>
      <w:r>
        <w:rPr>
          <w:noProof/>
          <w:spacing w:val="-2"/>
        </w:rPr>
        <w:t xml:space="preserve"> </w:t>
      </w:r>
      <w:r>
        <w:rPr>
          <w:noProof/>
          <w:spacing w:val="-2"/>
        </w:rPr>
        <w:fldChar w:fldCharType="begin"/>
      </w:r>
      <w:r w:rsidR="00B26FCC">
        <w:rPr>
          <w:noProof/>
          <w:spacing w:val="-2"/>
        </w:rPr>
        <w:instrText xml:space="preserve"> ADDIN ZOTERO_ITEM CSL_CITATION {"citationID":"rd2g28wI","properties":{"formattedCitation":"(Zwieback et al., 2012)","plainCitation":"(Zwieback et al., 2012)","noteIndex":0},"citationItems":[{"id":174,"uris":["http://zotero.org/users/7782726/items/35VJI5QP"],"uri":["http://zotero.org/users/7782726/items/35VJI5QP"],"itemData":{"id":174,"type":"article-journal","container-title":"Nonlinear Processes in Geophysics","issue":"1","note":"ISBN: 1023-5809\npublisher: Copernicus GmbH","page":"69-80","title":"Structural and statistical properties of the collocation technique for error characterization","volume":"19","author":[{"family":"Zwieback","given":"Simon"},{"family":"Scipal","given":"Klaus"},{"family":"Dorigo","given":"Wouter"},{"family":"Wagner","given":"Wolfgang"}],"issued":{"date-parts":[["2012"]]}}}],"schema":"https://github.com/citation-style-language/schema/raw/master/csl-citation.json"} </w:instrText>
      </w:r>
      <w:r>
        <w:rPr>
          <w:noProof/>
          <w:spacing w:val="-2"/>
        </w:rPr>
        <w:fldChar w:fldCharType="separate"/>
      </w:r>
      <w:r w:rsidR="00B26FCC" w:rsidRPr="00B26FCC">
        <w:t>(Zwieback et al., 2012)</w:t>
      </w:r>
      <w:r>
        <w:rPr>
          <w:noProof/>
          <w:spacing w:val="-2"/>
        </w:rPr>
        <w:fldChar w:fldCharType="end"/>
      </w:r>
      <w:r w:rsidRPr="00B20A00">
        <w:rPr>
          <w:spacing w:val="-2"/>
        </w:rPr>
        <w:t>:</w:t>
      </w:r>
    </w:p>
    <w:p w14:paraId="112A83F4" w14:textId="77777777" w:rsidR="00A32281" w:rsidRPr="00B20A00" w:rsidRDefault="00A32281" w:rsidP="00A32281">
      <w:pPr>
        <w:rPr>
          <w:spacing w:val="-2"/>
        </w:rPr>
      </w:pPr>
    </w:p>
    <w:tbl>
      <w:tblPr>
        <w:tblW w:w="0" w:type="auto"/>
        <w:jc w:val="center"/>
        <w:tblLook w:val="04A0" w:firstRow="1" w:lastRow="0" w:firstColumn="1" w:lastColumn="0" w:noHBand="0" w:noVBand="1"/>
      </w:tblPr>
      <w:tblGrid>
        <w:gridCol w:w="562"/>
        <w:gridCol w:w="7797"/>
        <w:gridCol w:w="651"/>
      </w:tblGrid>
      <w:tr w:rsidR="00A32281" w:rsidRPr="00B20A00" w14:paraId="1133CD29" w14:textId="77777777" w:rsidTr="00193B0A">
        <w:trPr>
          <w:jc w:val="center"/>
        </w:trPr>
        <w:tc>
          <w:tcPr>
            <w:tcW w:w="562" w:type="dxa"/>
            <w:shd w:val="clear" w:color="auto" w:fill="auto"/>
            <w:vAlign w:val="center"/>
          </w:tcPr>
          <w:p w14:paraId="2714EAA1" w14:textId="77777777" w:rsidR="00A32281" w:rsidRPr="00B20A00" w:rsidRDefault="00A32281" w:rsidP="00A32281">
            <w:pPr>
              <w:rPr>
                <w:spacing w:val="-2"/>
              </w:rPr>
            </w:pPr>
          </w:p>
        </w:tc>
        <w:tc>
          <w:tcPr>
            <w:tcW w:w="7797" w:type="dxa"/>
            <w:shd w:val="clear" w:color="auto" w:fill="auto"/>
            <w:vAlign w:val="center"/>
          </w:tcPr>
          <w:p w14:paraId="6879E4CC" w14:textId="1A3A4539" w:rsidR="00A32281" w:rsidRPr="003E50C8" w:rsidRDefault="00143C6C" w:rsidP="00C32ACD">
            <w:pPr>
              <w:jc w:val="center"/>
              <w:rPr>
                <w:spacing w:val="-2"/>
              </w:rPr>
            </w:pPr>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i</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i</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b</m:t>
                  </m:r>
                </m:e>
                <m:sub>
                  <m:r>
                    <w:rPr>
                      <w:rFonts w:ascii="Cambria Math" w:hAnsi="Cambria Math"/>
                      <w:lang w:eastAsia="zh-CN"/>
                    </w:rPr>
                    <m:t>i</m:t>
                  </m:r>
                </m:sub>
              </m:sSub>
              <m:r>
                <m:rPr>
                  <m:sty m:val="p"/>
                </m:rPr>
                <w:rPr>
                  <w:rFonts w:ascii="Cambria Math" w:hAnsi="Cambria Math"/>
                  <w:lang w:eastAsia="zh-CN"/>
                </w:rPr>
                <m:t>T</m:t>
              </m:r>
              <m:r>
                <w:rPr>
                  <w:rFonts w:ascii="Cambria Math" w:hAnsi="Cambria Math"/>
                  <w:lang w:eastAsia="zh-CN"/>
                </w:rPr>
                <m:t>+</m:t>
              </m:r>
              <m:sSub>
                <m:sSubPr>
                  <m:ctrlPr>
                    <w:rPr>
                      <w:rFonts w:ascii="Cambria Math" w:hAnsi="Cambria Math"/>
                      <w:i/>
                      <w:lang w:eastAsia="zh-CN"/>
                    </w:rPr>
                  </m:ctrlPr>
                </m:sSubPr>
                <m:e>
                  <m:r>
                    <m:rPr>
                      <m:sty m:val="p"/>
                    </m:rPr>
                    <w:rPr>
                      <w:rFonts w:ascii="Cambria Math" w:hAnsi="Cambria Math"/>
                      <w:lang w:eastAsia="zh-CN"/>
                    </w:rPr>
                    <m:t>ε</m:t>
                  </m:r>
                </m:e>
                <m:sub>
                  <m:r>
                    <w:rPr>
                      <w:rFonts w:ascii="Cambria Math" w:hAnsi="Cambria Math"/>
                      <w:lang w:eastAsia="zh-CN"/>
                    </w:rPr>
                    <m:t>i</m:t>
                  </m:r>
                </m:sub>
              </m:sSub>
            </m:oMath>
            <w:r w:rsidR="00C32ACD">
              <w:rPr>
                <w:lang w:eastAsia="zh-CN"/>
              </w:rPr>
              <w:t xml:space="preserve">                                              (4.1)</w:t>
            </w:r>
          </w:p>
        </w:tc>
        <w:tc>
          <w:tcPr>
            <w:tcW w:w="651" w:type="dxa"/>
            <w:shd w:val="clear" w:color="auto" w:fill="auto"/>
            <w:vAlign w:val="center"/>
          </w:tcPr>
          <w:p w14:paraId="274B5CCC" w14:textId="4AF1BE99" w:rsidR="00A32281" w:rsidRPr="00B20A00" w:rsidRDefault="00A32281" w:rsidP="00193B0A">
            <w:pPr>
              <w:ind w:firstLine="0"/>
              <w:rPr>
                <w:spacing w:val="-2"/>
              </w:rPr>
            </w:pPr>
          </w:p>
        </w:tc>
      </w:tr>
      <w:tr w:rsidR="00A32281" w:rsidRPr="00B20A00" w14:paraId="0CF13BF4" w14:textId="77777777" w:rsidTr="00193B0A">
        <w:trPr>
          <w:jc w:val="center"/>
        </w:trPr>
        <w:tc>
          <w:tcPr>
            <w:tcW w:w="562" w:type="dxa"/>
            <w:shd w:val="clear" w:color="auto" w:fill="auto"/>
            <w:vAlign w:val="center"/>
          </w:tcPr>
          <w:p w14:paraId="0B526993" w14:textId="77777777" w:rsidR="00A32281" w:rsidRPr="00B20A00" w:rsidRDefault="00A32281" w:rsidP="00A32281">
            <w:pPr>
              <w:rPr>
                <w:spacing w:val="-2"/>
              </w:rPr>
            </w:pPr>
          </w:p>
        </w:tc>
        <w:tc>
          <w:tcPr>
            <w:tcW w:w="7797" w:type="dxa"/>
            <w:shd w:val="clear" w:color="auto" w:fill="auto"/>
            <w:vAlign w:val="center"/>
          </w:tcPr>
          <w:p w14:paraId="73A8F169" w14:textId="77777777" w:rsidR="00A32281" w:rsidRDefault="00A32281" w:rsidP="00A32281">
            <w:pPr>
              <w:rPr>
                <w:lang w:eastAsia="zh-CN"/>
              </w:rPr>
            </w:pPr>
          </w:p>
        </w:tc>
        <w:tc>
          <w:tcPr>
            <w:tcW w:w="651" w:type="dxa"/>
            <w:shd w:val="clear" w:color="auto" w:fill="auto"/>
            <w:vAlign w:val="center"/>
          </w:tcPr>
          <w:p w14:paraId="33422E26" w14:textId="77777777" w:rsidR="00A32281" w:rsidRPr="00B20A00" w:rsidRDefault="00A32281" w:rsidP="00A32281">
            <w:pPr>
              <w:rPr>
                <w:spacing w:val="-2"/>
              </w:rPr>
            </w:pPr>
          </w:p>
        </w:tc>
      </w:tr>
    </w:tbl>
    <w:p w14:paraId="1D95B272" w14:textId="77777777" w:rsidR="00A32281" w:rsidRDefault="00A32281" w:rsidP="00A32281">
      <w:pPr>
        <w:rPr>
          <w:spacing w:val="-2"/>
        </w:rPr>
      </w:pPr>
      <w:r w:rsidRPr="00B20A00">
        <w:rPr>
          <w:spacing w:val="-2"/>
        </w:rPr>
        <w:t xml:space="preserve">Where </w:t>
      </w:r>
      <m:oMath>
        <m:sSub>
          <m:sSubPr>
            <m:ctrlPr>
              <w:rPr>
                <w:rFonts w:ascii="Cambria Math" w:hAnsi="Cambria Math"/>
                <w:i/>
              </w:rPr>
            </m:ctrlPr>
          </m:sSubPr>
          <m:e>
            <m:r>
              <w:rPr>
                <w:rFonts w:ascii="Cambria Math" w:hAnsi="Cambria Math"/>
              </w:rPr>
              <m:t>R</m:t>
            </m:r>
          </m:e>
          <m:sub>
            <m:r>
              <w:rPr>
                <w:rFonts w:ascii="Cambria Math" w:hAnsi="Cambria Math"/>
              </w:rPr>
              <m:t>i</m:t>
            </m:r>
          </m:sub>
        </m:sSub>
      </m:oMath>
      <w:r w:rsidRPr="00B20A00">
        <w:rPr>
          <w:spacing w:val="-2"/>
        </w:rPr>
        <w:t xml:space="preserve"> (i </w:t>
      </w:r>
      <m:oMath>
        <m:r>
          <w:rPr>
            <w:rFonts w:ascii="Cambria Math" w:hAnsi="Cambria Math"/>
          </w:rPr>
          <m:t>∈(X,Y,Z)</m:t>
        </m:r>
      </m:oMath>
      <w:r w:rsidRPr="00B20A00">
        <w:rPr>
          <w:spacing w:val="-2"/>
        </w:rPr>
        <w:t>)</w:t>
      </w:r>
      <w:r>
        <w:rPr>
          <w:spacing w:val="-2"/>
        </w:rPr>
        <w:t xml:space="preserve"> </w:t>
      </w:r>
      <w:r w:rsidRPr="00B20A00">
        <w:rPr>
          <w:spacing w:val="-2"/>
        </w:rPr>
        <w:t>indicates each of the three collocated soil moisture datasets X,</w:t>
      </w:r>
      <w:r>
        <w:rPr>
          <w:spacing w:val="-2"/>
        </w:rPr>
        <w:t xml:space="preserve"> </w:t>
      </w:r>
      <w:r w:rsidRPr="00B20A00">
        <w:rPr>
          <w:spacing w:val="-2"/>
        </w:rPr>
        <w:t xml:space="preserve">Y and Z, </w:t>
      </w:r>
      <m:oMath>
        <m:r>
          <m:rPr>
            <m:sty m:val="p"/>
          </m:rPr>
          <w:rPr>
            <w:rFonts w:ascii="Cambria Math" w:hAnsi="Cambria Math"/>
          </w:rPr>
          <m:t>T</m:t>
        </m:r>
      </m:oMath>
      <w:r w:rsidRPr="00B20A00">
        <w:rPr>
          <w:spacing w:val="-2"/>
        </w:rPr>
        <w:t xml:space="preserve"> is the “relative truth</w:t>
      </w:r>
      <w:r>
        <w:rPr>
          <w:spacing w:val="-2"/>
        </w:rPr>
        <w:t>,</w:t>
      </w:r>
      <w:r w:rsidRPr="00B20A00">
        <w:rPr>
          <w:spacing w:val="-2"/>
        </w:rPr>
        <w:t xml:space="preserve">” </w:t>
      </w:r>
      <m:oMath>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 xml:space="preserve"> b</m:t>
            </m:r>
          </m:e>
          <m:sub>
            <m:r>
              <w:rPr>
                <w:rFonts w:ascii="Cambria Math" w:hAnsi="Cambria Math"/>
              </w:rPr>
              <m:t>i</m:t>
            </m:r>
          </m:sub>
        </m:sSub>
        <m:r>
          <w:rPr>
            <w:rFonts w:ascii="Cambria Math" w:hAnsi="Cambria Math"/>
          </w:rPr>
          <m:t> </m:t>
        </m:r>
      </m:oMath>
      <w:r w:rsidRPr="00B20A00">
        <w:rPr>
          <w:spacing w:val="-2"/>
        </w:rPr>
        <w:t xml:space="preserve">are the weights and biases to adjust, and </w:t>
      </w:r>
      <m:oMath>
        <m:sSub>
          <m:sSubPr>
            <m:ctrlPr>
              <w:rPr>
                <w:rFonts w:ascii="Cambria Math" w:hAnsi="Cambria Math"/>
                <w:i/>
              </w:rPr>
            </m:ctrlPr>
          </m:sSubPr>
          <m:e>
            <m:r>
              <m:rPr>
                <m:sty m:val="p"/>
              </m:rPr>
              <w:rPr>
                <w:rFonts w:ascii="Cambria Math" w:hAnsi="Cambria Math"/>
              </w:rPr>
              <m:t>ε</m:t>
            </m:r>
            <m:ctrlPr>
              <w:rPr>
                <w:rFonts w:ascii="Cambria Math" w:hAnsi="Cambria Math"/>
              </w:rPr>
            </m:ctrlPr>
          </m:e>
          <m:sub>
            <m:r>
              <w:rPr>
                <w:rFonts w:ascii="Cambria Math" w:hAnsi="Cambria Math"/>
              </w:rPr>
              <m:t>i</m:t>
            </m:r>
          </m:sub>
        </m:sSub>
      </m:oMath>
      <w:r w:rsidRPr="00B20A00">
        <w:rPr>
          <w:spacing w:val="-2"/>
        </w:rPr>
        <w:t xml:space="preserve"> represents </w:t>
      </w:r>
      <w:r>
        <w:rPr>
          <w:spacing w:val="-2"/>
        </w:rPr>
        <w:t xml:space="preserve">the </w:t>
      </w:r>
      <w:r w:rsidRPr="00B20A00">
        <w:rPr>
          <w:spacing w:val="-2"/>
        </w:rPr>
        <w:t>error for each product</w:t>
      </w:r>
      <w:r>
        <w:rPr>
          <w:spacing w:val="-2"/>
        </w:rPr>
        <w:t xml:space="preserve"> </w:t>
      </w:r>
      <w:r w:rsidRPr="00493113">
        <w:rPr>
          <w:i/>
          <w:iCs/>
          <w:spacing w:val="-2"/>
        </w:rPr>
        <w:t>i</w:t>
      </w:r>
      <w:r w:rsidRPr="00B20A00">
        <w:rPr>
          <w:spacing w:val="-2"/>
        </w:rPr>
        <w:t>.</w:t>
      </w:r>
      <w:r>
        <w:rPr>
          <w:spacing w:val="-2"/>
        </w:rPr>
        <w:t xml:space="preserve"> Given this definition, t</w:t>
      </w:r>
      <w:r w:rsidRPr="00043078">
        <w:rPr>
          <w:spacing w:val="-2"/>
        </w:rPr>
        <w:t xml:space="preserve">he covariances between </w:t>
      </w:r>
      <w:r>
        <w:rPr>
          <w:spacing w:val="-2"/>
        </w:rPr>
        <w:t>pairs of two</w:t>
      </w:r>
      <w:r w:rsidRPr="00043078">
        <w:rPr>
          <w:spacing w:val="-2"/>
        </w:rPr>
        <w:t xml:space="preserve"> different measurement systems</w:t>
      </w:r>
      <w:r>
        <w:rPr>
          <w:spacing w:val="-2"/>
        </w:rPr>
        <w:t xml:space="preserve"> (e.g., X and Y)</w:t>
      </w:r>
      <w:r w:rsidRPr="00043078">
        <w:rPr>
          <w:spacing w:val="-2"/>
        </w:rPr>
        <w:t xml:space="preserve"> </w:t>
      </w:r>
      <w:r>
        <w:rPr>
          <w:spacing w:val="-2"/>
        </w:rPr>
        <w:t>would be</w:t>
      </w:r>
      <w:r w:rsidRPr="00043078">
        <w:rPr>
          <w:spacing w:val="-2"/>
        </w:rPr>
        <w:t xml:space="preserve"> given by</w:t>
      </w:r>
    </w:p>
    <w:p w14:paraId="12EB78BD" w14:textId="77777777" w:rsidR="00A32281" w:rsidRDefault="00A32281" w:rsidP="00A32281">
      <w:pPr>
        <w:rPr>
          <w:spacing w:val="-2"/>
        </w:rPr>
      </w:pPr>
    </w:p>
    <w:p w14:paraId="6E839C69" w14:textId="321D9F53" w:rsidR="00A32281" w:rsidRDefault="00A32281" w:rsidP="00360B4C">
      <w:pPr>
        <w:jc w:val="center"/>
        <w:rPr>
          <w:spacing w:val="-2"/>
        </w:rPr>
      </w:pPr>
      <m:oMath>
        <m:r>
          <w:rPr>
            <w:rFonts w:ascii="Cambria Math" w:hAnsi="Cambria Math"/>
            <w:spacing w:val="-2"/>
          </w:rPr>
          <m:t>Cov</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Y</m:t>
                </m:r>
              </m:sub>
            </m:sSub>
          </m:e>
        </m:d>
        <m:r>
          <w:rPr>
            <w:rFonts w:ascii="Cambria Math" w:hAnsi="Cambria Math"/>
            <w:spacing w:val="-2"/>
          </w:rPr>
          <m:t>=E</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X</m:t>
                </m:r>
              </m:sub>
            </m:sSub>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Y</m:t>
                </m:r>
              </m:sub>
            </m:sSub>
          </m:e>
        </m:d>
        <m:r>
          <w:rPr>
            <w:rFonts w:ascii="Cambria Math" w:hAnsi="Cambria Math"/>
            <w:spacing w:val="-2"/>
          </w:rPr>
          <m:t>-E</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X</m:t>
                </m:r>
              </m:sub>
            </m:sSub>
          </m:e>
        </m:d>
        <m:r>
          <w:rPr>
            <w:rFonts w:ascii="Cambria Math" w:hAnsi="Cambria Math"/>
            <w:spacing w:val="-2"/>
          </w:rPr>
          <m:t>E</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Y</m:t>
                </m:r>
              </m:sub>
            </m:sSub>
          </m:e>
        </m:d>
        <m:r>
          <w:rPr>
            <w:rFonts w:ascii="Cambria Math" w:hAnsi="Cambria Math"/>
            <w:spacing w:val="-2"/>
          </w:rPr>
          <m:t>=</m:t>
        </m:r>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X</m:t>
            </m:r>
          </m:sub>
        </m:sSub>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Y</m:t>
            </m:r>
          </m:sub>
        </m:sSub>
        <m:sSubSup>
          <m:sSubSupPr>
            <m:ctrlPr>
              <w:rPr>
                <w:rFonts w:ascii="Cambria Math" w:hAnsi="Cambria Math"/>
                <w:i/>
                <w:spacing w:val="-2"/>
              </w:rPr>
            </m:ctrlPr>
          </m:sSubSupPr>
          <m:e>
            <m:r>
              <w:rPr>
                <w:rFonts w:ascii="Cambria Math" w:hAnsi="Cambria Math"/>
                <w:spacing w:val="-2"/>
              </w:rPr>
              <m:t>σ</m:t>
            </m:r>
          </m:e>
          <m:sub>
            <m:r>
              <w:rPr>
                <w:rFonts w:ascii="Cambria Math" w:hAnsi="Cambria Math"/>
                <w:spacing w:val="-2"/>
              </w:rPr>
              <m:t>T</m:t>
            </m:r>
          </m:sub>
          <m:sup>
            <m:r>
              <w:rPr>
                <w:rFonts w:ascii="Cambria Math" w:hAnsi="Cambria Math"/>
                <w:spacing w:val="-2"/>
              </w:rPr>
              <m:t>2</m:t>
            </m:r>
          </m:sup>
        </m:sSubSup>
        <m:r>
          <w:rPr>
            <w:rFonts w:ascii="Cambria Math" w:hAnsi="Cambria Math"/>
            <w:spacing w:val="-2"/>
          </w:rPr>
          <m:t>+</m:t>
        </m:r>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X</m:t>
            </m:r>
          </m:sub>
        </m:sSub>
        <m:r>
          <w:rPr>
            <w:rFonts w:ascii="Cambria Math" w:hAnsi="Cambria Math"/>
            <w:spacing w:val="-2"/>
          </w:rPr>
          <m:t>Cov</m:t>
        </m:r>
        <m:d>
          <m:dPr>
            <m:ctrlPr>
              <w:rPr>
                <w:rFonts w:ascii="Cambria Math" w:hAnsi="Cambria Math"/>
                <w:i/>
                <w:spacing w:val="-2"/>
              </w:rPr>
            </m:ctrlPr>
          </m:dPr>
          <m:e>
            <m:r>
              <w:rPr>
                <w:rFonts w:ascii="Cambria Math" w:hAnsi="Cambria Math"/>
                <w:spacing w:val="-2"/>
              </w:rPr>
              <m:t>T,</m:t>
            </m:r>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Y</m:t>
                </m:r>
              </m:sub>
            </m:sSub>
          </m:e>
        </m:d>
        <m:r>
          <w:rPr>
            <w:rFonts w:ascii="Cambria Math" w:hAnsi="Cambria Math"/>
            <w:spacing w:val="-2"/>
          </w:rPr>
          <m:t>+</m:t>
        </m:r>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Y</m:t>
            </m:r>
          </m:sub>
        </m:sSub>
        <m:r>
          <w:rPr>
            <w:rFonts w:ascii="Cambria Math" w:hAnsi="Cambria Math"/>
            <w:spacing w:val="-2"/>
          </w:rPr>
          <m:t>Cov</m:t>
        </m:r>
        <m:d>
          <m:dPr>
            <m:ctrlPr>
              <w:rPr>
                <w:rFonts w:ascii="Cambria Math" w:hAnsi="Cambria Math"/>
                <w:i/>
                <w:spacing w:val="-2"/>
              </w:rPr>
            </m:ctrlPr>
          </m:dPr>
          <m:e>
            <m:r>
              <w:rPr>
                <w:rFonts w:ascii="Cambria Math" w:hAnsi="Cambria Math"/>
                <w:spacing w:val="-2"/>
              </w:rPr>
              <m:t>T,</m:t>
            </m:r>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e>
        </m:d>
        <m:r>
          <w:rPr>
            <w:rFonts w:ascii="Cambria Math" w:hAnsi="Cambria Math"/>
            <w:spacing w:val="-2"/>
          </w:rPr>
          <m:t>+Cov</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Y</m:t>
                </m:r>
              </m:sub>
            </m:sSub>
          </m:e>
        </m:d>
      </m:oMath>
      <w:r>
        <w:rPr>
          <w:spacing w:val="-2"/>
        </w:rPr>
        <w:t xml:space="preserve">   </w:t>
      </w:r>
      <w:r w:rsidR="00360B4C">
        <w:rPr>
          <w:spacing w:val="-2"/>
        </w:rPr>
        <w:t xml:space="preserve">                                                            </w:t>
      </w:r>
      <w:r>
        <w:rPr>
          <w:spacing w:val="-2"/>
        </w:rPr>
        <w:t>(</w:t>
      </w:r>
      <w:r w:rsidR="00C32ACD">
        <w:rPr>
          <w:spacing w:val="-2"/>
        </w:rPr>
        <w:t>4.</w:t>
      </w:r>
      <w:r>
        <w:rPr>
          <w:spacing w:val="-2"/>
        </w:rPr>
        <w:t>2)</w:t>
      </w:r>
    </w:p>
    <w:p w14:paraId="4A14595C" w14:textId="77777777" w:rsidR="00A32281" w:rsidRDefault="00A32281" w:rsidP="00A32281">
      <w:pPr>
        <w:rPr>
          <w:spacing w:val="-2"/>
        </w:rPr>
      </w:pPr>
    </w:p>
    <w:p w14:paraId="09B509F3" w14:textId="091A4946" w:rsidR="00A32281" w:rsidRDefault="00A32281" w:rsidP="00A32281">
      <w:pPr>
        <w:rPr>
          <w:spacing w:val="-2"/>
        </w:rPr>
      </w:pPr>
      <w:r>
        <w:rPr>
          <w:spacing w:val="-2"/>
        </w:rPr>
        <w:t xml:space="preserve">Where </w:t>
      </w:r>
      <m:oMath>
        <m:sSubSup>
          <m:sSubSupPr>
            <m:ctrlPr>
              <w:rPr>
                <w:rFonts w:ascii="Cambria Math" w:hAnsi="Cambria Math"/>
                <w:i/>
                <w:spacing w:val="-2"/>
              </w:rPr>
            </m:ctrlPr>
          </m:sSubSupPr>
          <m:e>
            <m:r>
              <w:rPr>
                <w:rFonts w:ascii="Cambria Math" w:hAnsi="Cambria Math"/>
                <w:spacing w:val="-2"/>
              </w:rPr>
              <m:t>σ</m:t>
            </m:r>
          </m:e>
          <m:sub>
            <m:r>
              <w:rPr>
                <w:rFonts w:ascii="Cambria Math" w:hAnsi="Cambria Math"/>
                <w:spacing w:val="-2"/>
              </w:rPr>
              <m:t>T</m:t>
            </m:r>
          </m:sub>
          <m:sup>
            <m:r>
              <w:rPr>
                <w:rFonts w:ascii="Cambria Math" w:hAnsi="Cambria Math"/>
                <w:spacing w:val="-2"/>
              </w:rPr>
              <m:t>2</m:t>
            </m:r>
          </m:sup>
        </m:sSubSup>
        <m:r>
          <w:rPr>
            <w:rFonts w:ascii="Cambria Math" w:hAnsi="Cambria Math"/>
            <w:spacing w:val="-2"/>
          </w:rPr>
          <m:t>=Var</m:t>
        </m:r>
        <m:d>
          <m:dPr>
            <m:ctrlPr>
              <w:rPr>
                <w:rFonts w:ascii="Cambria Math" w:hAnsi="Cambria Math"/>
                <w:i/>
                <w:spacing w:val="-2"/>
              </w:rPr>
            </m:ctrlPr>
          </m:dPr>
          <m:e>
            <m:r>
              <w:rPr>
                <w:rFonts w:ascii="Cambria Math" w:hAnsi="Cambria Math"/>
                <w:spacing w:val="-2"/>
              </w:rPr>
              <m:t>T</m:t>
            </m:r>
          </m:e>
        </m:d>
      </m:oMath>
      <w:r>
        <w:rPr>
          <w:spacing w:val="-2"/>
        </w:rPr>
        <w:t xml:space="preserve">. According to assumptions (3), (4), (5), </w:t>
      </w:r>
      <m:oMath>
        <m:r>
          <w:rPr>
            <w:rFonts w:ascii="Cambria Math" w:hAnsi="Cambria Math"/>
            <w:spacing w:val="-2"/>
          </w:rPr>
          <m:t>E</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e>
        </m:d>
        <m:r>
          <w:rPr>
            <w:rFonts w:ascii="Cambria Math" w:hAnsi="Cambria Math"/>
            <w:spacing w:val="-2"/>
          </w:rPr>
          <m:t>=0</m:t>
        </m:r>
      </m:oMath>
      <w:r>
        <w:rPr>
          <w:spacing w:val="-2"/>
        </w:rPr>
        <w:t xml:space="preserve">, </w:t>
      </w:r>
      <m:oMath>
        <m:d>
          <m:dPr>
            <m:ctrlPr>
              <w:rPr>
                <w:rFonts w:ascii="Cambria Math" w:hAnsi="Cambria Math"/>
                <w:i/>
                <w:spacing w:val="-2"/>
              </w:rPr>
            </m:ctrlPr>
          </m:dPr>
          <m:e>
            <m:r>
              <w:rPr>
                <w:rFonts w:ascii="Cambria Math" w:hAnsi="Cambria Math"/>
                <w:spacing w:val="-2"/>
              </w:rPr>
              <m:t>Cov</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Y</m:t>
                    </m:r>
                  </m:sub>
                </m:sSub>
              </m:e>
            </m:d>
            <m:r>
              <w:rPr>
                <w:rFonts w:ascii="Cambria Math" w:hAnsi="Cambria Math"/>
                <w:spacing w:val="-2"/>
              </w:rPr>
              <m:t>=0, X≠Y</m:t>
            </m:r>
          </m:e>
        </m:d>
      </m:oMath>
      <w:r>
        <w:rPr>
          <w:spacing w:val="-2"/>
        </w:rPr>
        <w:t xml:space="preserve">, </w:t>
      </w:r>
      <m:oMath>
        <m:d>
          <m:dPr>
            <m:ctrlPr>
              <w:rPr>
                <w:rFonts w:ascii="Cambria Math" w:hAnsi="Cambria Math"/>
                <w:i/>
                <w:spacing w:val="-2"/>
              </w:rPr>
            </m:ctrlPr>
          </m:dPr>
          <m:e>
            <m:r>
              <w:rPr>
                <w:rFonts w:ascii="Cambria Math" w:hAnsi="Cambria Math"/>
                <w:spacing w:val="-2"/>
              </w:rPr>
              <m:t>Cov</m:t>
            </m:r>
            <m:d>
              <m:dPr>
                <m:ctrlPr>
                  <w:rPr>
                    <w:rFonts w:ascii="Cambria Math" w:hAnsi="Cambria Math"/>
                    <w:i/>
                    <w:spacing w:val="-2"/>
                  </w:rPr>
                </m:ctrlPr>
              </m:dPr>
              <m:e>
                <m:r>
                  <w:rPr>
                    <w:rFonts w:ascii="Cambria Math" w:hAnsi="Cambria Math"/>
                    <w:spacing w:val="-2"/>
                  </w:rPr>
                  <m:t>T,</m:t>
                </m:r>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e>
            </m:d>
            <m:r>
              <w:rPr>
                <w:rFonts w:ascii="Cambria Math" w:hAnsi="Cambria Math"/>
                <w:spacing w:val="-2"/>
              </w:rPr>
              <m:t>=0</m:t>
            </m:r>
          </m:e>
        </m:d>
      </m:oMath>
      <w:r>
        <w:rPr>
          <w:spacing w:val="-2"/>
        </w:rPr>
        <w:t>. Therefore, equation (</w:t>
      </w:r>
      <w:r w:rsidR="00C32ACD">
        <w:rPr>
          <w:spacing w:val="-2"/>
        </w:rPr>
        <w:t>4.</w:t>
      </w:r>
      <w:r>
        <w:rPr>
          <w:spacing w:val="-2"/>
        </w:rPr>
        <w:t>2) reduces to</w:t>
      </w:r>
    </w:p>
    <w:p w14:paraId="014B557F" w14:textId="77777777" w:rsidR="00A32281" w:rsidRDefault="00A32281" w:rsidP="00A32281">
      <w:pPr>
        <w:rPr>
          <w:spacing w:val="-2"/>
        </w:rPr>
      </w:pPr>
    </w:p>
    <w:p w14:paraId="421B8EAD" w14:textId="681EF8A2" w:rsidR="00A32281" w:rsidRPr="00021111" w:rsidRDefault="00143C6C" w:rsidP="00360B4C">
      <w:pPr>
        <w:jc w:val="center"/>
        <w:rPr>
          <w:spacing w:val="-2"/>
        </w:rPr>
      </w:pPr>
      <m:oMath>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XY</m:t>
            </m:r>
          </m:sub>
        </m:sSub>
        <m:r>
          <w:rPr>
            <w:rFonts w:ascii="Cambria Math" w:hAnsi="Cambria Math"/>
            <w:spacing w:val="-2"/>
          </w:rPr>
          <m:t>= Cov</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Y</m:t>
                </m:r>
              </m:sub>
            </m:sSub>
          </m:e>
        </m:d>
        <m:r>
          <w:rPr>
            <w:rFonts w:ascii="Cambria Math" w:hAnsi="Cambria Math"/>
            <w:spacing w:val="-2"/>
          </w:rPr>
          <m:t>=</m:t>
        </m:r>
        <m:d>
          <m:dPr>
            <m:begChr m:val="{"/>
            <m:endChr m:val=""/>
            <m:ctrlPr>
              <w:rPr>
                <w:rFonts w:ascii="Cambria Math" w:hAnsi="Cambria Math"/>
                <w:i/>
                <w:spacing w:val="-2"/>
              </w:rPr>
            </m:ctrlPr>
          </m:dPr>
          <m:e>
            <m:eqArr>
              <m:eqArrPr>
                <m:ctrlPr>
                  <w:rPr>
                    <w:rFonts w:ascii="Cambria Math" w:hAnsi="Cambria Math"/>
                    <w:i/>
                    <w:spacing w:val="-2"/>
                  </w:rPr>
                </m:ctrlPr>
              </m:eqArrPr>
              <m:e>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X</m:t>
                    </m:r>
                  </m:sub>
                </m:sSub>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Y</m:t>
                    </m:r>
                  </m:sub>
                </m:sSub>
                <m:sSubSup>
                  <m:sSubSupPr>
                    <m:ctrlPr>
                      <w:rPr>
                        <w:rFonts w:ascii="Cambria Math" w:hAnsi="Cambria Math"/>
                        <w:i/>
                        <w:spacing w:val="-2"/>
                      </w:rPr>
                    </m:ctrlPr>
                  </m:sSubSupPr>
                  <m:e>
                    <m:r>
                      <w:rPr>
                        <w:rFonts w:ascii="Cambria Math" w:hAnsi="Cambria Math"/>
                        <w:spacing w:val="-2"/>
                      </w:rPr>
                      <m:t>σ</m:t>
                    </m:r>
                  </m:e>
                  <m:sub>
                    <m:r>
                      <w:rPr>
                        <w:rFonts w:ascii="Cambria Math" w:hAnsi="Cambria Math"/>
                        <w:spacing w:val="-2"/>
                      </w:rPr>
                      <m:t>T</m:t>
                    </m:r>
                  </m:sub>
                  <m:sup>
                    <m:r>
                      <w:rPr>
                        <w:rFonts w:ascii="Cambria Math" w:hAnsi="Cambria Math"/>
                        <w:spacing w:val="-2"/>
                      </w:rPr>
                      <m:t>2</m:t>
                    </m:r>
                  </m:sup>
                </m:sSubSup>
                <m:r>
                  <w:rPr>
                    <w:rFonts w:ascii="Cambria Math" w:hAnsi="Cambria Math"/>
                    <w:spacing w:val="-2"/>
                  </w:rPr>
                  <m:t xml:space="preserve">               for X≠Y</m:t>
                </m:r>
              </m:e>
              <m:e>
                <m:sSubSup>
                  <m:sSubSupPr>
                    <m:ctrlPr>
                      <w:rPr>
                        <w:rFonts w:ascii="Cambria Math" w:hAnsi="Cambria Math"/>
                        <w:i/>
                        <w:spacing w:val="-2"/>
                      </w:rPr>
                    </m:ctrlPr>
                  </m:sSubSupPr>
                  <m:e>
                    <m:r>
                      <w:rPr>
                        <w:rFonts w:ascii="Cambria Math" w:hAnsi="Cambria Math"/>
                        <w:spacing w:val="-2"/>
                      </w:rPr>
                      <m:t>b</m:t>
                    </m:r>
                  </m:e>
                  <m:sub>
                    <m:r>
                      <w:rPr>
                        <w:rFonts w:ascii="Cambria Math" w:hAnsi="Cambria Math"/>
                        <w:spacing w:val="-2"/>
                      </w:rPr>
                      <m:t>X</m:t>
                    </m:r>
                  </m:sub>
                  <m:sup>
                    <m:r>
                      <w:rPr>
                        <w:rFonts w:ascii="Cambria Math" w:hAnsi="Cambria Math"/>
                        <w:spacing w:val="-2"/>
                      </w:rPr>
                      <m:t>2</m:t>
                    </m:r>
                  </m:sup>
                </m:sSubSup>
                <m:sSubSup>
                  <m:sSubSupPr>
                    <m:ctrlPr>
                      <w:rPr>
                        <w:rFonts w:ascii="Cambria Math" w:hAnsi="Cambria Math"/>
                        <w:i/>
                        <w:spacing w:val="-2"/>
                      </w:rPr>
                    </m:ctrlPr>
                  </m:sSubSupPr>
                  <m:e>
                    <m:r>
                      <w:rPr>
                        <w:rFonts w:ascii="Cambria Math" w:hAnsi="Cambria Math"/>
                        <w:spacing w:val="-2"/>
                      </w:rPr>
                      <m:t>σ</m:t>
                    </m:r>
                  </m:e>
                  <m:sub>
                    <m:r>
                      <w:rPr>
                        <w:rFonts w:ascii="Cambria Math" w:hAnsi="Cambria Math"/>
                        <w:spacing w:val="-2"/>
                      </w:rPr>
                      <m:t>T</m:t>
                    </m:r>
                  </m:sub>
                  <m:sup>
                    <m:r>
                      <w:rPr>
                        <w:rFonts w:ascii="Cambria Math" w:hAnsi="Cambria Math"/>
                        <w:spacing w:val="-2"/>
                      </w:rPr>
                      <m:t>2</m:t>
                    </m:r>
                  </m:sup>
                </m:sSubSup>
                <m:r>
                  <w:rPr>
                    <w:rFonts w:ascii="Cambria Math" w:hAnsi="Cambria Math"/>
                    <w:spacing w:val="-2"/>
                  </w:rPr>
                  <m:t>+</m:t>
                </m:r>
                <m:sSubSup>
                  <m:sSubSupPr>
                    <m:ctrlPr>
                      <w:rPr>
                        <w:rFonts w:ascii="Cambria Math" w:hAnsi="Cambria Math"/>
                        <w:i/>
                        <w:spacing w:val="-2"/>
                      </w:rPr>
                    </m:ctrlPr>
                  </m:sSubSupPr>
                  <m:e>
                    <m:r>
                      <w:rPr>
                        <w:rFonts w:ascii="Cambria Math" w:hAnsi="Cambria Math"/>
                        <w:spacing w:val="-2"/>
                      </w:rPr>
                      <m:t>σ</m:t>
                    </m:r>
                  </m:e>
                  <m:sub>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sub>
                  <m:sup>
                    <m:r>
                      <w:rPr>
                        <w:rFonts w:ascii="Cambria Math" w:hAnsi="Cambria Math"/>
                        <w:spacing w:val="-2"/>
                      </w:rPr>
                      <m:t>2</m:t>
                    </m:r>
                  </m:sup>
                </m:sSubSup>
                <m:r>
                  <w:rPr>
                    <w:rFonts w:ascii="Cambria Math" w:hAnsi="Cambria Math"/>
                    <w:spacing w:val="-2"/>
                  </w:rPr>
                  <m:t xml:space="preserve">       for X=Y</m:t>
                </m:r>
              </m:e>
            </m:eqArr>
          </m:e>
        </m:d>
      </m:oMath>
      <w:r w:rsidR="00A32281">
        <w:rPr>
          <w:spacing w:val="-2"/>
        </w:rPr>
        <w:t xml:space="preserve">           (</w:t>
      </w:r>
      <w:r w:rsidR="00C32ACD">
        <w:rPr>
          <w:spacing w:val="-2"/>
        </w:rPr>
        <w:t>4.</w:t>
      </w:r>
      <w:r w:rsidR="00A32281">
        <w:rPr>
          <w:spacing w:val="-2"/>
        </w:rPr>
        <w:t>3)</w:t>
      </w:r>
    </w:p>
    <w:p w14:paraId="363D5CC4" w14:textId="77777777" w:rsidR="00A32281" w:rsidRDefault="00A32281" w:rsidP="00A32281">
      <w:pPr>
        <w:rPr>
          <w:spacing w:val="-2"/>
        </w:rPr>
      </w:pPr>
    </w:p>
    <w:p w14:paraId="6B1C88F1" w14:textId="2202F67F" w:rsidR="00A32281" w:rsidRDefault="00A32281" w:rsidP="00A32281">
      <w:pPr>
        <w:rPr>
          <w:spacing w:val="-2"/>
        </w:rPr>
      </w:pPr>
      <w:r>
        <w:rPr>
          <w:spacing w:val="-2"/>
        </w:rPr>
        <w:t xml:space="preserve">Where </w:t>
      </w:r>
      <m:oMath>
        <m:sSubSup>
          <m:sSubSupPr>
            <m:ctrlPr>
              <w:rPr>
                <w:rFonts w:ascii="Cambria Math" w:hAnsi="Cambria Math"/>
                <w:i/>
                <w:spacing w:val="-2"/>
              </w:rPr>
            </m:ctrlPr>
          </m:sSubSupPr>
          <m:e>
            <m:r>
              <w:rPr>
                <w:rFonts w:ascii="Cambria Math" w:hAnsi="Cambria Math"/>
                <w:spacing w:val="-2"/>
              </w:rPr>
              <m:t>σ</m:t>
            </m:r>
          </m:e>
          <m:sub>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sub>
          <m:sup>
            <m:r>
              <w:rPr>
                <w:rFonts w:ascii="Cambria Math" w:hAnsi="Cambria Math"/>
                <w:spacing w:val="-2"/>
              </w:rPr>
              <m:t>2</m:t>
            </m:r>
          </m:sup>
        </m:sSubSup>
        <m:r>
          <w:rPr>
            <w:rFonts w:ascii="Cambria Math" w:hAnsi="Cambria Math"/>
            <w:spacing w:val="-2"/>
          </w:rPr>
          <m:t>=Var</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e>
        </m:d>
      </m:oMath>
      <w:r>
        <w:rPr>
          <w:spacing w:val="-2"/>
        </w:rPr>
        <w:t>. Since there are seven unknowns (</w:t>
      </w:r>
      <m:oMath>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Y</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Z</m:t>
            </m:r>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σ</m:t>
            </m:r>
          </m:e>
          <m:sub>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σ</m:t>
            </m:r>
          </m:e>
          <m:sub>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Y</m:t>
                </m:r>
              </m:sub>
            </m:sSub>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σ</m:t>
            </m:r>
          </m:e>
          <m:sub>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Z</m:t>
                </m:r>
              </m:sub>
            </m:sSub>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σ</m:t>
            </m:r>
          </m:e>
          <m:sub>
            <m:r>
              <w:rPr>
                <w:rFonts w:ascii="Cambria Math" w:hAnsi="Cambria Math"/>
                <w:spacing w:val="-2"/>
              </w:rPr>
              <m:t>T</m:t>
            </m:r>
          </m:sub>
        </m:sSub>
      </m:oMath>
      <w:r>
        <w:rPr>
          <w:spacing w:val="-2"/>
        </w:rPr>
        <w:t>) in six equations in the 3 × 3 covariance matrix (</w:t>
      </w:r>
      <m:oMath>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XX</m:t>
            </m:r>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XY</m:t>
            </m:r>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XZ</m:t>
            </m:r>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YY</m:t>
            </m:r>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YZ</m:t>
            </m:r>
          </m:sub>
        </m:sSub>
        <m:r>
          <w:rPr>
            <w:rFonts w:ascii="Cambria Math" w:hAnsi="Cambria Math"/>
            <w:spacing w:val="-2"/>
          </w:rPr>
          <m:t xml:space="preserve">, </m:t>
        </m:r>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ZZ</m:t>
            </m:r>
          </m:sub>
        </m:sSub>
      </m:oMath>
      <w:r>
        <w:rPr>
          <w:spacing w:val="-2"/>
        </w:rPr>
        <w:t xml:space="preserve">), there is no unique solution. However, the introduction of a new variable </w:t>
      </w:r>
      <m:oMath>
        <m:sSub>
          <m:sSubPr>
            <m:ctrlPr>
              <w:rPr>
                <w:rFonts w:ascii="Cambria Math" w:hAnsi="Cambria Math"/>
                <w:i/>
                <w:spacing w:val="-2"/>
              </w:rPr>
            </m:ctrlPr>
          </m:sSubPr>
          <m:e>
            <m:r>
              <w:rPr>
                <w:rFonts w:ascii="Cambria Math" w:hAnsi="Cambria Math"/>
                <w:spacing w:val="-2"/>
              </w:rPr>
              <m:t>θ</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b</m:t>
            </m:r>
          </m:e>
          <m:sub>
            <m:r>
              <w:rPr>
                <w:rFonts w:ascii="Cambria Math" w:hAnsi="Cambria Math"/>
                <w:spacing w:val="-2"/>
              </w:rPr>
              <m:t>X</m:t>
            </m:r>
          </m:sub>
        </m:sSub>
        <m:sSub>
          <m:sSubPr>
            <m:ctrlPr>
              <w:rPr>
                <w:rFonts w:ascii="Cambria Math" w:hAnsi="Cambria Math"/>
                <w:i/>
                <w:spacing w:val="-2"/>
              </w:rPr>
            </m:ctrlPr>
          </m:sSubPr>
          <m:e>
            <m:r>
              <w:rPr>
                <w:rFonts w:ascii="Cambria Math" w:hAnsi="Cambria Math"/>
                <w:spacing w:val="-2"/>
              </w:rPr>
              <m:t>σ</m:t>
            </m:r>
          </m:e>
          <m:sub>
            <m:r>
              <w:rPr>
                <w:rFonts w:ascii="Cambria Math" w:hAnsi="Cambria Math"/>
                <w:spacing w:val="-2"/>
              </w:rPr>
              <m:t>T</m:t>
            </m:r>
          </m:sub>
        </m:sSub>
      </m:oMath>
      <w:r>
        <w:rPr>
          <w:spacing w:val="-2"/>
        </w:rPr>
        <w:t>, changes (</w:t>
      </w:r>
      <w:r w:rsidR="00C32ACD">
        <w:rPr>
          <w:spacing w:val="-2"/>
        </w:rPr>
        <w:t>4.</w:t>
      </w:r>
      <w:r>
        <w:rPr>
          <w:spacing w:val="-2"/>
        </w:rPr>
        <w:t>3) to</w:t>
      </w:r>
    </w:p>
    <w:p w14:paraId="40BE792A" w14:textId="77777777" w:rsidR="00A32281" w:rsidRDefault="00A32281" w:rsidP="00A32281">
      <w:pPr>
        <w:rPr>
          <w:spacing w:val="-2"/>
        </w:rPr>
      </w:pPr>
    </w:p>
    <w:p w14:paraId="663B2496" w14:textId="1E1E5701" w:rsidR="00A32281" w:rsidRPr="00B20A00" w:rsidRDefault="00143C6C" w:rsidP="00694514">
      <w:pPr>
        <w:jc w:val="center"/>
        <w:rPr>
          <w:spacing w:val="-2"/>
        </w:rPr>
      </w:pPr>
      <m:oMath>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XY</m:t>
            </m:r>
          </m:sub>
        </m:sSub>
        <m:r>
          <w:rPr>
            <w:rFonts w:ascii="Cambria Math" w:hAnsi="Cambria Math"/>
            <w:spacing w:val="-2"/>
          </w:rPr>
          <m:t>= Cov</m:t>
        </m:r>
        <m:d>
          <m:dPr>
            <m:ctrlPr>
              <w:rPr>
                <w:rFonts w:ascii="Cambria Math" w:hAnsi="Cambria Math"/>
                <w:i/>
                <w:spacing w:val="-2"/>
              </w:rPr>
            </m:ctrlPr>
          </m:dPr>
          <m:e>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X</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R</m:t>
                </m:r>
              </m:e>
              <m:sub>
                <m:r>
                  <w:rPr>
                    <w:rFonts w:ascii="Cambria Math" w:hAnsi="Cambria Math"/>
                    <w:spacing w:val="-2"/>
                  </w:rPr>
                  <m:t>Y</m:t>
                </m:r>
              </m:sub>
            </m:sSub>
          </m:e>
        </m:d>
        <m:r>
          <w:rPr>
            <w:rFonts w:ascii="Cambria Math" w:hAnsi="Cambria Math"/>
            <w:spacing w:val="-2"/>
          </w:rPr>
          <m:t>=</m:t>
        </m:r>
        <m:d>
          <m:dPr>
            <m:begChr m:val="{"/>
            <m:endChr m:val=""/>
            <m:ctrlPr>
              <w:rPr>
                <w:rFonts w:ascii="Cambria Math" w:hAnsi="Cambria Math"/>
                <w:i/>
                <w:spacing w:val="-2"/>
              </w:rPr>
            </m:ctrlPr>
          </m:dPr>
          <m:e>
            <m:eqArr>
              <m:eqArrPr>
                <m:ctrlPr>
                  <w:rPr>
                    <w:rFonts w:ascii="Cambria Math" w:hAnsi="Cambria Math"/>
                    <w:i/>
                    <w:spacing w:val="-2"/>
                  </w:rPr>
                </m:ctrlPr>
              </m:eqArrPr>
              <m:e>
                <m:sSub>
                  <m:sSubPr>
                    <m:ctrlPr>
                      <w:rPr>
                        <w:rFonts w:ascii="Cambria Math" w:hAnsi="Cambria Math"/>
                        <w:i/>
                        <w:spacing w:val="-2"/>
                      </w:rPr>
                    </m:ctrlPr>
                  </m:sSubPr>
                  <m:e>
                    <m:r>
                      <w:rPr>
                        <w:rFonts w:ascii="Cambria Math" w:hAnsi="Cambria Math"/>
                        <w:spacing w:val="-2"/>
                      </w:rPr>
                      <m:t>θ</m:t>
                    </m:r>
                  </m:e>
                  <m:sub>
                    <m:r>
                      <w:rPr>
                        <w:rFonts w:ascii="Cambria Math" w:hAnsi="Cambria Math"/>
                        <w:spacing w:val="-2"/>
                      </w:rPr>
                      <m:t>X</m:t>
                    </m:r>
                  </m:sub>
                </m:sSub>
                <m:sSub>
                  <m:sSubPr>
                    <m:ctrlPr>
                      <w:rPr>
                        <w:rFonts w:ascii="Cambria Math" w:hAnsi="Cambria Math"/>
                        <w:i/>
                        <w:spacing w:val="-2"/>
                      </w:rPr>
                    </m:ctrlPr>
                  </m:sSubPr>
                  <m:e>
                    <m:r>
                      <w:rPr>
                        <w:rFonts w:ascii="Cambria Math" w:hAnsi="Cambria Math"/>
                        <w:spacing w:val="-2"/>
                      </w:rPr>
                      <m:t>θ</m:t>
                    </m:r>
                  </m:e>
                  <m:sub>
                    <m:r>
                      <w:rPr>
                        <w:rFonts w:ascii="Cambria Math" w:hAnsi="Cambria Math"/>
                        <w:spacing w:val="-2"/>
                      </w:rPr>
                      <m:t>Y</m:t>
                    </m:r>
                  </m:sub>
                </m:sSub>
                <m:r>
                  <w:rPr>
                    <w:rFonts w:ascii="Cambria Math" w:hAnsi="Cambria Math"/>
                    <w:spacing w:val="-2"/>
                  </w:rPr>
                  <m:t xml:space="preserve">               for X≠Y</m:t>
                </m:r>
              </m:e>
              <m:e>
                <m:sSubSup>
                  <m:sSubSupPr>
                    <m:ctrlPr>
                      <w:rPr>
                        <w:rFonts w:ascii="Cambria Math" w:hAnsi="Cambria Math"/>
                        <w:i/>
                        <w:spacing w:val="-2"/>
                      </w:rPr>
                    </m:ctrlPr>
                  </m:sSubSupPr>
                  <m:e>
                    <m:r>
                      <w:rPr>
                        <w:rFonts w:ascii="Cambria Math" w:hAnsi="Cambria Math"/>
                        <w:spacing w:val="-2"/>
                      </w:rPr>
                      <m:t>θ</m:t>
                    </m:r>
                  </m:e>
                  <m:sub>
                    <m:r>
                      <w:rPr>
                        <w:rFonts w:ascii="Cambria Math" w:hAnsi="Cambria Math"/>
                        <w:spacing w:val="-2"/>
                      </w:rPr>
                      <m:t>X</m:t>
                    </m:r>
                  </m:sub>
                  <m:sup>
                    <m:r>
                      <w:rPr>
                        <w:rFonts w:ascii="Cambria Math" w:hAnsi="Cambria Math"/>
                        <w:spacing w:val="-2"/>
                      </w:rPr>
                      <m:t>2</m:t>
                    </m:r>
                  </m:sup>
                </m:sSubSup>
                <m:r>
                  <w:rPr>
                    <w:rFonts w:ascii="Cambria Math" w:hAnsi="Cambria Math"/>
                    <w:spacing w:val="-2"/>
                  </w:rPr>
                  <m:t>+</m:t>
                </m:r>
                <m:sSubSup>
                  <m:sSubSupPr>
                    <m:ctrlPr>
                      <w:rPr>
                        <w:rFonts w:ascii="Cambria Math" w:hAnsi="Cambria Math"/>
                        <w:i/>
                        <w:spacing w:val="-2"/>
                      </w:rPr>
                    </m:ctrlPr>
                  </m:sSubSupPr>
                  <m:e>
                    <m:r>
                      <w:rPr>
                        <w:rFonts w:ascii="Cambria Math" w:hAnsi="Cambria Math"/>
                        <w:spacing w:val="-2"/>
                      </w:rPr>
                      <m:t>σ</m:t>
                    </m:r>
                  </m:e>
                  <m:sub>
                    <m:sSub>
                      <m:sSubPr>
                        <m:ctrlPr>
                          <w:rPr>
                            <w:rFonts w:ascii="Cambria Math" w:hAnsi="Cambria Math"/>
                            <w:i/>
                            <w:spacing w:val="-2"/>
                          </w:rPr>
                        </m:ctrlPr>
                      </m:sSubPr>
                      <m:e>
                        <m:r>
                          <w:rPr>
                            <w:rFonts w:ascii="Cambria Math" w:hAnsi="Cambria Math"/>
                            <w:spacing w:val="-2"/>
                          </w:rPr>
                          <m:t>ε</m:t>
                        </m:r>
                      </m:e>
                      <m:sub>
                        <m:r>
                          <w:rPr>
                            <w:rFonts w:ascii="Cambria Math" w:hAnsi="Cambria Math"/>
                            <w:spacing w:val="-2"/>
                          </w:rPr>
                          <m:t>X</m:t>
                        </m:r>
                      </m:sub>
                    </m:sSub>
                  </m:sub>
                  <m:sup>
                    <m:r>
                      <w:rPr>
                        <w:rFonts w:ascii="Cambria Math" w:hAnsi="Cambria Math"/>
                        <w:spacing w:val="-2"/>
                      </w:rPr>
                      <m:t>2</m:t>
                    </m:r>
                  </m:sup>
                </m:sSubSup>
                <m:r>
                  <w:rPr>
                    <w:rFonts w:ascii="Cambria Math" w:hAnsi="Cambria Math"/>
                    <w:spacing w:val="-2"/>
                  </w:rPr>
                  <m:t xml:space="preserve">       for X=Y</m:t>
                </m:r>
              </m:e>
            </m:eqArr>
          </m:e>
        </m:d>
      </m:oMath>
      <w:r w:rsidR="00A32281">
        <w:rPr>
          <w:spacing w:val="-2"/>
        </w:rPr>
        <w:t xml:space="preserve">         (</w:t>
      </w:r>
      <w:r w:rsidR="00C32ACD">
        <w:rPr>
          <w:spacing w:val="-2"/>
        </w:rPr>
        <w:t>4.</w:t>
      </w:r>
      <w:r w:rsidR="00A32281">
        <w:rPr>
          <w:spacing w:val="-2"/>
        </w:rPr>
        <w:t>4)</w:t>
      </w:r>
    </w:p>
    <w:p w14:paraId="05F770A7" w14:textId="77777777" w:rsidR="00A32281" w:rsidRDefault="00A32281" w:rsidP="00A32281">
      <w:pPr>
        <w:rPr>
          <w:spacing w:val="-2"/>
        </w:rPr>
      </w:pPr>
    </w:p>
    <w:p w14:paraId="00A96833" w14:textId="2F5AA80D" w:rsidR="00A32281" w:rsidRDefault="00A32281" w:rsidP="00A32281">
      <w:pPr>
        <w:rPr>
          <w:spacing w:val="-2"/>
        </w:rPr>
      </w:pPr>
      <w:r w:rsidRPr="00B20A00">
        <w:rPr>
          <w:spacing w:val="-2"/>
        </w:rPr>
        <w:t xml:space="preserve">From </w:t>
      </w:r>
      <w:r>
        <w:rPr>
          <w:spacing w:val="-2"/>
        </w:rPr>
        <w:t>e</w:t>
      </w:r>
      <w:r w:rsidRPr="00B20A00">
        <w:rPr>
          <w:spacing w:val="-2"/>
        </w:rPr>
        <w:t>quation</w:t>
      </w:r>
      <w:r w:rsidR="00995B4E">
        <w:rPr>
          <w:spacing w:val="-2"/>
        </w:rPr>
        <w:t xml:space="preserve"> (4.4)</w:t>
      </w:r>
      <w:r w:rsidRPr="00B20A00">
        <w:rPr>
          <w:spacing w:val="-2"/>
        </w:rPr>
        <w:t xml:space="preserve">, we </w:t>
      </w:r>
      <w:r>
        <w:rPr>
          <w:spacing w:val="-2"/>
        </w:rPr>
        <w:t xml:space="preserve">now have six unknowns in six equations and </w:t>
      </w:r>
      <w:r w:rsidRPr="00B20A00">
        <w:rPr>
          <w:spacing w:val="-2"/>
        </w:rPr>
        <w:t xml:space="preserve">are able to </w:t>
      </w:r>
      <w:r>
        <w:rPr>
          <w:spacing w:val="-2"/>
        </w:rPr>
        <w:t>calculate</w:t>
      </w:r>
      <w:r w:rsidRPr="00B20A00">
        <w:rPr>
          <w:spacing w:val="-2"/>
        </w:rPr>
        <w:t xml:space="preserve"> </w:t>
      </w:r>
      <w:r>
        <w:rPr>
          <w:spacing w:val="-2"/>
        </w:rPr>
        <w:t>the root mean square error (</w:t>
      </w:r>
      <w:r w:rsidRPr="00B20A00">
        <w:rPr>
          <w:spacing w:val="-2"/>
        </w:rPr>
        <w:t>RMSE</w:t>
      </w:r>
      <w:r>
        <w:rPr>
          <w:spacing w:val="-2"/>
        </w:rPr>
        <w:t xml:space="preserve">) </w:t>
      </w:r>
      <w:r w:rsidRPr="00B20A00">
        <w:rPr>
          <w:spacing w:val="-2"/>
        </w:rPr>
        <w:t>in the set of equations</w:t>
      </w:r>
      <w:r>
        <w:rPr>
          <w:spacing w:val="-2"/>
        </w:rPr>
        <w:t xml:space="preserve"> (</w:t>
      </w:r>
      <w:r w:rsidR="00C32ACD">
        <w:rPr>
          <w:spacing w:val="-2"/>
        </w:rPr>
        <w:t>4.</w:t>
      </w:r>
      <w:r>
        <w:rPr>
          <w:spacing w:val="-2"/>
        </w:rPr>
        <w:t>5) that are</w:t>
      </w:r>
      <w:r w:rsidRPr="00B20A00">
        <w:rPr>
          <w:spacing w:val="-2"/>
        </w:rPr>
        <w:t xml:space="preserve"> based on the covariance of triplets </w:t>
      </w:r>
      <w:r>
        <w:rPr>
          <w:spacing w:val="-2"/>
        </w:rPr>
        <w:fldChar w:fldCharType="begin"/>
      </w:r>
      <w:r w:rsidR="00B26FCC">
        <w:rPr>
          <w:spacing w:val="-2"/>
        </w:rPr>
        <w:instrText xml:space="preserve"> ADDIN ZOTERO_ITEM CSL_CITATION {"citationID":"7A4BA8NH","properties":{"formattedCitation":"(McColl et al., 2014)","plainCitation":"(McColl et al., 2014)","noteIndex":0},"citationItems":[{"id":158,"uris":["http://zotero.org/users/7782726/items/MQLJF9AV"],"uri":["http://zotero.org/users/7782726/items/MQLJF9AV"],"itemData":{"id":158,"type":"article-journal","container-title":"Geophysical research letters","issue":"17","note":"ISBN: 0094-8276\npublisher: Wiley Online Library","page":"6229-6236","title":"Extended triple collocation: Estimating errors and correlation coefficients with respect to an unknown target","volume":"41","author":[{"family":"McColl","given":"Kaighin A."},{"family":"Vogelzang","given":"Jur"},{"family":"Konings","given":"Alexandra G."},{"family":"Entekhabi","given":"Dara"},{"family":"Piles","given":"María"},{"family":"Stoffelen","given":"Ad"}],"issued":{"date-parts":[["2014"]]}}}],"schema":"https://github.com/citation-style-language/schema/raw/master/csl-citation.json"} </w:instrText>
      </w:r>
      <w:r>
        <w:rPr>
          <w:spacing w:val="-2"/>
        </w:rPr>
        <w:fldChar w:fldCharType="separate"/>
      </w:r>
      <w:r w:rsidR="00B26FCC" w:rsidRPr="00B26FCC">
        <w:t>(McColl et al., 2014)</w:t>
      </w:r>
      <w:r>
        <w:rPr>
          <w:spacing w:val="-2"/>
        </w:rPr>
        <w:fldChar w:fldCharType="end"/>
      </w:r>
      <w:r w:rsidRPr="00B20A00">
        <w:rPr>
          <w:spacing w:val="-2"/>
        </w:rPr>
        <w:t>:</w:t>
      </w:r>
    </w:p>
    <w:p w14:paraId="7E0F2279" w14:textId="77777777" w:rsidR="00A32281" w:rsidRPr="00B20A00" w:rsidRDefault="00A32281" w:rsidP="00A32281">
      <w:pPr>
        <w:rPr>
          <w:spacing w:val="-2"/>
        </w:rPr>
      </w:pPr>
    </w:p>
    <w:tbl>
      <w:tblPr>
        <w:tblW w:w="5000" w:type="pct"/>
        <w:jc w:val="center"/>
        <w:tblLook w:val="04A0" w:firstRow="1" w:lastRow="0" w:firstColumn="1" w:lastColumn="0" w:noHBand="0" w:noVBand="1"/>
      </w:tblPr>
      <w:tblGrid>
        <w:gridCol w:w="8639"/>
        <w:gridCol w:w="721"/>
      </w:tblGrid>
      <w:tr w:rsidR="00A32281" w:rsidRPr="00B20A00" w14:paraId="78E08643" w14:textId="77777777" w:rsidTr="00F60FE8">
        <w:trPr>
          <w:jc w:val="center"/>
        </w:trPr>
        <w:tc>
          <w:tcPr>
            <w:tcW w:w="4615" w:type="pct"/>
            <w:shd w:val="clear" w:color="auto" w:fill="auto"/>
            <w:vAlign w:val="center"/>
          </w:tcPr>
          <w:p w14:paraId="25AA73C5" w14:textId="424374C2" w:rsidR="00A32281" w:rsidRPr="00B20A00" w:rsidRDefault="00143C6C" w:rsidP="00C2057D">
            <w:pPr>
              <w:jc w:val="center"/>
              <w:rPr>
                <w:spacing w:val="-2"/>
              </w:rPr>
            </w:pPr>
            <m:oMath>
              <m:sSub>
                <m:sSubPr>
                  <m:ctrlPr>
                    <w:rPr>
                      <w:rFonts w:ascii="Cambria Math" w:hAnsi="Cambria Math"/>
                      <w:i/>
                      <w:spacing w:val="-2"/>
                    </w:rPr>
                  </m:ctrlPr>
                </m:sSubPr>
                <m:e>
                  <m:r>
                    <w:rPr>
                      <w:rFonts w:ascii="Cambria Math" w:hAnsi="Cambria Math"/>
                      <w:spacing w:val="-2"/>
                    </w:rPr>
                    <m:t>σ</m:t>
                  </m:r>
                </m:e>
                <m:sub>
                  <m:r>
                    <w:rPr>
                      <w:rFonts w:ascii="Cambria Math" w:hAnsi="Cambria Math"/>
                      <w:spacing w:val="-2"/>
                    </w:rPr>
                    <m:t>ε</m:t>
                  </m:r>
                </m:sub>
              </m:sSub>
              <m:r>
                <w:rPr>
                  <w:rFonts w:ascii="Cambria Math" w:hAnsi="Cambria Math"/>
                  <w:spacing w:val="-2"/>
                </w:rPr>
                <m:t>=</m:t>
              </m:r>
              <m:d>
                <m:dPr>
                  <m:begChr m:val="{"/>
                  <m:endChr m:val=""/>
                  <m:ctrlPr>
                    <w:rPr>
                      <w:rFonts w:ascii="Cambria Math" w:hAnsi="Cambria Math"/>
                      <w:i/>
                      <w:spacing w:val="-2"/>
                    </w:rPr>
                  </m:ctrlPr>
                </m:dPr>
                <m:e>
                  <m:eqArr>
                    <m:eqArrPr>
                      <m:ctrlPr>
                        <w:rPr>
                          <w:rFonts w:ascii="Cambria Math" w:hAnsi="Cambria Math"/>
                          <w:i/>
                          <w:spacing w:val="-2"/>
                        </w:rPr>
                      </m:ctrlPr>
                    </m:eqArrPr>
                    <m:e>
                      <m:rad>
                        <m:radPr>
                          <m:degHide m:val="1"/>
                          <m:ctrlPr>
                            <w:rPr>
                              <w:rFonts w:ascii="Cambria Math" w:hAnsi="Cambria Math"/>
                              <w:i/>
                              <w:spacing w:val="-2"/>
                            </w:rPr>
                          </m:ctrlPr>
                        </m:radPr>
                        <m:deg/>
                        <m:e>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XX</m:t>
                              </m:r>
                            </m:sub>
                          </m:sSub>
                          <m:r>
                            <w:rPr>
                              <w:rFonts w:ascii="Cambria Math" w:hAnsi="Cambria Math"/>
                              <w:spacing w:val="-2"/>
                            </w:rPr>
                            <m:t>-</m:t>
                          </m:r>
                          <m:f>
                            <m:fPr>
                              <m:ctrlPr>
                                <w:rPr>
                                  <w:rFonts w:ascii="Cambria Math" w:hAnsi="Cambria Math"/>
                                  <w:i/>
                                  <w:spacing w:val="-2"/>
                                </w:rPr>
                              </m:ctrlPr>
                            </m:fPr>
                            <m:num>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XY</m:t>
                                  </m:r>
                                </m:sub>
                              </m:sSub>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XZ</m:t>
                                  </m:r>
                                </m:sub>
                              </m:sSub>
                            </m:num>
                            <m:den>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YZ</m:t>
                                  </m:r>
                                </m:sub>
                              </m:sSub>
                            </m:den>
                          </m:f>
                        </m:e>
                      </m:rad>
                    </m:e>
                    <m:e>
                      <m:rad>
                        <m:radPr>
                          <m:degHide m:val="1"/>
                          <m:ctrlPr>
                            <w:rPr>
                              <w:rFonts w:ascii="Cambria Math" w:hAnsi="Cambria Math"/>
                              <w:i/>
                              <w:spacing w:val="-2"/>
                            </w:rPr>
                          </m:ctrlPr>
                        </m:radPr>
                        <m:deg/>
                        <m:e>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YY</m:t>
                              </m:r>
                            </m:sub>
                          </m:sSub>
                          <m:r>
                            <w:rPr>
                              <w:rFonts w:ascii="Cambria Math" w:hAnsi="Cambria Math"/>
                              <w:spacing w:val="-2"/>
                            </w:rPr>
                            <m:t>-</m:t>
                          </m:r>
                          <m:f>
                            <m:fPr>
                              <m:ctrlPr>
                                <w:rPr>
                                  <w:rFonts w:ascii="Cambria Math" w:hAnsi="Cambria Math"/>
                                  <w:i/>
                                  <w:spacing w:val="-2"/>
                                </w:rPr>
                              </m:ctrlPr>
                            </m:fPr>
                            <m:num>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XY</m:t>
                                  </m:r>
                                </m:sub>
                              </m:sSub>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YZ</m:t>
                                  </m:r>
                                </m:sub>
                              </m:sSub>
                            </m:num>
                            <m:den>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XZ</m:t>
                                  </m:r>
                                </m:sub>
                              </m:sSub>
                            </m:den>
                          </m:f>
                        </m:e>
                      </m:rad>
                    </m:e>
                    <m:e>
                      <m:rad>
                        <m:radPr>
                          <m:degHide m:val="1"/>
                          <m:ctrlPr>
                            <w:rPr>
                              <w:rFonts w:ascii="Cambria Math" w:hAnsi="Cambria Math"/>
                              <w:i/>
                              <w:spacing w:val="-2"/>
                            </w:rPr>
                          </m:ctrlPr>
                        </m:radPr>
                        <m:deg/>
                        <m:e>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ZZ</m:t>
                              </m:r>
                            </m:sub>
                          </m:sSub>
                          <m:r>
                            <w:rPr>
                              <w:rFonts w:ascii="Cambria Math" w:hAnsi="Cambria Math"/>
                              <w:spacing w:val="-2"/>
                            </w:rPr>
                            <m:t>-</m:t>
                          </m:r>
                          <m:f>
                            <m:fPr>
                              <m:ctrlPr>
                                <w:rPr>
                                  <w:rFonts w:ascii="Cambria Math" w:hAnsi="Cambria Math"/>
                                  <w:i/>
                                  <w:spacing w:val="-2"/>
                                </w:rPr>
                              </m:ctrlPr>
                            </m:fPr>
                            <m:num>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XZ</m:t>
                                  </m:r>
                                </m:sub>
                              </m:sSub>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YZ</m:t>
                                  </m:r>
                                </m:sub>
                              </m:sSub>
                            </m:num>
                            <m:den>
                              <m:sSub>
                                <m:sSubPr>
                                  <m:ctrlPr>
                                    <w:rPr>
                                      <w:rFonts w:ascii="Cambria Math" w:hAnsi="Cambria Math"/>
                                      <w:i/>
                                      <w:spacing w:val="-2"/>
                                    </w:rPr>
                                  </m:ctrlPr>
                                </m:sSubPr>
                                <m:e>
                                  <m:r>
                                    <w:rPr>
                                      <w:rFonts w:ascii="Cambria Math" w:hAnsi="Cambria Math"/>
                                      <w:spacing w:val="-2"/>
                                    </w:rPr>
                                    <m:t>Q</m:t>
                                  </m:r>
                                </m:e>
                                <m:sub>
                                  <m:r>
                                    <w:rPr>
                                      <w:rFonts w:ascii="Cambria Math" w:hAnsi="Cambria Math"/>
                                      <w:spacing w:val="-2"/>
                                    </w:rPr>
                                    <m:t>XY</m:t>
                                  </m:r>
                                </m:sub>
                              </m:sSub>
                            </m:den>
                          </m:f>
                        </m:e>
                      </m:rad>
                    </m:e>
                  </m:eqArr>
                </m:e>
              </m:d>
            </m:oMath>
            <w:r w:rsidR="00A32281" w:rsidRPr="00B20A00">
              <w:rPr>
                <w:spacing w:val="-2"/>
              </w:rPr>
              <w:t xml:space="preserve">    </w:t>
            </w:r>
            <w:r w:rsidR="00A32281">
              <w:rPr>
                <w:spacing w:val="-2"/>
              </w:rPr>
              <w:t xml:space="preserve">                           (</w:t>
            </w:r>
            <w:r w:rsidR="00C32ACD">
              <w:rPr>
                <w:spacing w:val="-2"/>
              </w:rPr>
              <w:t>4.</w:t>
            </w:r>
            <w:r w:rsidR="00A32281">
              <w:rPr>
                <w:spacing w:val="-2"/>
              </w:rPr>
              <w:t>5)</w:t>
            </w:r>
          </w:p>
        </w:tc>
        <w:tc>
          <w:tcPr>
            <w:tcW w:w="385" w:type="pct"/>
            <w:shd w:val="clear" w:color="auto" w:fill="auto"/>
            <w:vAlign w:val="center"/>
          </w:tcPr>
          <w:p w14:paraId="17281CAB" w14:textId="77777777" w:rsidR="00A32281" w:rsidRPr="00B20A00" w:rsidRDefault="00A32281" w:rsidP="00A32281">
            <w:pPr>
              <w:rPr>
                <w:spacing w:val="-2"/>
              </w:rPr>
            </w:pPr>
          </w:p>
        </w:tc>
      </w:tr>
    </w:tbl>
    <w:p w14:paraId="588BB6BE" w14:textId="77777777" w:rsidR="00A32281" w:rsidRPr="001C58A3" w:rsidRDefault="00A32281" w:rsidP="00A32281">
      <w:pPr>
        <w:pStyle w:val="MDPI31text"/>
        <w:ind w:firstLine="0"/>
        <w:rPr>
          <w:spacing w:val="-2"/>
        </w:rPr>
      </w:pPr>
    </w:p>
    <w:p w14:paraId="6456BC38" w14:textId="432FCE7B" w:rsidR="003E0A46" w:rsidRDefault="00354730" w:rsidP="00354730">
      <w:pPr>
        <w:pStyle w:val="3"/>
      </w:pPr>
      <w:bookmarkStart w:id="178" w:name="_Toc75939872"/>
      <w:r>
        <w:lastRenderedPageBreak/>
        <w:t xml:space="preserve">4.3.3 </w:t>
      </w:r>
      <w:r w:rsidRPr="00354730">
        <w:t>Least square weighting</w:t>
      </w:r>
      <w:bookmarkEnd w:id="178"/>
    </w:p>
    <w:p w14:paraId="0E863D7B" w14:textId="75B8A41E" w:rsidR="006B68D7" w:rsidRDefault="006B68D7" w:rsidP="006B68D7">
      <w:r w:rsidRPr="004A792E">
        <w:t>Least square weighting (LSW) is a commonly used method for blending different soil moisture data sources</w:t>
      </w:r>
      <w:r>
        <w:t xml:space="preserve"> </w:t>
      </w:r>
      <w:r>
        <w:fldChar w:fldCharType="begin"/>
      </w:r>
      <w:r w:rsidR="0075552F">
        <w:instrText xml:space="preserve"> ADDIN ZOTERO_ITEM CSL_CITATION {"citationID":"036d0oOP","properties":{"formattedCitation":"(Gruber et al., 2019; Yilmaz et al., 2012; Zeng et al., 2016; N. Zhang et al., 2021)","plainCitation":"(Gruber et al., 2019; Yilmaz et al., 2012; Zeng et al., 2016; N. Zhang et al., 2021)","dontUpdate":true,"noteIndex":0},"citationItems":[{"id":183,"uris":["http://zotero.org/users/7782726/items/EUUL8YJ2"],"uri":["http://zotero.org/users/7782726/items/EUUL8YJ2"],"itemData":{"id":183,"type":"article-journal","contain</w:instrText>
      </w:r>
      <w:r w:rsidR="0075552F">
        <w:rPr>
          <w:rFonts w:hint="eastAsia"/>
        </w:rPr>
        <w:instrText>er-title":"Water Resources Research","issue":"11","note":"ISBN: 0043-1397\npublisher: Wiley Online Library","title":"An objective methodology for merging satellite</w:instrText>
      </w:r>
      <w:r w:rsidR="0075552F">
        <w:rPr>
          <w:rFonts w:hint="eastAsia"/>
        </w:rPr>
        <w:instrText>‐</w:instrText>
      </w:r>
      <w:r w:rsidR="0075552F">
        <w:rPr>
          <w:rFonts w:hint="eastAsia"/>
        </w:rPr>
        <w:instrText>and model</w:instrText>
      </w:r>
      <w:r w:rsidR="0075552F">
        <w:rPr>
          <w:rFonts w:hint="eastAsia"/>
        </w:rPr>
        <w:instrText>‐</w:instrText>
      </w:r>
      <w:r w:rsidR="0075552F">
        <w:rPr>
          <w:rFonts w:hint="eastAsia"/>
        </w:rPr>
        <w:instrText>based soil moisture products","volume":"48","author":[{"family":"Yilmaz","given":</w:instrText>
      </w:r>
      <w:r w:rsidR="0075552F">
        <w:instrText>"MUSTAFA TUĞRUL"},{"family":"Crow","given":"W. T."},{"family":"Anderson","given":"Martha C."},{"family":"Hain","given":"Chris"}],"issued":{"date-parts":[["2012"]]}}},{"id":205,"uris":["http://zotero.org/users/7782726/items/XNSMA7J9"],"uri":["http://zotero.org/users/7782726/items/XNSMA7J9"],"itemData":{"id":205,"type":"article-journal","abstract":"The inter-comparison of different soil moisture (SM) products over the Tibetan Plateau (TP) reveals the inconsistency among different SM products, when compared to in situ measurement. It highlights the need to constrain the model simulated SM with the in situ measured data climatology. In this study, the in situ soil moisture networks, combined with the classification of climate zones over the TP, were used to produce the in situ measured SM climatology at the plateau scale. The generated TP scale in situ SM climatology was then used to scale the model-simulated SM data, which was subsequently used to scale the SM satellite observations. The climatology-scaled satellite and model-simulated SM were then blended objectively, by applying the triple collocation and least squares method. The final blended SM can replicate the SM dynamics across different climatic zones, from sub-humid regions to semi-arid and arid regions over the TP. This demonstrates the need to constrain the model-simulated SM estimates with the in situ measurements before their further applications in scaling climatology of SM satellite products.","container-title":"Remote Sensing","DOI":"10.3390/rs8030268","issue":"3","language":"en","note":"number: 3\npublisher: Multidisciplinary Digital Publishing Institute","page":"268","source":"www.mdpi.com","title":"Blending Satellite Observed, Model Simulated, and in Situ Measured Soil Moisture over Tibetan Plateau","volume":"8","author":[{"family":"Zeng","given":"Yijian"},{"family":"Su","given":"Zhongbo"},{"family":"Van der Velde","given":"Rogier"},{"family":"Wang","given":"Lichun"},{"family":"Xu","given":"Kai"},{"family":"Wang","given":"Xing"},{"family":"Wen","given":"Jun"}],"issued":{"date-parts":[["2016",3]]}}},{"id":200,"uris":["http://zotero.org/users/7782726/items/KUB4RY2Y"],"uri":["http://zotero.org/users/7782726/items/KUB4RY2Y"],"itemData":{"id":200,"type":"article-journal","abstract":"&lt;p&gt;&lt;strong class=\"journal-contentHeaderColor\"&gt;Abstract.&lt;/strong&gt; The European Space Agency's Climate Change Initiative for Soil Moisture (ESA CCI SM) merging algorithm generates consistent quality-controlled long-term (1978–2018) climate data records for soil moisture, which serves thousands of scientists and data users worldwide. It harmonises and merges soil moisture retrievals from multiple satellites into (i) an active-microwave-based-only product, (ii) a passive-microwave-based-only product and (iii) a combined active–passive product, which are sampled to daily global images on a 0.25&lt;span class=\"inline-formula\"&gt;&lt;sup&gt;</w:instrText>
      </w:r>
      <w:r w:rsidR="0075552F">
        <w:rPr>
          <w:rFonts w:ascii="Cambria Math" w:hAnsi="Cambria Math" w:cs="Cambria Math"/>
        </w:rPr>
        <w:instrText>∘</w:instrText>
      </w:r>
      <w:r w:rsidR="0075552F">
        <w:instrText xml:space="preserve">&lt;/sup&gt;&lt;/span&gt; regular grid. Since its first release in 2012 the algorithm has undergone substantial improvements which have so far not been thoroughly reported in the scientific literature. This paper fills this gap by reviewing and discussing the science behind the three major ESA CCI SM merging algorithms, versions 2 (&lt;a href=\"https://doi.org/10.5285/3729b3fbbb434930bf65d82f9b00111c\"&gt;https://doi.org/10.5285/3729b3fbbb434930bf65d82f9b00111c&lt;/a&gt;; &lt;span class=\"cit\" id=\"xref_altparen.1\"&gt;&lt;a href=\"#bib1.bibx76\"&gt;Wagner et al.&lt;/a&gt;, &lt;a href=\"#bib1.bibx76\"&gt;2018&lt;/a&gt;&lt;/span&gt;), 3 (&lt;a href=\"https://doi.org/10.5285/b810601740bd4848b0d7965e6d83d26c\"&gt;https://doi.org/10.5285/b810601740bd4848b0d7965e6d83d26c&lt;/a&gt;; &lt;span class=\"cit\" id=\"xref_altparen.2\"&gt;&lt;a href=\"#bib1.bibx21\"&gt;Dorigo et al.&lt;/a&gt;, &lt;a href=\"#bib1.bibx21\"&gt;2018&lt;/a&gt;&lt;/span&gt;) and 4 (&lt;a href=\"https://doi.org/10.5285/dce27a397eaf47e797050c220972ca0e\"&gt;https://doi.org/10.5285/dce27a397eaf47e797050c220972ca0e&lt;/a&gt;; &lt;span class=\"cit\" id=\"xref_altparen.3\"&gt;&lt;a href=\"#bib1.bibx22\"&gt;Dorigo et al.&lt;/a&gt;, &lt;a href=\"#bib1.bibx22\"&gt;2019&lt;/a&gt;&lt;/span&gt;), and provides an outlook on the expected improvements planned for the next algorithm, version 5.&lt;/p&gt;","container-title":"Earth System Science Data","DOI":"10.5194/essd-11-717-2019","ISSN":"1866-3508","issue":"2","language":"English","note":"publisher: Copernicus GmbH","page":"717-739","source":"essd.copernicus.org","title":"Evolution of the ESA CCI Soil Moisture climate data records and their underlying merging methodology","volume":"11","author":[{"family":"Gruber","given":"Alexander"},{"family":"Scanlon","given":"Tracy"},{"family":"Schalie","given":"Robin","non-dropping-particle":"van der"},{"family":"Wagner","given":"Wolfgang"},{"family":"Dorigo","given":"Wouter"}],"issued":{"date-parts":[["2019",5,23]]}}},{"id":203,"uris":["http://zotero.org/users/7782726/items/77WPFSHY"],"uri":["http://zotero.org/users/7782726/items/77WPFSHY"],"itemData":{"id":203,"type":"article-journal","abstract":"&lt;section class=\"abstract\"&gt;&lt;h2 class=\"abstractTitle text-title my-1\" id=\"d33458289e85\"&gt;Abstract&lt;/h2&gt;&lt;p&gt;Soil moisture can be obtained from &lt;em&gt;in-situ&lt;/em&gt; measurements, satellite observations, and model simulations. This study evaluates the importance of &lt;em&gt;in-situ&lt;/em&gt; observations in soil moisture blending, and compares different weighting and sampling methods for combining model, satellite, and &lt;em&gt;in-situ&lt;/em&gt; soil moisture data to generate an accurate and spatially-continuous soil moisture product at 4-km resolution. Four different datasets are used: Antecedent Precipitation Index (API), KAPI, which incorporates &lt;em&gt;in-situ&lt;/em&gt; soil moisture observations with the API using regression kriging, SMOS L3 soil moisture, and model-simulated soil moisture from the Noah model as part of the North American Land Data Assimilation System (NLDAS). Triple collocation, least square weighting, and equal weighting are used to generate blended soil moisture products. An enumerated weighting scheme is designed to investigate the impact of different weighting schemes. The sensitivity of the blended soil moisture products to sampling schemes, station density and data formats (absolute, anomalies and percentiles) are also investigated. The results reveal KAPI outperforms API. This indicates that incorporating &lt;em&gt;in-situ&lt;/em&gt; soil moisture improves the accuracy of the blended soil moisture products. There are no statistically significant (p&amp;gt;0.05) differences between blended soil moisture using triple collocation and equal weighting approaches, and both methods provide sub-optimal weighting. Optimal weighting is achieved by assigning larger weights to KAPI and smaller weights to SMOS. Using multiple sources of soil moisture is helpful for reducing uncertainty and improving accuracy, especially when the sampling density is low, or the sampling stations are less representative. These results are consistent regardless of how soil moisture is represented (absolute, anomalies or percentiles).&lt;/p&gt;&lt;/section&gt;","container-title":"Journal of Hydrometeorology","DOI":"10.1175/JHM-D-20-0119.1","ISSN":"1525-7541, 1525-755X","issue":"aop","language":"EN","note":"publisher: American Meteorological Society\nsection: Journal of Hydrometeorology","source":"journals.ametsoc.org","title":"Blending Noah, SMOS and In-Situ Soil Moisture Using Multiple Weighting and Sampling Schemes","URL":"https://journals.ametsoc.org/view/journals/hydr/aop/JHM-D-20-0119.1/JHM-D-20-0119.1.xml","volume":"-1","author":[{"family":"Zhang","given":"Ning"},{"family":"Quiring","given":"Steven M."},{"family":"Ford","given":"Trent W."}],"accessed":{"date-parts":[["2021",6,8]]},"issued":{"date-parts":[["2021",5,18]]}}}],"schema":"https://github.com/citation-style-language/schema/raw/master/csl-citation.json"} </w:instrText>
      </w:r>
      <w:r>
        <w:fldChar w:fldCharType="separate"/>
      </w:r>
      <w:r w:rsidR="00B26FCC" w:rsidRPr="00B26FCC">
        <w:t>(Gruber et al., 2019; Yilmaz et al., 2012; Zeng et al., 2016; Zhang et al., 2021)</w:t>
      </w:r>
      <w:r>
        <w:fldChar w:fldCharType="end"/>
      </w:r>
      <w:r>
        <w:t xml:space="preserve">. </w:t>
      </w:r>
      <w:r w:rsidRPr="00D211E8">
        <w:t>The least square framework can be expressed as:</w:t>
      </w:r>
    </w:p>
    <w:p w14:paraId="4EF14BFC" w14:textId="5D56D105" w:rsidR="006B68D7" w:rsidRDefault="00143C6C" w:rsidP="00032B06">
      <w:pPr>
        <w:jc w:val="center"/>
      </w:pPr>
      <m:oMath>
        <m:sSub>
          <m:sSubPr>
            <m:ctrlPr>
              <w:rPr>
                <w:rFonts w:ascii="Cambria Math" w:hAnsi="Cambria Math"/>
              </w:rPr>
            </m:ctrlPr>
          </m:sSubPr>
          <m:e>
            <m:r>
              <w:rPr>
                <w:rFonts w:ascii="Cambria Math" w:hAnsi="Cambria Math"/>
              </w:rPr>
              <m:t>S</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x</m:t>
            </m:r>
          </m:sub>
        </m:sSub>
        <m:sSub>
          <m:sSubPr>
            <m:ctrlPr>
              <w:rPr>
                <w:rFonts w:ascii="Cambria Math" w:hAnsi="Cambria Math"/>
              </w:rPr>
            </m:ctrlPr>
          </m:sSubPr>
          <m:e>
            <m:r>
              <w:rPr>
                <w:rFonts w:ascii="Cambria Math" w:hAnsi="Cambria Math"/>
              </w:rPr>
              <m:t>S</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y</m:t>
            </m:r>
          </m:sub>
        </m:sSub>
        <m:sSub>
          <m:sSubPr>
            <m:ctrlPr>
              <w:rPr>
                <w:rFonts w:ascii="Cambria Math" w:hAnsi="Cambria Math"/>
              </w:rPr>
            </m:ctrlPr>
          </m:sSubPr>
          <m:e>
            <m:r>
              <w:rPr>
                <w:rFonts w:ascii="Cambria Math" w:hAnsi="Cambria Math"/>
              </w:rPr>
              <m:t>S</m:t>
            </m:r>
          </m:e>
          <m:sub>
            <m:r>
              <w:rPr>
                <w:rFonts w:ascii="Cambria Math" w:hAnsi="Cambria Math"/>
              </w:rPr>
              <m:t>y</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z</m:t>
            </m:r>
          </m:sub>
        </m:sSub>
        <m:sSub>
          <m:sSubPr>
            <m:ctrlPr>
              <w:rPr>
                <w:rFonts w:ascii="Cambria Math" w:hAnsi="Cambria Math"/>
              </w:rPr>
            </m:ctrlPr>
          </m:sSubPr>
          <m:e>
            <m:r>
              <w:rPr>
                <w:rFonts w:ascii="Cambria Math" w:hAnsi="Cambria Math"/>
              </w:rPr>
              <m:t>S</m:t>
            </m:r>
          </m:e>
          <m:sub>
            <m:r>
              <w:rPr>
                <w:rFonts w:ascii="Cambria Math" w:hAnsi="Cambria Math"/>
              </w:rPr>
              <m:t>z</m:t>
            </m:r>
          </m:sub>
        </m:sSub>
      </m:oMath>
      <w:r w:rsidR="006B68D7">
        <w:t xml:space="preserve">             (</w:t>
      </w:r>
      <w:r w:rsidR="004C15EC">
        <w:t>4</w:t>
      </w:r>
      <w:r w:rsidR="00086814">
        <w:t>.</w:t>
      </w:r>
      <w:r w:rsidR="006B68D7">
        <w:t>6)</w:t>
      </w:r>
    </w:p>
    <w:p w14:paraId="19FCD425" w14:textId="77777777" w:rsidR="006B68D7" w:rsidRDefault="006B68D7" w:rsidP="006B68D7">
      <w:r>
        <w:t xml:space="preserve">Where, </w:t>
      </w:r>
      <m:oMath>
        <m:sSub>
          <m:sSubPr>
            <m:ctrlPr>
              <w:rPr>
                <w:rFonts w:ascii="Cambria Math" w:hAnsi="Cambria Math"/>
              </w:rPr>
            </m:ctrlPr>
          </m:sSubPr>
          <m:e>
            <m:r>
              <w:rPr>
                <w:rFonts w:ascii="Cambria Math" w:hAnsi="Cambria Math"/>
              </w:rPr>
              <m:t>S</m:t>
            </m:r>
          </m:e>
          <m:sub>
            <m:r>
              <w:rPr>
                <w:rFonts w:ascii="Cambria Math" w:hAnsi="Cambria Math"/>
              </w:rPr>
              <m:t>m</m:t>
            </m:r>
          </m:sub>
        </m:sSub>
      </m:oMath>
      <w:r>
        <w:t xml:space="preserve"> is the merged product, </w:t>
      </w:r>
      <m:oMath>
        <m:sSub>
          <m:sSubPr>
            <m:ctrlPr>
              <w:rPr>
                <w:rFonts w:ascii="Cambria Math" w:hAnsi="Cambria Math"/>
              </w:rPr>
            </m:ctrlPr>
          </m:sSubPr>
          <m:e>
            <m:r>
              <w:rPr>
                <w:rFonts w:ascii="Cambria Math" w:hAnsi="Cambria Math"/>
              </w:rPr>
              <m:t>w</m:t>
            </m:r>
          </m:e>
          <m:sub>
            <m:r>
              <w:rPr>
                <w:rFonts w:ascii="Cambria Math" w:hAnsi="Cambria Math"/>
              </w:rPr>
              <m:t>x</m:t>
            </m:r>
          </m:sub>
        </m:sSub>
      </m:oMath>
      <w:r>
        <w:t xml:space="preserve">, </w:t>
      </w:r>
      <m:oMath>
        <m:sSub>
          <m:sSubPr>
            <m:ctrlPr>
              <w:rPr>
                <w:rFonts w:ascii="Cambria Math" w:hAnsi="Cambria Math"/>
              </w:rPr>
            </m:ctrlPr>
          </m:sSubPr>
          <m:e>
            <m:r>
              <w:rPr>
                <w:rFonts w:ascii="Cambria Math" w:hAnsi="Cambria Math"/>
              </w:rPr>
              <m:t>w</m:t>
            </m:r>
          </m:e>
          <m:sub>
            <m:r>
              <w:rPr>
                <w:rFonts w:ascii="Cambria Math" w:hAnsi="Cambria Math"/>
              </w:rPr>
              <m:t>y</m:t>
            </m:r>
          </m:sub>
        </m:sSub>
      </m:oMath>
      <w:r>
        <w:t xml:space="preserve">, and </w:t>
      </w:r>
      <m:oMath>
        <m:sSub>
          <m:sSubPr>
            <m:ctrlPr>
              <w:rPr>
                <w:rFonts w:ascii="Cambria Math" w:hAnsi="Cambria Math"/>
              </w:rPr>
            </m:ctrlPr>
          </m:sSubPr>
          <m:e>
            <m:r>
              <w:rPr>
                <w:rFonts w:ascii="Cambria Math" w:hAnsi="Cambria Math"/>
              </w:rPr>
              <m:t>w</m:t>
            </m:r>
          </m:e>
          <m:sub>
            <m:r>
              <w:rPr>
                <w:rFonts w:ascii="Cambria Math" w:hAnsi="Cambria Math"/>
              </w:rPr>
              <m:t>z</m:t>
            </m:r>
          </m:sub>
        </m:sSub>
      </m:oMath>
      <w:r>
        <w:t xml:space="preserve"> are the relative weights of three parent datasets </w:t>
      </w:r>
      <m:oMath>
        <m:sSub>
          <m:sSubPr>
            <m:ctrlPr>
              <w:rPr>
                <w:rFonts w:ascii="Cambria Math" w:hAnsi="Cambria Math"/>
              </w:rPr>
            </m:ctrlPr>
          </m:sSubPr>
          <m:e>
            <m:r>
              <w:rPr>
                <w:rFonts w:ascii="Cambria Math" w:hAnsi="Cambria Math"/>
              </w:rPr>
              <m:t>S</m:t>
            </m:r>
          </m:e>
          <m:sub>
            <m:r>
              <w:rPr>
                <w:rFonts w:ascii="Cambria Math" w:hAnsi="Cambria Math"/>
              </w:rPr>
              <m:t>x</m:t>
            </m:r>
          </m:sub>
        </m:sSub>
      </m:oMath>
      <w:r>
        <w:t xml:space="preserve">, </w:t>
      </w:r>
      <m:oMath>
        <m:sSub>
          <m:sSubPr>
            <m:ctrlPr>
              <w:rPr>
                <w:rFonts w:ascii="Cambria Math" w:hAnsi="Cambria Math"/>
              </w:rPr>
            </m:ctrlPr>
          </m:sSubPr>
          <m:e>
            <m:r>
              <w:rPr>
                <w:rFonts w:ascii="Cambria Math" w:hAnsi="Cambria Math"/>
              </w:rPr>
              <m:t>S</m:t>
            </m:r>
          </m:e>
          <m:sub>
            <m:r>
              <w:rPr>
                <w:rFonts w:ascii="Cambria Math" w:hAnsi="Cambria Math"/>
              </w:rPr>
              <m:t>y</m:t>
            </m:r>
          </m:sub>
        </m:sSub>
      </m:oMath>
      <w:r>
        <w:t xml:space="preserve"> and </w:t>
      </w:r>
      <m:oMath>
        <m:sSub>
          <m:sSubPr>
            <m:ctrlPr>
              <w:rPr>
                <w:rFonts w:ascii="Cambria Math" w:hAnsi="Cambria Math"/>
              </w:rPr>
            </m:ctrlPr>
          </m:sSubPr>
          <m:e>
            <m:r>
              <w:rPr>
                <w:rFonts w:ascii="Cambria Math" w:hAnsi="Cambria Math"/>
              </w:rPr>
              <m:t>S</m:t>
            </m:r>
          </m:e>
          <m:sub>
            <m:r>
              <w:rPr>
                <w:rFonts w:ascii="Cambria Math" w:hAnsi="Cambria Math"/>
              </w:rPr>
              <m:t>z</m:t>
            </m:r>
          </m:sub>
        </m:sSub>
      </m:oMath>
      <w:r>
        <w:t xml:space="preserve"> respectively. With </w:t>
      </w:r>
      <m:oMath>
        <m:sSub>
          <m:sSubPr>
            <m:ctrlPr>
              <w:rPr>
                <w:rFonts w:ascii="Cambria Math" w:hAnsi="Cambria Math"/>
                <w:i/>
              </w:rPr>
            </m:ctrlPr>
          </m:sSubPr>
          <m:e>
            <m:r>
              <w:rPr>
                <w:rFonts w:ascii="Cambria Math" w:hAnsi="Cambria Math"/>
              </w:rPr>
              <m:t>w</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z</m:t>
            </m:r>
          </m:sub>
        </m:sSub>
        <m:r>
          <w:rPr>
            <w:rFonts w:ascii="Cambria Math" w:hAnsi="Cambria Math"/>
          </w:rPr>
          <m:t>=1</m:t>
        </m:r>
      </m:oMath>
      <w:r>
        <w:t xml:space="preserve">, and by minimizing a cost function and the partial derivative of the cost function with respect to </w:t>
      </w:r>
      <m:oMath>
        <m:sSub>
          <m:sSubPr>
            <m:ctrlPr>
              <w:rPr>
                <w:rFonts w:ascii="Cambria Math" w:hAnsi="Cambria Math"/>
              </w:rPr>
            </m:ctrlPr>
          </m:sSubPr>
          <m:e>
            <m:r>
              <w:rPr>
                <w:rFonts w:ascii="Cambria Math" w:hAnsi="Cambria Math"/>
              </w:rPr>
              <m:t>w</m:t>
            </m:r>
          </m:e>
          <m:sub>
            <m:r>
              <w:rPr>
                <w:rFonts w:ascii="Cambria Math" w:hAnsi="Cambria Math"/>
              </w:rPr>
              <m:t>x</m:t>
            </m:r>
          </m:sub>
        </m:sSub>
      </m:oMath>
      <w:r>
        <w:t xml:space="preserve"> ,</w:t>
      </w:r>
      <m:oMath>
        <m:sSub>
          <m:sSubPr>
            <m:ctrlPr>
              <w:rPr>
                <w:rFonts w:ascii="Cambria Math" w:hAnsi="Cambria Math"/>
              </w:rPr>
            </m:ctrlPr>
          </m:sSubPr>
          <m:e>
            <m:r>
              <w:rPr>
                <w:rFonts w:ascii="Cambria Math" w:hAnsi="Cambria Math"/>
              </w:rPr>
              <m:t>w</m:t>
            </m:r>
          </m:e>
          <m:sub>
            <m:r>
              <w:rPr>
                <w:rFonts w:ascii="Cambria Math" w:hAnsi="Cambria Math"/>
              </w:rPr>
              <m:t>y</m:t>
            </m:r>
          </m:sub>
        </m:sSub>
      </m:oMath>
      <w:r>
        <w:t xml:space="preserve">, and </w:t>
      </w:r>
      <m:oMath>
        <m:sSub>
          <m:sSubPr>
            <m:ctrlPr>
              <w:rPr>
                <w:rFonts w:ascii="Cambria Math" w:hAnsi="Cambria Math"/>
              </w:rPr>
            </m:ctrlPr>
          </m:sSubPr>
          <m:e>
            <m:r>
              <w:rPr>
                <w:rFonts w:ascii="Cambria Math" w:hAnsi="Cambria Math"/>
              </w:rPr>
              <m:t>w</m:t>
            </m:r>
          </m:e>
          <m:sub>
            <m:r>
              <w:rPr>
                <w:rFonts w:ascii="Cambria Math" w:hAnsi="Cambria Math"/>
              </w:rPr>
              <m:t>z</m:t>
            </m:r>
          </m:sub>
        </m:sSub>
      </m:oMath>
      <w:r>
        <w:t>, the optimal estimation of the weights are obtained from:</w:t>
      </w:r>
    </w:p>
    <w:p w14:paraId="136361DE" w14:textId="44B6A788" w:rsidR="006B68D7" w:rsidRDefault="00143C6C" w:rsidP="00032B06">
      <w:pPr>
        <w:jc w:val="center"/>
      </w:pPr>
      <m:oMath>
        <m:sSub>
          <m:sSubPr>
            <m:ctrlPr>
              <w:rPr>
                <w:rFonts w:ascii="Cambria Math" w:hAnsi="Cambria Math"/>
                <w:i/>
              </w:rPr>
            </m:ctrlPr>
          </m:sSubPr>
          <m:e>
            <m:r>
              <w:rPr>
                <w:rFonts w:ascii="Cambria Math" w:hAnsi="Cambria Math"/>
              </w:rPr>
              <m:t>w</m:t>
            </m:r>
          </m:e>
          <m:sub>
            <m:r>
              <w:rPr>
                <w:rFonts w:ascii="Cambria Math" w:hAnsi="Cambria Math"/>
              </w:rPr>
              <m:t>x</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num>
          <m:den>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den>
        </m:f>
      </m:oMath>
      <w:r w:rsidR="006B68D7">
        <w:t xml:space="preserve">        (</w:t>
      </w:r>
      <w:r w:rsidR="004C15EC">
        <w:t>4</w:t>
      </w:r>
      <w:r w:rsidR="00086814">
        <w:t>.</w:t>
      </w:r>
      <w:r w:rsidR="006B68D7">
        <w:t>7)</w:t>
      </w:r>
    </w:p>
    <w:p w14:paraId="66AE2DA1" w14:textId="48D8A4FE" w:rsidR="006B68D7" w:rsidRPr="00F137F7" w:rsidRDefault="00143C6C" w:rsidP="00032B06">
      <w:pPr>
        <w:jc w:val="center"/>
      </w:pPr>
      <m:oMath>
        <m:sSub>
          <m:sSubPr>
            <m:ctrlPr>
              <w:rPr>
                <w:rFonts w:ascii="Cambria Math" w:hAnsi="Cambria Math"/>
                <w:i/>
              </w:rPr>
            </m:ctrlPr>
          </m:sSubPr>
          <m:e>
            <m:r>
              <w:rPr>
                <w:rFonts w:ascii="Cambria Math" w:hAnsi="Cambria Math"/>
              </w:rPr>
              <m:t>w</m:t>
            </m:r>
          </m:e>
          <m:sub>
            <m:r>
              <w:rPr>
                <w:rFonts w:ascii="Cambria Math" w:hAnsi="Cambria Math"/>
              </w:rPr>
              <m:t>y</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num>
          <m:den>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den>
        </m:f>
      </m:oMath>
      <w:r w:rsidR="006B68D7">
        <w:t xml:space="preserve">        (</w:t>
      </w:r>
      <w:r w:rsidR="004C15EC">
        <w:t>4</w:t>
      </w:r>
      <w:r w:rsidR="00086814">
        <w:t>.</w:t>
      </w:r>
      <w:r w:rsidR="006B68D7">
        <w:t>8)</w:t>
      </w:r>
    </w:p>
    <w:p w14:paraId="43196B3B" w14:textId="0A3F72CC" w:rsidR="006B68D7" w:rsidRDefault="00143C6C" w:rsidP="00032B06">
      <w:pPr>
        <w:jc w:val="center"/>
      </w:pPr>
      <m:oMath>
        <m:sSub>
          <m:sSubPr>
            <m:ctrlPr>
              <w:rPr>
                <w:rFonts w:ascii="Cambria Math" w:hAnsi="Cambria Math"/>
                <w:i/>
              </w:rPr>
            </m:ctrlPr>
          </m:sSubPr>
          <m:e>
            <m:r>
              <w:rPr>
                <w:rFonts w:ascii="Cambria Math" w:hAnsi="Cambria Math"/>
              </w:rPr>
              <m:t>w</m:t>
            </m:r>
          </m:e>
          <m:sub>
            <m:r>
              <w:rPr>
                <w:rFonts w:ascii="Cambria Math" w:hAnsi="Cambria Math"/>
              </w:rPr>
              <m:t>z</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num>
          <m:den>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den>
        </m:f>
      </m:oMath>
      <w:r w:rsidR="006B68D7">
        <w:t xml:space="preserve">        (</w:t>
      </w:r>
      <w:r w:rsidR="004C15EC">
        <w:t>4</w:t>
      </w:r>
      <w:r w:rsidR="00086814">
        <w:t>.</w:t>
      </w:r>
      <w:r w:rsidR="006B68D7">
        <w:t>9)</w:t>
      </w:r>
    </w:p>
    <w:p w14:paraId="413385EF" w14:textId="6906185B" w:rsidR="006B68D7" w:rsidRDefault="006B68D7" w:rsidP="006B68D7">
      <w:r>
        <w:t xml:space="preserve">Where, </w:t>
      </w:r>
      <m:oMath>
        <m:sSubSup>
          <m:sSubSupPr>
            <m:ctrlPr>
              <w:rPr>
                <w:rFonts w:ascii="Cambria Math" w:hAnsi="Cambria Math"/>
                <w:i/>
              </w:rPr>
            </m:ctrlPr>
          </m:sSubSupPr>
          <m:e>
            <m:r>
              <w:rPr>
                <w:rFonts w:ascii="Cambria Math" w:hAnsi="Cambria Math"/>
              </w:rPr>
              <m:t>σ</m:t>
            </m:r>
          </m:e>
          <m:sub>
            <m:r>
              <w:rPr>
                <w:rFonts w:ascii="Cambria Math" w:hAnsi="Cambria Math"/>
              </w:rPr>
              <m:t>x</m:t>
            </m:r>
          </m:sub>
          <m:sup>
            <m:r>
              <w:rPr>
                <w:rFonts w:ascii="Cambria Math" w:hAnsi="Cambria Math"/>
              </w:rPr>
              <m:t>2</m:t>
            </m:r>
          </m:sup>
        </m:sSubSup>
      </m:oMath>
      <w:r>
        <w:t xml:space="preserve">, </w:t>
      </w:r>
      <m:oMath>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2</m:t>
            </m:r>
          </m:sup>
        </m:sSubSup>
      </m:oMath>
      <w:r>
        <w:t xml:space="preserve">, and </w:t>
      </w:r>
      <m:oMath>
        <m:sSubSup>
          <m:sSubSupPr>
            <m:ctrlPr>
              <w:rPr>
                <w:rFonts w:ascii="Cambria Math" w:hAnsi="Cambria Math"/>
                <w:i/>
              </w:rPr>
            </m:ctrlPr>
          </m:sSubSupPr>
          <m:e>
            <m:r>
              <w:rPr>
                <w:rFonts w:ascii="Cambria Math" w:hAnsi="Cambria Math"/>
              </w:rPr>
              <m:t>σ</m:t>
            </m:r>
          </m:e>
          <m:sub>
            <m:r>
              <w:rPr>
                <w:rFonts w:ascii="Cambria Math" w:hAnsi="Cambria Math"/>
              </w:rPr>
              <m:t>z</m:t>
            </m:r>
          </m:sub>
          <m:sup>
            <m:r>
              <w:rPr>
                <w:rFonts w:ascii="Cambria Math" w:hAnsi="Cambria Math"/>
              </w:rPr>
              <m:t>2</m:t>
            </m:r>
          </m:sup>
        </m:sSubSup>
      </m:oMath>
      <w:r>
        <w:t xml:space="preserve"> are the TC-estimated error variance for the parent datasets.</w:t>
      </w:r>
    </w:p>
    <w:p w14:paraId="29E156C4" w14:textId="77777777" w:rsidR="00DE2E4A" w:rsidRPr="0069561C" w:rsidRDefault="00DE2E4A" w:rsidP="006B68D7"/>
    <w:p w14:paraId="1C111370" w14:textId="757AB326" w:rsidR="00F4517B" w:rsidRDefault="002567DD" w:rsidP="002567DD">
      <w:pPr>
        <w:pStyle w:val="3"/>
      </w:pPr>
      <w:bookmarkStart w:id="179" w:name="_Toc75939873"/>
      <w:r>
        <w:t xml:space="preserve">4.3.4 </w:t>
      </w:r>
      <w:r w:rsidRPr="002567DD">
        <w:t>Goodness of fit and example product intercomparison</w:t>
      </w:r>
      <w:bookmarkEnd w:id="179"/>
    </w:p>
    <w:p w14:paraId="7F37AB5E" w14:textId="5D85A9C2" w:rsidR="002567DD" w:rsidRDefault="5E4FB5CC" w:rsidP="002567DD">
      <w:r>
        <w:t>The Pearson correlation coefficient (R), bias, and the root mean square error (RMSE) between blended products (OU-MSSM, AVE and SMAP L4) and the automated soil moisture mapping system are used for the comparison of the blended products.</w:t>
      </w:r>
    </w:p>
    <w:p w14:paraId="096F832A" w14:textId="77777777" w:rsidR="00465240" w:rsidRDefault="00465240" w:rsidP="002567DD"/>
    <w:p w14:paraId="0B4FFA4A" w14:textId="1279C7C9" w:rsidR="0072794B" w:rsidRDefault="0072794B" w:rsidP="0072794B">
      <w:pPr>
        <w:pStyle w:val="3"/>
      </w:pPr>
      <w:bookmarkStart w:id="180" w:name="_Toc75939874"/>
      <w:r>
        <w:t xml:space="preserve">4.3.5 </w:t>
      </w:r>
      <w:r w:rsidRPr="0072794B">
        <w:t>Daily time series product inter-comparison</w:t>
      </w:r>
      <w:bookmarkEnd w:id="180"/>
    </w:p>
    <w:p w14:paraId="64F21C72" w14:textId="6BCE69BD" w:rsidR="0072794B" w:rsidRDefault="5E4FB5CC" w:rsidP="0072794B">
      <w:r>
        <w:t xml:space="preserve">An example one-month multi-product (i.e., OU-MSSM, AVE, SMAP_L4 and OSU benchmark) performance intercomparison is also presented to provide an illustrative example of </w:t>
      </w:r>
      <w:r>
        <w:lastRenderedPageBreak/>
        <w:t>all products performance during rainy and non-rainy days during a typical rainy summer season in Oklahoma.</w:t>
      </w:r>
    </w:p>
    <w:p w14:paraId="282D723E" w14:textId="77777777" w:rsidR="00465240" w:rsidRDefault="00465240" w:rsidP="0072794B"/>
    <w:p w14:paraId="15E3B302" w14:textId="098D0289" w:rsidR="00907A9E" w:rsidRDefault="00E3407A" w:rsidP="00E3407A">
      <w:pPr>
        <w:pStyle w:val="2"/>
      </w:pPr>
      <w:bookmarkStart w:id="181" w:name="_Toc75939875"/>
      <w:r>
        <w:t xml:space="preserve">4.4 </w:t>
      </w:r>
      <w:r w:rsidRPr="00E3407A">
        <w:t>Results</w:t>
      </w:r>
      <w:bookmarkEnd w:id="181"/>
    </w:p>
    <w:p w14:paraId="01A6FF71" w14:textId="2B404DD9" w:rsidR="00E3407A" w:rsidRDefault="00D158F6" w:rsidP="00D158F6">
      <w:pPr>
        <w:pStyle w:val="3"/>
      </w:pPr>
      <w:bookmarkStart w:id="182" w:name="_Toc75939876"/>
      <w:r>
        <w:t xml:space="preserve">4.4.1 </w:t>
      </w:r>
      <w:r w:rsidRPr="00D158F6">
        <w:t>Weights from LSW</w:t>
      </w:r>
      <w:bookmarkEnd w:id="182"/>
    </w:p>
    <w:p w14:paraId="4D2385DC" w14:textId="72C1F2BB" w:rsidR="008B70AE" w:rsidRDefault="5E4FB5CC" w:rsidP="008B70AE">
      <w:r>
        <w:t>The LSW scheme is adopted with TC-estimated error variance to calculate the weights of the triplet of the SMAP L3, Noah, and Mesonet soil moisture products (Figure. 3). According to LSW theory, the weight of the parent products is inversely proportional to the error variance. Therefore, for this triplet, Noah has the highest mean weight (0.56), followed by Mesonet (0.28), and SMAP L3 has the smallest mean weights (0.16). Spatially, the large weights (&gt; 0.56) for Noah are clustered in east Oklahoma, while the small weights are in western Oklahoma (Figure. 4.3b). The high weights (&gt; 0.28) for Mesonet are concentrated in the Panhandle, West Central and Southwest regions (Fig. 4.3a). The weights of SMAP L3 below 0.2 are throughout most of the study area; however, large weights (&gt; 0.2) are shown in areas where both Noah and Mesonet has very small weights (Figure 4.3c).</w:t>
      </w:r>
    </w:p>
    <w:p w14:paraId="2CFB46D2" w14:textId="77777777" w:rsidR="00E96658" w:rsidRDefault="00E96658" w:rsidP="00601C71">
      <w:pPr>
        <w:keepNext/>
        <w:ind w:left="-432"/>
      </w:pPr>
      <w:r>
        <w:rPr>
          <w:noProof/>
        </w:rPr>
        <w:lastRenderedPageBreak/>
        <w:drawing>
          <wp:inline distT="0" distB="0" distL="0" distR="0" wp14:anchorId="71A44453" wp14:editId="4B634BBC">
            <wp:extent cx="5943600" cy="7272653"/>
            <wp:effectExtent l="0" t="0" r="0" b="4445"/>
            <wp:docPr id="24" name="图片 24" descr="应用程序&#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pic:nvPicPr>
                  <pic:blipFill>
                    <a:blip r:embed="rId75">
                      <a:extLst>
                        <a:ext uri="{28A0092B-C50C-407E-A947-70E740481C1C}">
                          <a14:useLocalDpi xmlns:a14="http://schemas.microsoft.com/office/drawing/2010/main" val="0"/>
                        </a:ext>
                      </a:extLst>
                    </a:blip>
                    <a:stretch>
                      <a:fillRect/>
                    </a:stretch>
                  </pic:blipFill>
                  <pic:spPr>
                    <a:xfrm>
                      <a:off x="0" y="0"/>
                      <a:ext cx="5943600" cy="7272653"/>
                    </a:xfrm>
                    <a:prstGeom prst="rect">
                      <a:avLst/>
                    </a:prstGeom>
                  </pic:spPr>
                </pic:pic>
              </a:graphicData>
            </a:graphic>
          </wp:inline>
        </w:drawing>
      </w:r>
    </w:p>
    <w:p w14:paraId="700CBAB7" w14:textId="03829547" w:rsidR="5E4FB5CC" w:rsidRDefault="5E4FB5CC" w:rsidP="5E4FB5CC">
      <w:pPr>
        <w:ind w:left="-432"/>
      </w:pPr>
    </w:p>
    <w:p w14:paraId="6DAEFEA0" w14:textId="0C709867" w:rsidR="008B70AE" w:rsidRPr="0094630F" w:rsidRDefault="00E96658" w:rsidP="0094630F">
      <w:pPr>
        <w:pStyle w:val="a3"/>
        <w:ind w:firstLine="0"/>
        <w:rPr>
          <w:b w:val="0"/>
          <w:bCs w:val="0"/>
        </w:rPr>
      </w:pPr>
      <w:bookmarkStart w:id="183" w:name="_Toc75360581"/>
      <w:bookmarkStart w:id="184" w:name="_Toc75361849"/>
      <w:bookmarkStart w:id="185" w:name="_Toc75361904"/>
      <w:r>
        <w:lastRenderedPageBreak/>
        <w:t xml:space="preserve">Figure </w:t>
      </w:r>
      <w:r w:rsidR="00546217">
        <w:t>4</w:t>
      </w:r>
      <w:r w:rsidR="00764D25">
        <w:t>.</w:t>
      </w:r>
      <w:r>
        <w:fldChar w:fldCharType="begin"/>
      </w:r>
      <w:r>
        <w:instrText>SEQ Figure \* ARABIC \s 1</w:instrText>
      </w:r>
      <w:r>
        <w:fldChar w:fldCharType="separate"/>
      </w:r>
      <w:r w:rsidR="00492676">
        <w:rPr>
          <w:noProof/>
        </w:rPr>
        <w:t>3</w:t>
      </w:r>
      <w:r>
        <w:fldChar w:fldCharType="end"/>
      </w:r>
      <w:r>
        <w:t xml:space="preserve">. </w:t>
      </w:r>
      <w:r w:rsidR="0094630F" w:rsidRPr="0094630F">
        <w:rPr>
          <w:b w:val="0"/>
          <w:bCs w:val="0"/>
        </w:rPr>
        <w:t>Map of the least square weighting (LSW)-derived weights based on the TC estimated error variance using soil moisture.  Subfigures (a) to (c) illustrate the spatial distribution of weights for each product.</w:t>
      </w:r>
      <w:bookmarkEnd w:id="183"/>
      <w:bookmarkEnd w:id="184"/>
      <w:bookmarkEnd w:id="185"/>
    </w:p>
    <w:p w14:paraId="3B7D7049" w14:textId="77777777" w:rsidR="00D158F6" w:rsidRPr="00D158F6" w:rsidRDefault="00D158F6" w:rsidP="00D158F6"/>
    <w:p w14:paraId="18D6B86B" w14:textId="5686B654" w:rsidR="00C47370" w:rsidRDefault="00B55AD9" w:rsidP="00B55AD9">
      <w:pPr>
        <w:pStyle w:val="3"/>
      </w:pPr>
      <w:bookmarkStart w:id="186" w:name="_Toc75939877"/>
      <w:r>
        <w:t>4.4.2</w:t>
      </w:r>
      <w:r w:rsidRPr="00B55AD9">
        <w:t xml:space="preserve"> Evaluation of blended products</w:t>
      </w:r>
      <w:bookmarkEnd w:id="186"/>
      <w:r>
        <w:t xml:space="preserve"> </w:t>
      </w:r>
    </w:p>
    <w:p w14:paraId="610F187F" w14:textId="27AC3803" w:rsidR="004E5089" w:rsidRDefault="5E4FB5CC" w:rsidP="004E5089">
      <w:r>
        <w:t xml:space="preserve">Figure 4.4 provides a quantitative evaluation of the blended products (OU-MSSM, AVE) and SMAP L4 using the OSU daily soil moisture measurements based on Pearson correlation coefficient (CC; first row in Figure 4.4), Root Mean Square Error (RMSE; second row), and bias (third row). The OU-MSSM presents the highest averaged CC value (0.87), followed by AVE (0.82), while the SMAP L4 has the lowest averaged CC value (0.76). Based on a one-way ANOVA test, the three products have significantly (p&lt;0.05) different CC values from each other. Spatially, the high CC values (&gt; 0.9) for OU-MSSM are concentrated in the West Central, Southwest and Northeast regions. In terms of RMSE, the OU-MSSM presents the lowest mean RMSE value (0.06), followed by AVE (0.063), while the SMAP L4 has highest mean RMSE value (0.084). Based on a one-way ANOVA test, the three products have significantly (p&lt;0.05) different RMSE values from each other. </w:t>
      </w:r>
      <w:r w:rsidR="00037C79">
        <w:t>Particularly</w:t>
      </w:r>
      <w:r>
        <w:t xml:space="preserve">, the low RMSE (&lt; 0.05) for OU-MSSM are clustered in east Oklahoma, while the high values (&gt; 0.07) are in west Oklahoma. As with the bias evaluation, the OU-MSSM and the AVE present positive averaged bias values (0.05 and 0.03 respectively), while the SMAP L4 has the negative averaged bias value (-0.138). </w:t>
      </w:r>
      <w:r w:rsidR="0040345E">
        <w:t xml:space="preserve">A </w:t>
      </w:r>
      <w:r>
        <w:t>one-way ANOVA test</w:t>
      </w:r>
      <w:r w:rsidR="0040345E">
        <w:t xml:space="preserve"> was also </w:t>
      </w:r>
      <w:r w:rsidR="00AA0419">
        <w:t>performed on the bias of the three products</w:t>
      </w:r>
      <w:r>
        <w:t xml:space="preserve">, </w:t>
      </w:r>
      <w:r w:rsidR="00AA0419">
        <w:t xml:space="preserve">and the results show that </w:t>
      </w:r>
      <w:r>
        <w:t>the OU-MSSM has significantly (p&lt;0.05) larger bias than the AVE product. Spatially, both OU-MSSM and AVE show high positive bias in Panhandle region.</w:t>
      </w:r>
    </w:p>
    <w:p w14:paraId="74EBC2A9" w14:textId="77777777" w:rsidR="00360FA9" w:rsidRDefault="00360FA9" w:rsidP="001411EF">
      <w:pPr>
        <w:keepNext/>
        <w:ind w:left="-432"/>
      </w:pPr>
      <w:r>
        <w:rPr>
          <w:noProof/>
        </w:rPr>
        <w:lastRenderedPageBreak/>
        <w:drawing>
          <wp:inline distT="0" distB="0" distL="0" distR="0" wp14:anchorId="58C5AD76" wp14:editId="7428E3AF">
            <wp:extent cx="5943600" cy="3094355"/>
            <wp:effectExtent l="0" t="0" r="0" b="0"/>
            <wp:docPr id="25" name="图片 25"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pic:nvPicPr>
                  <pic:blipFill>
                    <a:blip r:embed="rId76">
                      <a:extLst>
                        <a:ext uri="{28A0092B-C50C-407E-A947-70E740481C1C}">
                          <a14:useLocalDpi xmlns:a14="http://schemas.microsoft.com/office/drawing/2010/main" val="0"/>
                        </a:ext>
                      </a:extLst>
                    </a:blip>
                    <a:stretch>
                      <a:fillRect/>
                    </a:stretch>
                  </pic:blipFill>
                  <pic:spPr>
                    <a:xfrm>
                      <a:off x="0" y="0"/>
                      <a:ext cx="5943600" cy="3094355"/>
                    </a:xfrm>
                    <a:prstGeom prst="rect">
                      <a:avLst/>
                    </a:prstGeom>
                  </pic:spPr>
                </pic:pic>
              </a:graphicData>
            </a:graphic>
          </wp:inline>
        </w:drawing>
      </w:r>
    </w:p>
    <w:p w14:paraId="090DA4D6" w14:textId="57659B9E" w:rsidR="00B55AD9" w:rsidRPr="00360FA9" w:rsidRDefault="00360FA9" w:rsidP="00360FA9">
      <w:pPr>
        <w:pStyle w:val="a3"/>
        <w:ind w:firstLine="0"/>
        <w:rPr>
          <w:b w:val="0"/>
          <w:bCs w:val="0"/>
        </w:rPr>
      </w:pPr>
      <w:bookmarkStart w:id="187" w:name="_Toc75360582"/>
      <w:bookmarkStart w:id="188" w:name="_Toc75361850"/>
      <w:bookmarkStart w:id="189" w:name="_Toc75361905"/>
      <w:r>
        <w:t xml:space="preserve">Figure </w:t>
      </w:r>
      <w:r w:rsidR="00D83CE3">
        <w:t>4</w:t>
      </w:r>
      <w:r w:rsidR="00764D25">
        <w:t>.</w:t>
      </w:r>
      <w:r>
        <w:fldChar w:fldCharType="begin"/>
      </w:r>
      <w:r>
        <w:instrText>SEQ Figure \* ARABIC \s 1</w:instrText>
      </w:r>
      <w:r>
        <w:fldChar w:fldCharType="separate"/>
      </w:r>
      <w:r w:rsidR="00492676">
        <w:rPr>
          <w:noProof/>
        </w:rPr>
        <w:t>4</w:t>
      </w:r>
      <w:r>
        <w:fldChar w:fldCharType="end"/>
      </w:r>
      <w:r>
        <w:t xml:space="preserve">. </w:t>
      </w:r>
      <w:r w:rsidRPr="00360FA9">
        <w:rPr>
          <w:b w:val="0"/>
          <w:bCs w:val="0"/>
        </w:rPr>
        <w:t>Evaluation of the blended products (OU-MSSM, AVE) and SMAP L4 using the OSU daily soil moisture measurements based on: (a) Pearson correlation coefficient (CC, first row), (b) Root Mean Square Error (RMSE, second row), and (c) the Bias (BIAS, third row).</w:t>
      </w:r>
      <w:bookmarkEnd w:id="187"/>
      <w:bookmarkEnd w:id="188"/>
      <w:bookmarkEnd w:id="189"/>
    </w:p>
    <w:p w14:paraId="5E843F6A" w14:textId="6C00ACFE" w:rsidR="00D368AB" w:rsidRDefault="00D368AB" w:rsidP="00D368AB"/>
    <w:p w14:paraId="1CFF0DBE" w14:textId="5A5C26E7" w:rsidR="00244E8B" w:rsidRPr="00244E8B" w:rsidRDefault="00244E8B" w:rsidP="00244E8B">
      <w:pPr>
        <w:rPr>
          <w:snapToGrid w:val="0"/>
          <w:lang w:eastAsia="de-DE"/>
        </w:rPr>
      </w:pPr>
      <w:r w:rsidRPr="00244E8B">
        <w:rPr>
          <w:snapToGrid w:val="0"/>
          <w:lang w:eastAsia="de-DE"/>
        </w:rPr>
        <w:t xml:space="preserve">Figure </w:t>
      </w:r>
      <w:r w:rsidR="00F90065">
        <w:rPr>
          <w:snapToGrid w:val="0"/>
          <w:lang w:eastAsia="de-DE"/>
        </w:rPr>
        <w:t>4.</w:t>
      </w:r>
      <w:r w:rsidRPr="00244E8B">
        <w:rPr>
          <w:snapToGrid w:val="0"/>
          <w:lang w:eastAsia="de-DE"/>
        </w:rPr>
        <w:t xml:space="preserve">5 provides a quantitative comparison of the blended products (OU-MSSM, AVE) and SMAP L4 with the OSU daily soil moisture measurements in terms of (a) Pearson correlation coefficient, (b) root mean square error, and (c) bias over the nine climate divisions of Oklahoma. In terms of CC, OU-MSSM shows the highest correlations with the OSU data over all nine climate divisions, followed by AVE. SMAP L4 provides the lowest correlations with the OSU product over all nine climate divisions. As for the RMSE, SMAP L4 provides the highest RMSE over all nine climate divisions. OU-MSSM shows lowest RMSE in Panhandle, West Central and Southwest. In other six climate divisions, OU-MSSM and AVE have similar RMSE values. For bias, SMAP L4 shows negative mean bias in most climate divisions except Southeast. In Southeast, its bias ranges from -0.35 to 0.56 with a mean bias of 0.117. Both OU-MSSM and AVE have positive mean bias in all nine climate divisions. OU-MSSM has larger bias than AVE in Southeast, </w:t>
      </w:r>
      <w:r w:rsidRPr="00244E8B">
        <w:rPr>
          <w:snapToGrid w:val="0"/>
          <w:lang w:eastAsia="de-DE"/>
        </w:rPr>
        <w:lastRenderedPageBreak/>
        <w:t>South Central, North Central, Northeast, Central and East Central, while it has same bias with AVE in the Panhandle, West Central, and Southwest.</w:t>
      </w:r>
    </w:p>
    <w:p w14:paraId="453953FF" w14:textId="77777777" w:rsidR="00B07158" w:rsidRDefault="00B07158" w:rsidP="00B07158">
      <w:pPr>
        <w:keepNext/>
        <w:ind w:left="-432"/>
      </w:pPr>
      <w:r>
        <w:rPr>
          <w:noProof/>
        </w:rPr>
        <w:lastRenderedPageBreak/>
        <w:drawing>
          <wp:inline distT="0" distB="0" distL="0" distR="0" wp14:anchorId="1D7431C9" wp14:editId="56E4EE75">
            <wp:extent cx="5943600" cy="6967856"/>
            <wp:effectExtent l="0" t="0" r="0" b="4445"/>
            <wp:docPr id="26" name="图片 2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pic:nvPicPr>
                  <pic:blipFill>
                    <a:blip r:embed="rId77">
                      <a:extLst>
                        <a:ext uri="{28A0092B-C50C-407E-A947-70E740481C1C}">
                          <a14:useLocalDpi xmlns:a14="http://schemas.microsoft.com/office/drawing/2010/main" val="0"/>
                        </a:ext>
                      </a:extLst>
                    </a:blip>
                    <a:stretch>
                      <a:fillRect/>
                    </a:stretch>
                  </pic:blipFill>
                  <pic:spPr>
                    <a:xfrm>
                      <a:off x="0" y="0"/>
                      <a:ext cx="5943600" cy="6967856"/>
                    </a:xfrm>
                    <a:prstGeom prst="rect">
                      <a:avLst/>
                    </a:prstGeom>
                  </pic:spPr>
                </pic:pic>
              </a:graphicData>
            </a:graphic>
          </wp:inline>
        </w:drawing>
      </w:r>
    </w:p>
    <w:p w14:paraId="70F98EB9" w14:textId="407F0DF1" w:rsidR="00E35BB9" w:rsidRPr="00B07158" w:rsidRDefault="00B07158" w:rsidP="00B07158">
      <w:pPr>
        <w:pStyle w:val="a3"/>
        <w:ind w:firstLine="0"/>
        <w:rPr>
          <w:b w:val="0"/>
          <w:bCs w:val="0"/>
        </w:rPr>
      </w:pPr>
      <w:bookmarkStart w:id="190" w:name="_Toc75360583"/>
      <w:bookmarkStart w:id="191" w:name="_Toc75361851"/>
      <w:bookmarkStart w:id="192" w:name="_Toc75361906"/>
      <w:r>
        <w:t xml:space="preserve">Figure </w:t>
      </w:r>
      <w:r w:rsidR="00546217">
        <w:t>4</w:t>
      </w:r>
      <w:r w:rsidR="00764D25">
        <w:t>.</w:t>
      </w:r>
      <w:r>
        <w:fldChar w:fldCharType="begin"/>
      </w:r>
      <w:r>
        <w:instrText>SEQ Figure \* ARABIC \s 1</w:instrText>
      </w:r>
      <w:r>
        <w:fldChar w:fldCharType="separate"/>
      </w:r>
      <w:r w:rsidR="00492676">
        <w:rPr>
          <w:noProof/>
        </w:rPr>
        <w:t>5</w:t>
      </w:r>
      <w:r>
        <w:fldChar w:fldCharType="end"/>
      </w:r>
      <w:r>
        <w:t xml:space="preserve">. </w:t>
      </w:r>
      <w:r w:rsidRPr="00B07158">
        <w:rPr>
          <w:b w:val="0"/>
          <w:bCs w:val="0"/>
        </w:rPr>
        <w:t>Comparison of the blended products (OU-MSSM, AVE) and SMAP L4 over nine climate divisions in Oklahoma: (a) Pearson correlation coefficient, (b) Root Mean Square Error, and (c) the Bias. All metrics use the benchmark (OSU) daily soil moisture product.</w:t>
      </w:r>
      <w:bookmarkEnd w:id="190"/>
      <w:bookmarkEnd w:id="191"/>
      <w:bookmarkEnd w:id="192"/>
    </w:p>
    <w:p w14:paraId="6FD28219" w14:textId="77777777" w:rsidR="00364F32" w:rsidRPr="00364F32" w:rsidRDefault="00364F32" w:rsidP="00364F32">
      <w:pPr>
        <w:rPr>
          <w:lang w:bidi="ar-SA"/>
        </w:rPr>
      </w:pPr>
    </w:p>
    <w:p w14:paraId="69B88799" w14:textId="77777777" w:rsidR="00F7168B" w:rsidRPr="00E20B4D" w:rsidRDefault="00F7168B" w:rsidP="0013570F"/>
    <w:p w14:paraId="08ACE9E4" w14:textId="498B262C" w:rsidR="00575656" w:rsidRPr="00575656" w:rsidRDefault="00575656" w:rsidP="00575656">
      <w:pPr>
        <w:rPr>
          <w:snapToGrid w:val="0"/>
          <w:lang w:eastAsia="de-DE"/>
        </w:rPr>
      </w:pPr>
      <w:r w:rsidRPr="00575656">
        <w:rPr>
          <w:snapToGrid w:val="0"/>
          <w:lang w:eastAsia="de-DE"/>
        </w:rPr>
        <w:lastRenderedPageBreak/>
        <w:t xml:space="preserve">Figure </w:t>
      </w:r>
      <w:r w:rsidR="00F90065">
        <w:rPr>
          <w:snapToGrid w:val="0"/>
          <w:lang w:eastAsia="de-DE"/>
        </w:rPr>
        <w:t>4.</w:t>
      </w:r>
      <w:r w:rsidRPr="00575656">
        <w:rPr>
          <w:snapToGrid w:val="0"/>
          <w:lang w:eastAsia="de-DE"/>
        </w:rPr>
        <w:t xml:space="preserve">6 provides a quantitative comparison of the blended products (OU-MSSM, AVE) and SMAP L4 with the OSU daily soil moisture measurements in terms of (a) Pearson correlation coefficient, (b) root mean square error, and (c) bias over the different land cover types in Oklahoma. In terms of CC, OU-MSSM shows the highest correlations with the OSU data over all land cover types, followed by AVE. SMAP L4 provides the lowest correlations with the OSU product over all land cover types. As for the RMSE, SMAP L4 provides the highest RMSE over all land cover types. OU-MSSM shows lowest RMSE in all land cover types except mixed forest. In mixed forest, OU-MSSM and AVE have similar RMSE values. For the bias, SMAP L4 shows negative mean bias in most land cover types except mixed forest and evergreen forest. In these two land cover types, SMAP L4 has large ranges of bias (-0.56 to 0.56 and -0.49 to 0.45) which may be attributed to tree canopy and dense vegetation </w:t>
      </w:r>
      <w:r w:rsidR="009A78FF">
        <w:rPr>
          <w:snapToGrid w:val="0"/>
          <w:lang w:eastAsia="de-DE"/>
        </w:rPr>
        <w:fldChar w:fldCharType="begin"/>
      </w:r>
      <w:r w:rsidR="009A78FF">
        <w:rPr>
          <w:snapToGrid w:val="0"/>
          <w:lang w:eastAsia="de-DE"/>
        </w:rPr>
        <w:instrText xml:space="preserve"> ADDIN ZOTERO_ITEM CSL_CITATION {"citationID":"AbpgYezP","properties":{"formattedCitation":"(Zeng et al., 2016)","plainCitation":"(Zeng et al., 2016)","noteIndex":0},"citationItems":[{"id":205,"uris":["http://zotero.org/users/7782726/items/XNSMA7J9"],"uri":["http://zotero.org/users/7782726/items/XNSMA7J9"],"itemData":{"id":205,"type":"article-journal","abstract":"The inter-comparison of different soil moisture (SM) products over the Tibetan Plateau (TP) reveals the inconsistency among different SM products, when compared to in situ measurement. It highlights the need to constrain the model simulated SM with the in situ measured data climatology. In this study, the in situ soil moisture networks, combined with the classification of climate zones over the TP, were used to produce the in situ measured SM climatology at the plateau scale. The generated TP scale in situ SM climatology was then used to scale the model-simulated SM data, which was subsequently used to scale the SM satellite observations. The climatology-scaled satellite and model-simulated SM were then blended objectively, by applying the triple collocation and least squares method. The final blended SM can replicate the SM dynamics across different climatic zones, from sub-humid regions to semi-arid and arid regions over the TP. This demonstrates the need to constrain the model-simulated SM estimates with the in situ measurements before their further applications in scaling climatology of SM satellite products.","container-title":"Remote Sensing","DOI":"10.3390/rs8030268","issue":"3","language":"en","note":"number: 3\npublisher: Multidisciplinary Digital Publishing Institute","page":"268","source":"www.mdpi.com","title":"Blending Satellite Observed, Model Simulated, and in Situ Measured Soil Moisture over Tibetan Plateau","volume":"8","author":[{"family":"Zeng","given":"Yijian"},{"family":"Su","given":"Zhongbo"},{"family":"Van der Velde","given":"Rogier"},{"family":"Wang","given":"Lichun"},{"family":"Xu","given":"Kai"},{"family":"Wang","given":"Xing"},{"family":"Wen","given":"Jun"}],"issued":{"date-parts":[["2016",3]]}}}],"schema":"https://github.com/citation-style-language/schema/raw/master/csl-citation.json"} </w:instrText>
      </w:r>
      <w:r w:rsidR="009A78FF">
        <w:rPr>
          <w:snapToGrid w:val="0"/>
          <w:lang w:eastAsia="de-DE"/>
        </w:rPr>
        <w:fldChar w:fldCharType="separate"/>
      </w:r>
      <w:r w:rsidR="009A78FF" w:rsidRPr="009A78FF">
        <w:t>(Zeng et al., 2016)</w:t>
      </w:r>
      <w:r w:rsidR="009A78FF">
        <w:rPr>
          <w:snapToGrid w:val="0"/>
          <w:lang w:eastAsia="de-DE"/>
        </w:rPr>
        <w:fldChar w:fldCharType="end"/>
      </w:r>
      <w:r w:rsidRPr="00575656">
        <w:rPr>
          <w:snapToGrid w:val="0"/>
          <w:lang w:eastAsia="de-DE"/>
        </w:rPr>
        <w:t>.  The OU-MSSM has smaller mean bias than AVE in shrub/scrub and developed, on the other hand, it has larger mean bias than AVE in mixed forest, evergreen forest, and deciduous forest.</w:t>
      </w:r>
    </w:p>
    <w:p w14:paraId="48DB5FB8" w14:textId="77777777" w:rsidR="001A4274" w:rsidRDefault="001A4274" w:rsidP="00F93093">
      <w:pPr>
        <w:keepNext/>
        <w:ind w:left="-432"/>
      </w:pPr>
      <w:r>
        <w:rPr>
          <w:noProof/>
        </w:rPr>
        <w:lastRenderedPageBreak/>
        <w:drawing>
          <wp:inline distT="0" distB="0" distL="0" distR="0" wp14:anchorId="2B167950" wp14:editId="386DB13B">
            <wp:extent cx="5943600" cy="7092315"/>
            <wp:effectExtent l="0" t="0" r="0" b="0"/>
            <wp:docPr id="27" name="图片 27"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pic:nvPicPr>
                  <pic:blipFill>
                    <a:blip r:embed="rId78">
                      <a:extLst>
                        <a:ext uri="{28A0092B-C50C-407E-A947-70E740481C1C}">
                          <a14:useLocalDpi xmlns:a14="http://schemas.microsoft.com/office/drawing/2010/main" val="0"/>
                        </a:ext>
                      </a:extLst>
                    </a:blip>
                    <a:stretch>
                      <a:fillRect/>
                    </a:stretch>
                  </pic:blipFill>
                  <pic:spPr>
                    <a:xfrm>
                      <a:off x="0" y="0"/>
                      <a:ext cx="5943600" cy="7092315"/>
                    </a:xfrm>
                    <a:prstGeom prst="rect">
                      <a:avLst/>
                    </a:prstGeom>
                  </pic:spPr>
                </pic:pic>
              </a:graphicData>
            </a:graphic>
          </wp:inline>
        </w:drawing>
      </w:r>
    </w:p>
    <w:p w14:paraId="222425AC" w14:textId="6B85FAFA" w:rsidR="00700D9A" w:rsidRPr="001A4274" w:rsidRDefault="001A4274" w:rsidP="001A4274">
      <w:pPr>
        <w:pStyle w:val="a3"/>
        <w:ind w:firstLine="0"/>
        <w:rPr>
          <w:b w:val="0"/>
          <w:bCs w:val="0"/>
        </w:rPr>
      </w:pPr>
      <w:bookmarkStart w:id="193" w:name="_Toc75360584"/>
      <w:bookmarkStart w:id="194" w:name="_Toc75361852"/>
      <w:bookmarkStart w:id="195" w:name="_Toc75361907"/>
      <w:r>
        <w:t xml:space="preserve">Figure </w:t>
      </w:r>
      <w:r w:rsidR="002E1623">
        <w:t>4</w:t>
      </w:r>
      <w:r w:rsidR="00764D25">
        <w:t>.</w:t>
      </w:r>
      <w:r>
        <w:fldChar w:fldCharType="begin"/>
      </w:r>
      <w:r>
        <w:instrText>SEQ Figure \* ARABIC \s 1</w:instrText>
      </w:r>
      <w:r>
        <w:fldChar w:fldCharType="separate"/>
      </w:r>
      <w:r w:rsidR="00492676">
        <w:rPr>
          <w:noProof/>
        </w:rPr>
        <w:t>6</w:t>
      </w:r>
      <w:r>
        <w:fldChar w:fldCharType="end"/>
      </w:r>
      <w:r>
        <w:t xml:space="preserve">. </w:t>
      </w:r>
      <w:r w:rsidRPr="001A4274">
        <w:rPr>
          <w:b w:val="0"/>
          <w:bCs w:val="0"/>
        </w:rPr>
        <w:t xml:space="preserve">Comparison of the blended products (OU-MSSM, AVE) and SMAP L4 over different landcover types in Oklahoma: (a) </w:t>
      </w:r>
      <w:r w:rsidR="006622AE" w:rsidRPr="00B07158">
        <w:rPr>
          <w:b w:val="0"/>
          <w:bCs w:val="0"/>
        </w:rPr>
        <w:t>Pearson</w:t>
      </w:r>
      <w:r w:rsidRPr="001A4274">
        <w:rPr>
          <w:b w:val="0"/>
          <w:bCs w:val="0"/>
        </w:rPr>
        <w:t xml:space="preserve"> correlation coefficient (CC), (b) Root Mean Square Error (RMSE), and (c) the Bias. All metrics use the (OSU) daily soil moisture as benchmark product.</w:t>
      </w:r>
      <w:bookmarkEnd w:id="193"/>
      <w:bookmarkEnd w:id="194"/>
      <w:bookmarkEnd w:id="195"/>
    </w:p>
    <w:p w14:paraId="4A383CF6" w14:textId="77777777" w:rsidR="005D0C69" w:rsidRPr="005D0C69" w:rsidRDefault="005D0C69" w:rsidP="005D0C69"/>
    <w:p w14:paraId="01A278D5" w14:textId="2A53CFFB" w:rsidR="001F2CAB" w:rsidRPr="001F2CAB" w:rsidRDefault="001F2CAB" w:rsidP="001F2CAB">
      <w:pPr>
        <w:rPr>
          <w:snapToGrid w:val="0"/>
          <w:lang w:eastAsia="de-DE"/>
        </w:rPr>
      </w:pPr>
      <w:r w:rsidRPr="001F2CAB">
        <w:rPr>
          <w:snapToGrid w:val="0"/>
          <w:lang w:eastAsia="de-DE"/>
        </w:rPr>
        <w:lastRenderedPageBreak/>
        <w:t xml:space="preserve">Figure </w:t>
      </w:r>
      <w:r w:rsidR="00F90065">
        <w:rPr>
          <w:snapToGrid w:val="0"/>
          <w:lang w:eastAsia="de-DE"/>
        </w:rPr>
        <w:t>4.</w:t>
      </w:r>
      <w:r w:rsidRPr="001F2CAB">
        <w:rPr>
          <w:snapToGrid w:val="0"/>
          <w:lang w:eastAsia="de-DE"/>
        </w:rPr>
        <w:t xml:space="preserve">7 provides a quantitative comparison of the blended products (OU-MSSM, AVE) and SMAP L4 with the OSU daily soil moisture measurements in terms of (a) </w:t>
      </w:r>
      <w:r w:rsidR="00160331">
        <w:rPr>
          <w:snapToGrid w:val="0"/>
          <w:lang w:eastAsia="de-DE"/>
        </w:rPr>
        <w:t>Pearson</w:t>
      </w:r>
      <w:r w:rsidRPr="001F2CAB">
        <w:rPr>
          <w:snapToGrid w:val="0"/>
          <w:lang w:eastAsia="de-DE"/>
        </w:rPr>
        <w:t xml:space="preserve"> correlation coefficient, (b) root mean square error, and (c) bias over the different soil texture types in Oklahoma. In terms of CC, OU-MSSM shows the highest correlations with the OSU data over loam, sandy loam, clay loam, silt loam, and clay, followed by AVE. SMAP L4 provides the lowest correlations with the OSU product over these soil texture types. For sand soil type, OU-MSSM, AVE, and SMAP-L4 have similar averaged CC values (0.746, 0.77, and 0.753 respectively), while OU-MSSM and AVE have several small outliers. For silty clay loam, OU-MSSM has the highest correlations with the OSU product (0.856), followed by SMAP-L4 (0.761) and AVE (0.728). As for the RMSE, SMAP L4 provides the highest RMSE over all soil texture types. OU-MSSM shows lowest RMSE in all soil types except sand and clay. In these two soil types, OU-MSSM and AVE have similar RMSE values (0.06 vs. 0.065, 0.063 vs. 0.0625). For bias, SMAP L4 shows negative mean bias in most soil types except clay. In clay soil type, all three products show positive mean bias. Among them, OU-MSSM has the largest positive mean bias. Both OU-MSSM and AVE have positive mean bias in all soil types except sandy loam and sand. In sandy loam, both products show similar negative mean bias (-0.01). In sand type, both products show negative mean bias and OU-MSSM has smaller negative mean bias than AVE. In loam, silty clay loam, clay loam and silt loam soil types, both OU-MSSM and AVE have positive mean bias, and OU-MSSM has larger positive mean bias than AVE.</w:t>
      </w:r>
    </w:p>
    <w:p w14:paraId="713F9D6F" w14:textId="77777777" w:rsidR="001447F1" w:rsidRDefault="001447F1" w:rsidP="004B58D2">
      <w:pPr>
        <w:keepNext/>
        <w:ind w:left="-432"/>
      </w:pPr>
      <w:r>
        <w:rPr>
          <w:noProof/>
        </w:rPr>
        <w:lastRenderedPageBreak/>
        <w:drawing>
          <wp:inline distT="0" distB="0" distL="0" distR="0" wp14:anchorId="3F280327" wp14:editId="53D2B87F">
            <wp:extent cx="5943600" cy="7158988"/>
            <wp:effectExtent l="0" t="0" r="0" b="3810"/>
            <wp:docPr id="28" name="图片 2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pic:nvPicPr>
                  <pic:blipFill>
                    <a:blip r:embed="rId79">
                      <a:extLst>
                        <a:ext uri="{28A0092B-C50C-407E-A947-70E740481C1C}">
                          <a14:useLocalDpi xmlns:a14="http://schemas.microsoft.com/office/drawing/2010/main" val="0"/>
                        </a:ext>
                      </a:extLst>
                    </a:blip>
                    <a:stretch>
                      <a:fillRect/>
                    </a:stretch>
                  </pic:blipFill>
                  <pic:spPr>
                    <a:xfrm>
                      <a:off x="0" y="0"/>
                      <a:ext cx="5943600" cy="7158988"/>
                    </a:xfrm>
                    <a:prstGeom prst="rect">
                      <a:avLst/>
                    </a:prstGeom>
                  </pic:spPr>
                </pic:pic>
              </a:graphicData>
            </a:graphic>
          </wp:inline>
        </w:drawing>
      </w:r>
    </w:p>
    <w:p w14:paraId="26AA5A18" w14:textId="68C5FD2A" w:rsidR="00457CA3" w:rsidRPr="001447F1" w:rsidRDefault="001447F1" w:rsidP="001447F1">
      <w:pPr>
        <w:pStyle w:val="a3"/>
        <w:ind w:firstLine="0"/>
        <w:rPr>
          <w:b w:val="0"/>
          <w:bCs w:val="0"/>
        </w:rPr>
      </w:pPr>
      <w:bookmarkStart w:id="196" w:name="_Toc75360585"/>
      <w:bookmarkStart w:id="197" w:name="_Toc75361853"/>
      <w:bookmarkStart w:id="198" w:name="_Toc75361908"/>
      <w:r>
        <w:t xml:space="preserve">Figure </w:t>
      </w:r>
      <w:r w:rsidR="002E1623">
        <w:t>4</w:t>
      </w:r>
      <w:r w:rsidR="00764D25">
        <w:t>.</w:t>
      </w:r>
      <w:r>
        <w:fldChar w:fldCharType="begin"/>
      </w:r>
      <w:r>
        <w:instrText>SEQ Figure \* ARABIC \s 1</w:instrText>
      </w:r>
      <w:r>
        <w:fldChar w:fldCharType="separate"/>
      </w:r>
      <w:r w:rsidR="00492676">
        <w:rPr>
          <w:noProof/>
        </w:rPr>
        <w:t>7</w:t>
      </w:r>
      <w:r>
        <w:fldChar w:fldCharType="end"/>
      </w:r>
      <w:r>
        <w:t xml:space="preserve">. </w:t>
      </w:r>
      <w:r w:rsidRPr="001447F1">
        <w:rPr>
          <w:b w:val="0"/>
          <w:bCs w:val="0"/>
        </w:rPr>
        <w:t xml:space="preserve">Comparison of the blended products (OU-MSSM, AVE) and SMAP L4 over different soil types in Oklahoma: (a) </w:t>
      </w:r>
      <w:r w:rsidR="006622AE" w:rsidRPr="00B07158">
        <w:rPr>
          <w:b w:val="0"/>
          <w:bCs w:val="0"/>
        </w:rPr>
        <w:t>Pearson</w:t>
      </w:r>
      <w:r w:rsidRPr="001447F1">
        <w:rPr>
          <w:b w:val="0"/>
          <w:bCs w:val="0"/>
        </w:rPr>
        <w:t xml:space="preserve"> correlation coefficient, (b) Root Mean Square Error, and (c) Bias. All metrics use the (OSU) daily soil moisture as benchmark product.</w:t>
      </w:r>
      <w:bookmarkEnd w:id="196"/>
      <w:bookmarkEnd w:id="197"/>
      <w:bookmarkEnd w:id="198"/>
    </w:p>
    <w:p w14:paraId="51F94CAE" w14:textId="77777777" w:rsidR="001C2030" w:rsidRPr="001447F1" w:rsidRDefault="001C2030" w:rsidP="001C2030"/>
    <w:p w14:paraId="0AD1BE5B" w14:textId="39194F4B" w:rsidR="00764D25" w:rsidRPr="00764D25" w:rsidRDefault="00764D25" w:rsidP="00764D25">
      <w:pPr>
        <w:rPr>
          <w:snapToGrid w:val="0"/>
          <w:lang w:eastAsia="de-DE"/>
        </w:rPr>
      </w:pPr>
      <w:r w:rsidRPr="00764D25">
        <w:rPr>
          <w:snapToGrid w:val="0"/>
          <w:lang w:eastAsia="de-DE"/>
        </w:rPr>
        <w:lastRenderedPageBreak/>
        <w:t xml:space="preserve">Figure </w:t>
      </w:r>
      <w:r w:rsidR="00F90065">
        <w:rPr>
          <w:snapToGrid w:val="0"/>
          <w:lang w:eastAsia="de-DE"/>
        </w:rPr>
        <w:t>4.</w:t>
      </w:r>
      <w:r w:rsidRPr="00764D25">
        <w:rPr>
          <w:snapToGrid w:val="0"/>
          <w:lang w:eastAsia="de-DE"/>
        </w:rPr>
        <w:t>8 displays a time series of Mesonet daily precipitation with the corresponding OU-MSSM, AVE, SMAP L4 and OSU benchmark surface soil moisture products (5 cm soil depth) at one pixel (9km * 9km)</w:t>
      </w:r>
      <w:r w:rsidR="00547218">
        <w:rPr>
          <w:snapToGrid w:val="0"/>
          <w:lang w:eastAsia="de-DE"/>
        </w:rPr>
        <w:t xml:space="preserve"> </w:t>
      </w:r>
      <w:r w:rsidRPr="00764D25">
        <w:rPr>
          <w:snapToGrid w:val="0"/>
          <w:lang w:eastAsia="de-DE"/>
        </w:rPr>
        <w:t xml:space="preserve">during one month summer period (August 2016) that included several rainfall events. This </w:t>
      </w:r>
      <w:r w:rsidR="00547218">
        <w:rPr>
          <w:snapToGrid w:val="0"/>
          <w:lang w:eastAsia="de-DE"/>
        </w:rPr>
        <w:t xml:space="preserve">is in </w:t>
      </w:r>
      <w:r w:rsidRPr="00764D25">
        <w:rPr>
          <w:snapToGrid w:val="0"/>
          <w:lang w:eastAsia="de-DE"/>
        </w:rPr>
        <w:t>the Southwest climate division corresponding to clay loam soil and cultivated crops vegetation. The patterns of OU-MSSM and AVE are consistent with the OSU soil moisture product, which respond well to the change of rainfall. The increasing and decreasing of soil moisture follows that of the precipitation and the lags between soil moisture of the three products and the precipitation are</w:t>
      </w:r>
      <w:r w:rsidR="00547218">
        <w:rPr>
          <w:snapToGrid w:val="0"/>
          <w:lang w:eastAsia="de-DE"/>
        </w:rPr>
        <w:t xml:space="preserve"> approximately the</w:t>
      </w:r>
      <w:r w:rsidRPr="00764D25">
        <w:rPr>
          <w:snapToGrid w:val="0"/>
          <w:lang w:eastAsia="de-DE"/>
        </w:rPr>
        <w:t xml:space="preserve"> same. Moreover, the larger the amount of precipitation, the larger the surface soil water content. The pattern of SMAP L4 is different from the other three soil moisture products. Its soil water content rises at the same time when precipitation rises. Moreover, the soil water content rises to the same level where rainfall amount differs. </w:t>
      </w:r>
    </w:p>
    <w:p w14:paraId="6C6DC10A" w14:textId="77777777" w:rsidR="00764D25" w:rsidRDefault="00764D25" w:rsidP="00F90065">
      <w:pPr>
        <w:keepNext/>
        <w:ind w:left="-432"/>
        <w:jc w:val="center"/>
      </w:pPr>
      <w:r>
        <w:rPr>
          <w:noProof/>
        </w:rPr>
        <w:lastRenderedPageBreak/>
        <w:drawing>
          <wp:inline distT="0" distB="0" distL="0" distR="0" wp14:anchorId="5D07EE3F" wp14:editId="2231B9C9">
            <wp:extent cx="5467947" cy="3520987"/>
            <wp:effectExtent l="0" t="0" r="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pic:nvPicPr>
                  <pic:blipFill>
                    <a:blip r:embed="rId80">
                      <a:extLst>
                        <a:ext uri="{28A0092B-C50C-407E-A947-70E740481C1C}">
                          <a14:useLocalDpi xmlns:a14="http://schemas.microsoft.com/office/drawing/2010/main" val="0"/>
                        </a:ext>
                      </a:extLst>
                    </a:blip>
                    <a:srcRect t="478" b="478"/>
                    <a:stretch>
                      <a:fillRect/>
                    </a:stretch>
                  </pic:blipFill>
                  <pic:spPr>
                    <a:xfrm>
                      <a:off x="0" y="0"/>
                      <a:ext cx="5467947" cy="3520987"/>
                    </a:xfrm>
                    <a:prstGeom prst="rect">
                      <a:avLst/>
                    </a:prstGeom>
                  </pic:spPr>
                </pic:pic>
              </a:graphicData>
            </a:graphic>
          </wp:inline>
        </w:drawing>
      </w:r>
    </w:p>
    <w:p w14:paraId="7FD2D4F9" w14:textId="4DCD7EF1" w:rsidR="001C2030" w:rsidRDefault="00764D25" w:rsidP="0087291B">
      <w:pPr>
        <w:pStyle w:val="a3"/>
        <w:ind w:firstLine="0"/>
        <w:rPr>
          <w:b w:val="0"/>
          <w:bCs w:val="0"/>
        </w:rPr>
      </w:pPr>
      <w:bookmarkStart w:id="199" w:name="_Toc75360586"/>
      <w:bookmarkStart w:id="200" w:name="_Toc75361854"/>
      <w:bookmarkStart w:id="201" w:name="_Toc75361909"/>
      <w:r>
        <w:t xml:space="preserve">Figure </w:t>
      </w:r>
      <w:r w:rsidR="006D77D0">
        <w:t>4</w:t>
      </w:r>
      <w:r>
        <w:t>.</w:t>
      </w:r>
      <w:r>
        <w:fldChar w:fldCharType="begin"/>
      </w:r>
      <w:r>
        <w:instrText>SEQ Figure \* ARABIC \s 1</w:instrText>
      </w:r>
      <w:r>
        <w:fldChar w:fldCharType="separate"/>
      </w:r>
      <w:r w:rsidR="00492676">
        <w:rPr>
          <w:noProof/>
        </w:rPr>
        <w:t>8</w:t>
      </w:r>
      <w:r>
        <w:fldChar w:fldCharType="end"/>
      </w:r>
      <w:r>
        <w:t xml:space="preserve">. </w:t>
      </w:r>
      <w:r w:rsidRPr="00764D25">
        <w:rPr>
          <w:b w:val="0"/>
          <w:bCs w:val="0"/>
        </w:rPr>
        <w:t>Precipitation (</w:t>
      </w:r>
      <w:r>
        <w:rPr>
          <w:b w:val="0"/>
          <w:bCs w:val="0"/>
        </w:rPr>
        <w:t>inch</w:t>
      </w:r>
      <w:r w:rsidRPr="00764D25">
        <w:rPr>
          <w:b w:val="0"/>
          <w:bCs w:val="0"/>
        </w:rPr>
        <w:t>; vertical bars) and soil water content (</w:t>
      </w:r>
      <w:r>
        <w:rPr>
          <w:b w:val="0"/>
          <w:bCs w:val="0"/>
        </w:rPr>
        <w:t>c</w:t>
      </w:r>
      <w:r w:rsidRPr="00764D25">
        <w:rPr>
          <w:b w:val="0"/>
          <w:bCs w:val="0"/>
        </w:rPr>
        <w:t>m</w:t>
      </w:r>
      <w:r w:rsidRPr="00764D25">
        <w:rPr>
          <w:b w:val="0"/>
          <w:bCs w:val="0"/>
          <w:vertAlign w:val="superscript"/>
        </w:rPr>
        <w:t>3</w:t>
      </w:r>
      <w:r w:rsidRPr="00764D25">
        <w:rPr>
          <w:b w:val="0"/>
          <w:bCs w:val="0"/>
        </w:rPr>
        <w:t>/</w:t>
      </w:r>
      <w:r>
        <w:rPr>
          <w:b w:val="0"/>
          <w:bCs w:val="0"/>
        </w:rPr>
        <w:t>c</w:t>
      </w:r>
      <w:r w:rsidRPr="00764D25">
        <w:rPr>
          <w:b w:val="0"/>
          <w:bCs w:val="0"/>
        </w:rPr>
        <w:t>m</w:t>
      </w:r>
      <w:r w:rsidRPr="00764D25">
        <w:rPr>
          <w:b w:val="0"/>
          <w:bCs w:val="0"/>
          <w:vertAlign w:val="superscript"/>
        </w:rPr>
        <w:t>3</w:t>
      </w:r>
      <w:r w:rsidRPr="00764D25">
        <w:rPr>
          <w:b w:val="0"/>
          <w:bCs w:val="0"/>
        </w:rPr>
        <w:t>) time series from of OU-MSSM, AVE, SMAP L4 and OSU soil moisture products for one example location with coordinates (lat= 34.938, lon= -99.063) corresponding to clay loam soil, cultivated crops vegetation and located in the Southwest</w:t>
      </w:r>
      <w:r w:rsidR="00F90065">
        <w:rPr>
          <w:b w:val="0"/>
          <w:bCs w:val="0"/>
        </w:rPr>
        <w:t xml:space="preserve"> </w:t>
      </w:r>
      <w:r w:rsidRPr="00764D25">
        <w:rPr>
          <w:b w:val="0"/>
          <w:bCs w:val="0"/>
        </w:rPr>
        <w:t>climate region of Oklahoma.</w:t>
      </w:r>
      <w:bookmarkEnd w:id="199"/>
      <w:bookmarkEnd w:id="200"/>
      <w:bookmarkEnd w:id="201"/>
    </w:p>
    <w:p w14:paraId="173A8754" w14:textId="77777777" w:rsidR="002179B2" w:rsidRPr="002179B2" w:rsidRDefault="002179B2" w:rsidP="002179B2"/>
    <w:p w14:paraId="3A43643F" w14:textId="2A2B0903" w:rsidR="00105A86" w:rsidRDefault="002C7B1E" w:rsidP="002C7B1E">
      <w:pPr>
        <w:pStyle w:val="2"/>
      </w:pPr>
      <w:bookmarkStart w:id="202" w:name="_Toc75939878"/>
      <w:r>
        <w:t>4.5 Discussion</w:t>
      </w:r>
      <w:bookmarkEnd w:id="202"/>
    </w:p>
    <w:p w14:paraId="7C1EBE48" w14:textId="4987E9B7" w:rsidR="002C7B1E" w:rsidRPr="002C7B1E" w:rsidRDefault="002C7B1E" w:rsidP="002C7B1E">
      <w:pPr>
        <w:rPr>
          <w:snapToGrid w:val="0"/>
          <w:lang w:eastAsia="de-DE"/>
        </w:rPr>
      </w:pPr>
      <w:r w:rsidRPr="002C7B1E">
        <w:rPr>
          <w:snapToGrid w:val="0"/>
          <w:lang w:eastAsia="de-DE"/>
        </w:rPr>
        <w:t xml:space="preserve">This study adopted an objective methodology introduced by Yilmaz et al. </w:t>
      </w:r>
      <w:r w:rsidR="001C21AC">
        <w:rPr>
          <w:snapToGrid w:val="0"/>
          <w:lang w:eastAsia="de-DE"/>
        </w:rPr>
        <w:fldChar w:fldCharType="begin"/>
      </w:r>
      <w:r w:rsidR="006B2ACE">
        <w:rPr>
          <w:snapToGrid w:val="0"/>
          <w:lang w:eastAsia="de-DE"/>
        </w:rPr>
        <w:instrText xml:space="preserve"> ADDIN ZOTERO_ITEM CSL_CITATION {"citationID":"15unKhVS","properties":{"formattedCitation":"(Yilmaz et al., 2012)","plainCitation":"(Yilmaz et al., 2012)","dontUpdate":true,"noteIndex":0},"citationItems":[{"id":183,"uris":["http://zotero.org/users/7782726/items/EUUL8YJ2"],"uri":["http://zotero.org/users/7782726/items/EUUL8YJ2"],"itemData":{"id":183,"type":"article-journal","container-title":"Water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6B2ACE">
        <w:rPr>
          <w:rFonts w:hint="eastAsia"/>
          <w:snapToGrid w:val="0"/>
          <w:lang w:eastAsia="de-DE"/>
        </w:rPr>
        <w:instrText>‐</w:instrText>
      </w:r>
      <w:r w:rsidR="006B2ACE">
        <w:rPr>
          <w:snapToGrid w:val="0"/>
          <w:lang w:eastAsia="de-DE"/>
        </w:rPr>
        <w:instrText>and model</w:instrText>
      </w:r>
      <w:r w:rsidR="006B2ACE">
        <w:rPr>
          <w:rFonts w:hint="eastAsia"/>
          <w:snapToGrid w:val="0"/>
          <w:lang w:eastAsia="de-DE"/>
        </w:rPr>
        <w:instrText>‐</w:instrText>
      </w:r>
      <w:r w:rsidR="006B2ACE">
        <w:rPr>
          <w:snapToGrid w:val="0"/>
          <w:lang w:eastAsia="de-DE"/>
        </w:rPr>
        <w:instrText xml:space="preserve">based soil moisture products","volume":"48","author":[{"family":"Yilmaz","given":"MUSTAFA TUĞRUL"},{"family":"Crow","given":"W. T."},{"family":"Anderson","given":"Martha C."},{"family":"Hain","given":"Chris"}],"issued":{"date-parts":[["2012"]]}}}],"schema":"https://github.com/citation-style-language/schema/raw/master/csl-citation.json"} </w:instrText>
      </w:r>
      <w:r w:rsidR="001C21AC">
        <w:rPr>
          <w:snapToGrid w:val="0"/>
          <w:lang w:eastAsia="de-DE"/>
        </w:rPr>
        <w:fldChar w:fldCharType="separate"/>
      </w:r>
      <w:r w:rsidR="001C21AC" w:rsidRPr="001C21AC">
        <w:t>(2012)</w:t>
      </w:r>
      <w:r w:rsidR="001C21AC">
        <w:rPr>
          <w:snapToGrid w:val="0"/>
          <w:lang w:eastAsia="de-DE"/>
        </w:rPr>
        <w:fldChar w:fldCharType="end"/>
      </w:r>
      <w:r w:rsidRPr="002C7B1E">
        <w:rPr>
          <w:snapToGrid w:val="0"/>
          <w:lang w:eastAsia="de-DE"/>
        </w:rPr>
        <w:t xml:space="preserve"> in blending multisource soil moisture products in Oklahoma. The LSW scheme is adopted with TC-estimated error variance to calculate the weights of the parent products (the SMAP_L3, NLDAS Noah, and the interpolated Mesonet). The results show that the high weights of each product are clustered in different regions of Oklahoma. Specifically, the large weights (&gt; 0.56) for NLDAS Noah are clustered in east Oklahoma, the high weights (&gt; 0.28) for Mesonet are concentrated in the Panhandle, West Central and Southwest regions and the large weights (&gt; 0.2) of SMAP L3 are shown in areas where both Noah and Mesonet have very small weights. This suggests that each product might not be able to represent the true soil moisture variations in Oklahoma individually. </w:t>
      </w:r>
      <w:r w:rsidRPr="002C7B1E">
        <w:rPr>
          <w:snapToGrid w:val="0"/>
          <w:lang w:eastAsia="de-DE"/>
        </w:rPr>
        <w:lastRenderedPageBreak/>
        <w:t xml:space="preserve">This might be due to the characteristics of these soil moisture measurements. For example, the Oklahoma Mesonet site standards require the sites to be far away from urban landscapes, irrigation, forest, bare soil, fast growing vegetation, and large bodies of water to minimize those influences </w:t>
      </w:r>
      <w:r w:rsidRPr="002C7B1E">
        <w:rPr>
          <w:snapToGrid w:val="0"/>
          <w:lang w:eastAsia="de-DE"/>
        </w:rPr>
        <w:fldChar w:fldCharType="begin"/>
      </w:r>
      <w:r w:rsidR="00794A08">
        <w:rPr>
          <w:snapToGrid w:val="0"/>
          <w:lang w:eastAsia="de-DE"/>
        </w:rPr>
        <w:instrText xml:space="preserve"> ADDIN ZOTERO_ITEM CSL_CITATION {"citationID":"ZLuzQvvd","properties":{"formattedCitation":"(Brock et al., 1995; McPherson et al., 2007)","plainCitation":"(Brock et al., 1995; McPherson et al., 2007)","noteIndex":0},"citationItems":[{"id":17,"uris":["http://zotero.org/users/7782726/items/42KGE6UN"],"uri":["http://zotero.org/users/7782726/items/42KGE6UN"],"itemData":{"id":17,"type":"article-journal","abstract":"&lt;section class=\"abstract\"&gt;&lt;h2 class=\"abstractTitle text-title my-1\" id=\"d262e2\"&gt;Abstract&lt;/h2&gt;&lt;p&gt;The Oklahoma mesonet is a joint project of Oklahoma State University and the University of Oklahoma. It is an automated network of 108 stations covering the state of Oklahoma. Each station measures air temperature, humidity, barometric pressure, wind speed and direction, rainfall, solar radiation, and soil temperatures. Each station transmits a data message every 15 min via a radio link to the nearest terminal of the Oklahoma Law Enforcement Telecommunications System that relays it to a central site in Norman, Oklahoma. The data message comprises three 5-min averages of most data (and one 15-min average of soil temperatures). The central site ingests the data, runs some quality assurance tests, archives the data, and disseminates it in real time to a broad community of users, primarily through a computerized bulletin board system. This manuscript provides a technical description of the Oklahoma mesonet including a complete description of the instrumentation. Sensor inaccuracy, resolution, height with respect to ground level, and method of exposure are discussed.&lt;/p&gt;&lt;/section&gt;","container-title":"Journal of Atmospheric and Oceanic Technology","DOI":"10.1175/1520-0426(1995)012&lt;0005:TOMATO&gt;2.0.CO;2","ISSN":"0739-0572, 1520-0426","issue":"1","language":"EN","note":"publisher: American Meteorological Society\nsection: Journal of Atmospheric and Oceanic Technology","page":"5-19","source":"journals.ametsoc.org","title":"The Oklahoma Mesonet: A Technical Overview","title-short":"The Oklahoma Mesonet","volume":"12","author":[{"family":"Brock","given":"Fred V."},{"family":"Crawford","given":"Kenneth C."},{"family":"Elliott","given":"Ronald L."},{"family":"Cuperus","given":"Gerrit W."},{"family":"Stadler","given":"Steven J."},{"family":"Johnson","given":"Howard L."},{"family":"Eilts","given":"Michael D."}],"issued":{"date-parts":[["1995",2,1]]}}},{"id":20,"uris":["http://zotero.org/users/7782726/items/24NAA64A"],"uri":["http://zotero.org/users/7782726/items/24NAA64A"],"itemData":{"id":20,"type":"article-journal","abstract":"&lt;section class=\"abstract\"&gt;&lt;h2 class=\"abstractTitle text-title my-1\" id=\"d719e2\"&gt;Abstract&lt;/h2&gt;&lt;p&gt;Established as a multipurpose network, the Oklahoma Mesonet operates more than 110 surface observing stations that send data every 5 min to an operations center for data quality assurance, product generation, and dissemination. Quality-assured data are available within 5 min of the observation time. Since 1994, the Oklahoma Mesonet has collected 3.5 billion weather and soil observations and produced millions of decision-making products for its customers.&lt;/p&gt;&lt;/section&gt;","container-title":"Journal of Atmospheric and Oceanic Technology","DOI":"10.1175/JTECH1976.1","ISSN":"0739-0572, 1520-0426","issue":"3","language":"EN","note":"publisher: American Meteorological Society\nsection: Journal of Atmospheric and Oceanic Technology","page":"301-321","source":"journals.ametsoc.org","title":"Statewide Monitoring of the Mesoscale Environment: A Technical Update on the Oklahoma Mesonet","title-short":"Statewide Monitoring of the Mesoscale Environment","volume":"24","author":[{"family":"McPherson","given":"Renee A."},{"family":"Fiebrich","given":"Christopher A."},{"family":"Crawford","given":"Kenneth C."},{"family":"Kilby","given":"James R."},{"family":"Grimsley","given":"David L."},{"family":"Martinez","given":"Janet E."},{"family":"Basara","given":"Jeffrey B."},{"family":"Illston","given":"Bradley G."},{"family":"Morris","given":"Dale A."},{"family":"Kloesel","given":"Kevin A."},{"family":"Melvin","given":"Andrea D."},{"family":"Shrivastava","given":"Himanshu"},{"family":"Wolfinbarger","given":"J. Michael"},{"family":"Bostic","given":"Jared P."},{"family":"Demko","given":"David B."},{"family":"Elliott","given":"Ronald L."},{"family":"Stadler","given":"Stephen J."},{"family":"Carlson","given":"J. D."},{"family":"Sutherland","given":"Albert J."}],"issued":{"date-parts":[["2007",3,1]]}}}],"schema":"https://github.com/citation-style-language/schema/raw/master/csl-citation.json"} </w:instrText>
      </w:r>
      <w:r w:rsidRPr="002C7B1E">
        <w:rPr>
          <w:snapToGrid w:val="0"/>
          <w:lang w:eastAsia="de-DE"/>
        </w:rPr>
        <w:fldChar w:fldCharType="separate"/>
      </w:r>
      <w:r w:rsidR="00794A08" w:rsidRPr="00794A08">
        <w:t>(Brock et al., 1995; McPherson et al., 2007)</w:t>
      </w:r>
      <w:r w:rsidRPr="002C7B1E">
        <w:rPr>
          <w:snapToGrid w:val="0"/>
          <w:lang w:eastAsia="de-DE"/>
        </w:rPr>
        <w:fldChar w:fldCharType="end"/>
      </w:r>
      <w:r w:rsidRPr="002C7B1E">
        <w:rPr>
          <w:snapToGrid w:val="0"/>
          <w:lang w:eastAsia="de-DE"/>
        </w:rPr>
        <w:t>. Therefore, it is meaningful to merge independent products from multiple sources (satellite, model, in-situ) to obtain a more accurate estimate.</w:t>
      </w:r>
    </w:p>
    <w:p w14:paraId="4276D5AE" w14:textId="51DD7B58" w:rsidR="002C7B1E" w:rsidRPr="002C7B1E" w:rsidRDefault="002C7B1E" w:rsidP="002C7B1E">
      <w:pPr>
        <w:rPr>
          <w:snapToGrid w:val="0"/>
          <w:lang w:eastAsia="de-DE"/>
        </w:rPr>
      </w:pPr>
      <w:r w:rsidRPr="002C7B1E">
        <w:rPr>
          <w:snapToGrid w:val="0"/>
          <w:lang w:eastAsia="de-DE"/>
        </w:rPr>
        <w:t xml:space="preserve">In this study, the TC-LSW approach-based merging product (OU-MSSM) was also compared with an equal weighting approach-based blending product (AVE) and SMAP L4. The OU-MSSM has the highest correlation with the OSU daily soil moisture measurement with the lowest mean RMSE value, while SMAP L4 has the lowest correlation with the OSU daily soil moisture estimates with the highest mean RMSE value. Spatially, the OU-MSSM provided the best estimation of volumetric soil moisture in the Panhandle, West Central and Southwest climate divisions. It is because the weights of resampled Mesonet composites the OU-MSSM are the highest in these climate divisions and the resampled Mesonet has the highest correlation with the true soil moisture according to our previous study. While in other six divisions, the OU-MSSM has the highest averaged CC and lowest averaged RMSE it also shows larger positive bias than AVE. The SMAP L4 has the third best estimation of volumetric soil moisture in all nine climate divisions. Moreover, SMAP L4 shows negative mean bias in most climate divisions except Southeast. In Southeast, its bias ranges from -0.35 to 0.56 with a mean bias of 0.117. This large range of bias may be attributed to tree canopy and dense vegetation because higher vegetation intensity will reduce the quality of soil moisture retrieval </w:t>
      </w:r>
      <w:r w:rsidR="002945DD">
        <w:rPr>
          <w:snapToGrid w:val="0"/>
          <w:lang w:eastAsia="de-DE"/>
        </w:rPr>
        <w:fldChar w:fldCharType="begin"/>
      </w:r>
      <w:r w:rsidR="0075552F">
        <w:rPr>
          <w:snapToGrid w:val="0"/>
          <w:lang w:eastAsia="de-DE"/>
        </w:rPr>
        <w:instrText xml:space="preserve"> ADDIN ZOTERO_ITEM CSL_CITATION {"citationID":"UoL4KoZR","properties":{"formattedCitation":"(X. Zhang, Zhang, et al., 2017)","plainCitation":"(X. Zhang, Zhang, et al., 2017)","dontUpdate":true,"noteIndex":0},"citationItems":[{"id":218,"uris":["http://zotero.org/users/7782726/items/MPMZAT7V"],"uri":["http://zotero.org/users/7782726/items/MPMZAT7V"],"itemData":{"id":218,"type":"article-journal","abstract":"Soil moisture products acquired from passive satellite missions have been widely applied in environmental processes. A primary challenge for the use of soil moisture products from passive sensors is their reliability. It is crucial to evaluate the reliability of those products before they can be routinely used at a global scale. In this paper, we evaluated the Soil Moisture Active/Passive (SMAP) and the Advanced Microwave Scanning Radiometer (AMSR2) radiometer soil moisture products against in situ measurements collected from American networks with four statistics, including the mean difference (MD), the root mean squared difference (RMSD), the unbiased root mean square error (ubRMSE) and the correlation coefficient (R). The evaluation results of SMAP and AMSR2 soil moisture products were compared. Moreover, the triple collocation (TC) error model was used to assess the error among AMSR2, SMAP and in situ data. The monthly average and daily AMSR2 and SMAP soil moisture data were analyzed. Different spatial series, temporal series and combined spatial-temporal analysis were carried out. The results reveal that SMAP soil moisture retrievals are generally better than AMSR2 soil moisture data. The remotely sensed retrievals show the best agreement with in situ measurements over the central Great Plains and cultivated crops throughout the year. In particular, SMAP soil moisture data shows a stable pattern for capturing the spatial distribution of surface soil moisture. Further studies are required for better understanding the SMAP soil moisture product.","container-title":"Remote Sensing","DOI":"10.3390/rs9020104","issue":"2","language":"en","note":"number: 2\npublisher: Multidisciplinary Digital Publishing Institute","page":"104","source":"www.mdpi.com","title":"Validation Analysis of SMAP and AMSR2 Soil Moisture Products over the United States Using Ground-Based Measurements","volume":"9","author":[{"family":"Zhang","given":"Xuefei"},{"family":"Zhang","given":"Tingting"},{"family":"Zhou","given":"Ping"},{"family":"Shao","given":"Yun"},{"family":"Gao","given":"Shan"}],"issued":{"date-parts":[["2017",2]]}}}],"schema":"https://github.com/citation-style-language/schema/raw/master/csl-citation.json"} </w:instrText>
      </w:r>
      <w:r w:rsidR="002945DD">
        <w:rPr>
          <w:snapToGrid w:val="0"/>
          <w:lang w:eastAsia="de-DE"/>
        </w:rPr>
        <w:fldChar w:fldCharType="separate"/>
      </w:r>
      <w:r w:rsidR="006B2ACE" w:rsidRPr="006B2ACE">
        <w:t>(Zhang, et al., 2017)</w:t>
      </w:r>
      <w:r w:rsidR="002945DD">
        <w:rPr>
          <w:snapToGrid w:val="0"/>
          <w:lang w:eastAsia="de-DE"/>
        </w:rPr>
        <w:fldChar w:fldCharType="end"/>
      </w:r>
      <w:r w:rsidRPr="002C7B1E">
        <w:rPr>
          <w:snapToGrid w:val="0"/>
          <w:lang w:eastAsia="de-DE"/>
        </w:rPr>
        <w:t xml:space="preserve">. Fan </w:t>
      </w:r>
      <w:r w:rsidR="00422810">
        <w:rPr>
          <w:snapToGrid w:val="0"/>
          <w:lang w:eastAsia="de-DE"/>
        </w:rPr>
        <w:t>et al.</w:t>
      </w:r>
      <w:r w:rsidRPr="002C7B1E">
        <w:rPr>
          <w:snapToGrid w:val="0"/>
          <w:lang w:eastAsia="de-DE"/>
        </w:rPr>
        <w:fldChar w:fldCharType="begin"/>
      </w:r>
      <w:r w:rsidR="00794A08">
        <w:rPr>
          <w:snapToGrid w:val="0"/>
          <w:lang w:eastAsia="de-DE"/>
        </w:rPr>
        <w:instrText xml:space="preserve"> ADDIN ZOTERO_ITEM CSL_CITATION {"citationID":"m3NAVgky","properties":{"formattedCitation":"(Fan et al., 2020)","plainCitation":"(Fan et al., 2020)","noteIndex":0},"citationItems":[{"id":211,"uris":["http://zotero.org/users/7782726/items/PI5FV2WU"],"uri":["http://zotero.org/users/7782726/items/PI5FV2WU"],"itemData":{"id":211,"type":"article-journal","abstract":"The Soil Moisture Active Mission (SMAP) baseline V-pol single channel algorithm (SCA-V) retrieves soil moisture (SM) based on the 2000–2010 Moderate-resolution Imaging Spectroradiometer (MODIS) normalized difference vegetation index (NDVI) climatology. This parameterization scheme might affect SM retrievals in the context of vegetation disturbances, e.g., as a result of drought. By referencing the European Space Agency (ESA) Climate Change Initiative (CCI), the Global Land Data Assimilation System (GLDAS), the Soil Moisture and Ocean Salinity (SMOS) L3 (SMOS-L3) and the SMOS-IC SM datasets, this study investigated the effects of SMAP vegetation parameterization on SMAP–reference SM differences in global land areas that are subject to differing vegetation disturbances. The results show that SMAP might underestimate SM by ~0.007 m3·m−3 for a relative NDVI decrease of 10%. The underestimation might be primarily caused by low biases in the Global Modeling and Assimilation Office (GMAO) surface temperature. Although using NDVI climatology might cause an overestimation of SM (due to an overestimation of vegetation effects and an underestimation of surface roughness effects), the concurrent underestimation of the GMAO surface temperature might cause an even larger underestimation of SM. The vegetation biases, particularly the surface temperature biases, should be considered for SMAP SM retrieval. These results have implications for future updates of SMAP SCA-V and applications of time series SMAP SM data for hydroecological studies, especially in the future, which is projected to have strong and long-lasting droughts.","container-title":"Remote Sensing of Environment","DOI":"10.1016/j.rse.2020.111914","ISSN":"0034-4257","journalAbbreviation":"Remote Sensing of Environment","language":"en","page":"111914","source":"ScienceDirect","title":"SMAP underestimates soil moisture in vegetation-disturbed areas primarily as a result of biased surface temperature data","volume":"247","author":[{"family":"Fan","given":"Xingwang"},{"family":"Liu","given":"Yuanbo"},{"family":"Gan","given":"Guojing"},{"family":"Wu","given":"Guiping"}],"issued":{"date-parts":[["2020",9,15]]}}}],"schema":"https://github.com/citation-style-language/schema/raw/master/csl-citation.json"} </w:instrText>
      </w:r>
      <w:r w:rsidRPr="002C7B1E">
        <w:rPr>
          <w:snapToGrid w:val="0"/>
          <w:lang w:eastAsia="de-DE"/>
        </w:rPr>
        <w:fldChar w:fldCharType="separate"/>
      </w:r>
      <w:r w:rsidR="006B2ACE" w:rsidRPr="006B2ACE">
        <w:t>(Fan et al., 2020)</w:t>
      </w:r>
      <w:r w:rsidRPr="002C7B1E">
        <w:rPr>
          <w:snapToGrid w:val="0"/>
          <w:lang w:eastAsia="de-DE"/>
        </w:rPr>
        <w:fldChar w:fldCharType="end"/>
      </w:r>
      <w:r w:rsidRPr="002C7B1E">
        <w:rPr>
          <w:snapToGrid w:val="0"/>
          <w:lang w:eastAsia="de-DE"/>
        </w:rPr>
        <w:t xml:space="preserve"> also found that SMAP underestimates soil moisture in global vegetation-disturbed areas, which are related to negative biases in MERRA temperature data. However, the bias in this study (-0.138) is larger than some studies assessing SMAP L4 surface soil moisture product with in situ </w:t>
      </w:r>
      <w:r w:rsidRPr="002C7B1E">
        <w:rPr>
          <w:snapToGrid w:val="0"/>
          <w:lang w:eastAsia="de-DE"/>
        </w:rPr>
        <w:lastRenderedPageBreak/>
        <w:t>measurements in the United States (</w:t>
      </w:r>
      <w:r w:rsidRPr="002C7B1E">
        <w:rPr>
          <w:snapToGrid w:val="0"/>
          <w:lang w:eastAsia="de-DE"/>
        </w:rPr>
        <w:fldChar w:fldCharType="begin"/>
      </w:r>
      <w:r w:rsidR="00794A08">
        <w:rPr>
          <w:snapToGrid w:val="0"/>
          <w:lang w:eastAsia="de-DE"/>
        </w:rPr>
        <w:instrText xml:space="preserve"> ADDIN ZOTERO_ITEM CSL_CITATION {"citationID":"5JXaCYaP","properties":{"formattedCitation":"(Tavakol et al., 2019)","plainCitation":"(Tavakol et al., 2019)","noteIndex":0},"citationItems":[{"id":213,"uris":["http://zotero.org/users/7782726/items/UP6KKM5E"],"uri":["http://zotero.org/users/7782726/items/UP6KKM5E"],"itemData":{"id":213,"type":"article-journal","abstract":"Soil moisture has a critical role in the development, frequency and persistence of climatic and hydrologic extremes such as drought, heat wave and flooding events. In situ soil moisture data are uneven and sparse in time and space. This highlights the need to utilize other soil moisture sources to fill this spatiotemporal gap. The goal of this study is to validate one satellite-based and two model-based soil moisture datasets with in situ data across the United States. Soil moisture information from the Soil Moisture Active Passive (SMAP) enhanced level 3 (L3) (SMAP L3) and modeled level 4 (L4) (SMAP L4) data at 9-km resolution and Short-term Prediction Research and Transition-Land Information System (SPoRT-LIS) modeled at 3-km resolution were selected for evaluation. SPoRT-LIS is a near real-time, high resolution operational land analysis data. Ground-based data were obtained from the North American Soil Moisture Database (NASMD) for 362 stations. Seven statistical indicators including anomaly, Spearman, and Pearson correlation coefficients, the systematic error (Bias), root mean square error (RMSE), unbiased root mean square error (ubRMSE), and normalized standard deviation (SDV) were used to evaluate the satellite- and model-derived soil moisture data. In addition, the triple collocation (TC) error model was used to measure the error among SMAP L4, SPoRT-LIS and ground-based data. This study assesses which satellite or modeled dataset is most appropriate for specific times and locations to use as a surrogate for in situ observations. Temporal and spatial analysis demonstrated that, overall, SMAP L4 performed better than SMAP L3 and SPoRT-LIS. Strong agreement was observed between SMAP L4 and in situ observations (ρ = 0.53, Bias = −0.006) in all seasons and most regions with various land covers, especially in winter and in the central regions of the United States. For croplands, SMAP L4 presented the best agreement with in situ data, analyzing all period (ρ = 0.60) and non-winter period (ρ = 0.61) separately.","container-title":"Remote Sensing of Environment","DOI":"10.1016/j.rse.2019.05.006","ISSN":"0034-4257","journalAbbreviation":"Remote Sensing of Environment","language":"en","page":"234-246","source":"ScienceDirect","title":"Evaluation analysis of NASA SMAP L3 and L4 and SPoRT-LIS soil moisture data in the United States","volume":"229","author":[{"family":"Tavakol","given":"Ameneh"},{"family":"Rahmani","given":"Vahid"},{"family":"Quiring","given":"Steven M."},{"family":"Kumar","given":"Sujay V."}],"issued":{"date-parts":[["2019",8,1]]}}}],"schema":"https://github.com/citation-style-language/schema/raw/master/csl-citation.json"} </w:instrText>
      </w:r>
      <w:r w:rsidRPr="002C7B1E">
        <w:rPr>
          <w:snapToGrid w:val="0"/>
          <w:lang w:eastAsia="de-DE"/>
        </w:rPr>
        <w:fldChar w:fldCharType="separate"/>
      </w:r>
      <w:r w:rsidR="00794A08" w:rsidRPr="00794A08">
        <w:t>(Tavakol et al., 2019)</w:t>
      </w:r>
      <w:r w:rsidRPr="002C7B1E">
        <w:rPr>
          <w:snapToGrid w:val="0"/>
          <w:lang w:eastAsia="de-DE"/>
        </w:rPr>
        <w:fldChar w:fldCharType="end"/>
      </w:r>
      <w:r w:rsidRPr="002C7B1E">
        <w:rPr>
          <w:snapToGrid w:val="0"/>
          <w:lang w:eastAsia="de-DE"/>
        </w:rPr>
        <w:t xml:space="preserve"> (bias = -0.006)</w:t>
      </w:r>
      <w:r w:rsidR="002945DD">
        <w:rPr>
          <w:snapToGrid w:val="0"/>
          <w:lang w:eastAsia="de-DE"/>
        </w:rPr>
        <w:t>)</w:t>
      </w:r>
      <w:r w:rsidRPr="002C7B1E">
        <w:rPr>
          <w:snapToGrid w:val="0"/>
          <w:lang w:eastAsia="de-DE"/>
        </w:rPr>
        <w:t xml:space="preserve">, </w:t>
      </w:r>
      <w:r w:rsidR="002945DD">
        <w:rPr>
          <w:snapToGrid w:val="0"/>
          <w:lang w:eastAsia="de-DE"/>
        </w:rPr>
        <w:t>(</w:t>
      </w:r>
      <w:r w:rsidRPr="002C7B1E">
        <w:rPr>
          <w:snapToGrid w:val="0"/>
          <w:lang w:eastAsia="de-DE"/>
        </w:rPr>
        <w:fldChar w:fldCharType="begin"/>
      </w:r>
      <w:r w:rsidR="0075552F">
        <w:rPr>
          <w:snapToGrid w:val="0"/>
          <w:lang w:eastAsia="de-DE"/>
        </w:rPr>
        <w:instrText xml:space="preserve"> ADDIN ZOTERO_ITEM CSL_CITATION {"citationID":"x2bcLtkO","properties":{"formattedCitation":"(R. H. Reichle et al., 2017)","plainCitation":"(R. H. Reichle et al., 2017)","dontUpdate":true,"noteIndex":0},"citationItems":[{"id":184,"uris":["http://zotero.org/users/7782726/items/QJ7KNAPV"],"uri":["http://zotero.org/users/7782726/items/QJ7KNAPV"],"itemData":{"id":184,"type":"article-journal","abstract":"&lt;section class=\"abstract\"&gt;&lt;h2 class=\"abstractTitle text-title my-1\" id=\"d149744354e604\"&gt;Abstract&lt;/h2&gt;&lt;p&gt;The Soil Moisture Active Passive (SMAP) mission Level-4 Surface and Root-Zone Soil Moisture (L4_SM) data product is generated by assimilating SMAP L-band brightness temperature observations into the NASA Catchment land surface model. The L4_SM product is available from 31 March 2015 to present (within 3 days from real time) and provides 3-hourly, global, 9-km resolution estimates of surface (0–5 cm) and root-zone (0–100 cm) soil moisture and land surface conditions. This study presents an overview of the L4_SM algorithm, validation approach, and product assessment versus in situ measurements. Core validation sites provide spatially averaged surface (root zone) soil moisture measurements for 43 (17) “reference pixels” at 9- and 36-km gridcell scales located in 17 (7) distinct watersheds. Sparse networks provide point-scale measurements of surface (root zone) soil moisture at 406 (311) locations. Core validation site results indicate that the L4_SM product meets its soil moisture accuracy requirement, specified as an unbiased RMSE (ubRMSE, or standard deviation of the error) of 0.04 m&lt;sup&gt;3&lt;/sup&gt; m&lt;sup&gt;−3&lt;/sup&gt; or better. The ubRMSE for L4_SM surface (root zone) soil moisture is 0.038 m&lt;sup&gt;3&lt;/sup&gt; m&lt;sup&gt;−3&lt;/sup&gt; (0.030 m&lt;sup&gt;3&lt;/sup&gt; m&lt;sup&gt;−3&lt;/sup&gt;) at the 9-km scale and 0.035 m&lt;sup&gt;3&lt;/sup&gt; m&lt;sup&gt;−3&lt;/sup&gt; (0.026 m&lt;sup&gt;3&lt;/sup&gt; m&lt;sup&gt;−3&lt;/sup&gt;) at the 36-km scale. The L4_SM estimates improve (significantly at the 5% level for surface soil moisture) over model-only estimates, which do not benefit from the assimilation of SMAP brightness temperature observations and have a 9-km surface (root zone) ubRMSE of 0.042 m&lt;sup&gt;3&lt;/sup&gt; m&lt;sup&gt;−3&lt;/sup&gt; (0.032 m&lt;sup&gt;3&lt;/sup&gt; m&lt;sup&gt;−3&lt;/sup&gt;). Time series correlations exhibit similar relative performance. The sparse network results corroborate these findings over a greater variety of climate and land cover conditions.&lt;/p&gt;&lt;/section&gt;","container-title":"Journal of Hydrometeorology","DOI":"10.1175/JHM-D-17-0063.1","ISSN":"1525-7541, 1525-755X","issue":"10","language":"EN","note":"publisher: American Meteorological Society\nsection: Journal of Hydrometeorology","page":"2621-2645","source":"journals.ametsoc.org","title":"Assessment of the SMAP Level-4 Surface and Root-Zone Soil Moisture Product Using In Situ Measurements","volume":"18","author":[{"family":"Reichle","given":"Rolf H."},{"family":"Lannoy","given":"Gabrielle J. M. De"},{"family":"Liu","given":"Qing"},{"family":"Ardizzone","given":"Joseph V."},{"family":"Colliander","given":"Andreas"},{"family":"Conaty","given":"Austin"},{"family":"Crow","given":"Wade"},{"family":"Jackson","given":"Thomas J."},{"family":"Jones","given":"Lucas A."},{"family":"Kimball","given":"John S."},{"family":"Koster","given":"Randal D."},{"family":"Mahanama","given":"Sarith P."},{"family":"Smith","given":"Edmond B."},{"family":"Berg","given":"Aaron"},{"family":"Bircher","given":"Simone"},{"family":"Bosch","given":"David"},{"family":"Caldwell","given":"Todd G."},{"family":"Cosh","given":"Michael"},{"family":"González-Zamora","given":"Ángel"},{"family":"Collins","given":"Chandra D. Holifield"},{"family":"Jensen","given":"Karsten H."},{"family":"Livingston","given":"Stan"},{"family":"Lopez-Baeza","given":"Ernesto"},{"family":"Martínez-Fernández","given":"José"},{"family":"McNairn","given":"Heather"},{"family":"Moghaddam","given":"Mahta"},{"family":"Pacheco","given":"Anna"},{"family":"Pellarin","given":"Thierry"},{"family":"Prueger","given":"John"},{"family":"Rowlandson","given":"Tracy"},{"family":"Seyfried","given":"Mark"},{"family":"Starks","given":"Patrick"},{"family":"Su","given":"Zhongbo"},{"family":"Thibeault","given":"Marc"},{"family":"Velde","given":"Rogier","dropping-particle":"van der"},{"family":"Walker","given":"Jeffrey"},{"family":"Wu","given":"Xiaoling"},{"family":"Zeng","given":"Yijian"}],"issued":{"date-parts":[["2017",10,1]]}}}],"schema":"https://github.com/citation-style-language/schema/raw/master/csl-citation.json"} </w:instrText>
      </w:r>
      <w:r w:rsidRPr="002C7B1E">
        <w:rPr>
          <w:snapToGrid w:val="0"/>
          <w:lang w:eastAsia="de-DE"/>
        </w:rPr>
        <w:fldChar w:fldCharType="separate"/>
      </w:r>
      <w:r w:rsidR="0064031E" w:rsidRPr="0064031E">
        <w:t>(Reichle et al., 2017)</w:t>
      </w:r>
      <w:r w:rsidRPr="002C7B1E">
        <w:rPr>
          <w:snapToGrid w:val="0"/>
          <w:lang w:eastAsia="de-DE"/>
        </w:rPr>
        <w:fldChar w:fldCharType="end"/>
      </w:r>
      <w:r w:rsidRPr="002C7B1E">
        <w:rPr>
          <w:snapToGrid w:val="0"/>
          <w:lang w:eastAsia="de-DE"/>
        </w:rPr>
        <w:t xml:space="preserve"> (bias = -0.01)). This might be because the in-situ measurements used in this study are regression kriging-based interpolated in situ soil moisture measurements. The results indicate that (1) the TC-LSW approach-based merging scheme appears to be more optimal than the equal weighting merging scheme; (2) in-situ measurements are valuable for improving the accuracy of blended soil moisture datasets; (3) using multiple sources of soil moisture helps to reduce the overall uncertainty in the soil moisture estimates.</w:t>
      </w:r>
    </w:p>
    <w:p w14:paraId="63F0420F" w14:textId="1AE77514" w:rsidR="002C7B1E" w:rsidRPr="002C7B1E" w:rsidRDefault="002C7B1E" w:rsidP="002C7B1E">
      <w:pPr>
        <w:rPr>
          <w:snapToGrid w:val="0"/>
          <w:lang w:eastAsia="de-DE"/>
        </w:rPr>
      </w:pPr>
      <w:r w:rsidRPr="002C7B1E">
        <w:rPr>
          <w:snapToGrid w:val="0"/>
          <w:lang w:eastAsia="de-DE"/>
        </w:rPr>
        <w:t xml:space="preserve">This study also provided a comparison of the blended products (OU-MSSM, AVE) and SMAP L4 over different land cover types and soil types in Oklahoma. The results indicate that the OU-MSSM has the best performance in all land cover types except mixed forest, evergreen forest, and deciduous forest. In these three land cover types, the OU-MSSM has larger mean positive bias than AVE. This might be because in these three land cover types, NLDAS2 Noah has more weight in the OU-MSSM calculations than in AVE, and NLDAS2 Noah displays large biases when compared to in situ observations according to Xia </w:t>
      </w:r>
      <w:r w:rsidRPr="002C7B1E">
        <w:rPr>
          <w:snapToGrid w:val="0"/>
          <w:lang w:eastAsia="de-DE"/>
        </w:rPr>
        <w:fldChar w:fldCharType="begin"/>
      </w:r>
      <w:r w:rsidR="00794A08">
        <w:rPr>
          <w:snapToGrid w:val="0"/>
          <w:lang w:eastAsia="de-DE"/>
        </w:rPr>
        <w:instrText xml:space="preserve"> ADDIN ZOTERO_ITEM CSL_CITATION {"citationID":"mUrrVQUY","properties":{"formattedCitation":"(Xia et al., 2014)","plainCitation":"(Xia et al., 2014)","noteIndex":0},"citationItems":[{"id":87,"uris":["http://zotero.org/users/7782726/items/2LX9DU3A"],"uri":["http://zotero.org/users/7782726/items/2LX9DU3A"],"itemData":{"id":87,"type":"article-journal","abstract":"The North American Land Data Assimilation System (NLDAS) phase 2 (NLDAS-2) has generated 31-years (1979–2008) of water and energy products from four state-of-the-art land surface models (Noah, Mosaic, SAC, VIC). The soil moisture data from these models have been used for operational drought monitoring activities, but so far have not yet been comprehensively evaluated. In this study, three available in situ soil moisture observation data sets in the United States were used to evaluate the model-simulated soil moisture for different time scales varying from daily to annual. First, we used the observed multiple layer monthly and annual mean soil moisture from the Illinois Climate Network to evaluate 20-years (January 1985–December 2004) of model-simulated soil moisture in terms of skill and analysis of error statistics. Second, we utilized 6-years (1 January 1997–31 December 2002) of daily soil moisture observed from 72 sites over the Oklahoma Mesonet network to assess daily and monthly simulation skill and errors for 3 model soil layers (0–10cm, 10–40cm, 40–100cm). Third, we extended the daily assessment to sites over the continental United States using 8-years (1 January 2002–31 December 2009) of observations for 121 sites from the Soil Climate Analysis Network (SCAN). Overall, all models are able to capture wet and dry events and show high skill (in most cases, anomaly correlation is larger than 0.7), but display large biases when compared to in situ observations. These errors may come from model errors (i.e., model structure error, model parameter error), forcing data errors, and in situ soil moisture measurement errors. For example, all models simulate less soil moisture due to lack of modeled irrigation and ground water processes in Illinois, Oklahoma, and the other Midwest states.","container-title":"Journal of Hydrology","DOI":"10.1016/j.jhydrol.2014.02.027","ISSN":"0022-1694","journalAbbreviation":"Journal of Hydrology","language":"en","page":"107-125","source":"ScienceDirect","title":"Evaluation of multi-model simulated soil moisture in NLDAS-2","volume":"512","author":[{"family":"Xia","given":"Youlong"},{"family":"Sheffield","given":"Justin"},{"family":"Ek","given":"Michael B."},{"family":"Dong","given":"Jiarui"},{"family":"Chaney","given":"Nathaniel"},{"family":"Wei","given":"Helin"},{"family":"Meng","given":"Jesse"},{"family":"Wood","given":"Eric F."}],"issued":{"date-parts":[["2014",5,6]]}}}],"schema":"https://github.com/citation-style-language/schema/raw/master/csl-citation.json"} </w:instrText>
      </w:r>
      <w:r w:rsidRPr="002C7B1E">
        <w:rPr>
          <w:snapToGrid w:val="0"/>
          <w:lang w:eastAsia="de-DE"/>
        </w:rPr>
        <w:fldChar w:fldCharType="separate"/>
      </w:r>
      <w:r w:rsidR="00794A08" w:rsidRPr="00794A08">
        <w:t>(Xia et al., 2014)</w:t>
      </w:r>
      <w:r w:rsidRPr="002C7B1E">
        <w:rPr>
          <w:snapToGrid w:val="0"/>
          <w:lang w:eastAsia="de-DE"/>
        </w:rPr>
        <w:fldChar w:fldCharType="end"/>
      </w:r>
      <w:r w:rsidRPr="002C7B1E">
        <w:rPr>
          <w:snapToGrid w:val="0"/>
          <w:lang w:eastAsia="de-DE"/>
        </w:rPr>
        <w:t>. As with soil types, the OU-MSSM has best performance in all soil types except sand. The OU-MSSM has similar performance with AVE in sand soil type.</w:t>
      </w:r>
    </w:p>
    <w:p w14:paraId="13232F17" w14:textId="04AF537C" w:rsidR="002C7B1E" w:rsidRDefault="002C7B1E" w:rsidP="002C7B1E">
      <w:pPr>
        <w:rPr>
          <w:snapToGrid w:val="0"/>
          <w:lang w:eastAsia="de-DE"/>
        </w:rPr>
      </w:pPr>
      <w:r w:rsidRPr="002C7B1E">
        <w:rPr>
          <w:snapToGrid w:val="0"/>
          <w:lang w:eastAsia="de-DE"/>
        </w:rPr>
        <w:t xml:space="preserve">These findings should be placed in context by acknowledging the study limitations, including: (1) the soil moisture products used in this study were all extracted from 6 a.m. observations. However, a temporal mismatch may still exist due to the different temporal resolutions of each soil moisture product. Future work can adopt methods to ensure the temporal coherence of different datasets; (2) The Mesonet product used in the TC intercomparison is interpolated from point-scaled Oklahoma Mesonet to spatial resolution of SMAP (9 km) using the ordinary kriging method. Future work could use regression kriging approaches and including independent </w:t>
      </w:r>
      <w:r w:rsidRPr="002C7B1E">
        <w:rPr>
          <w:snapToGrid w:val="0"/>
          <w:lang w:eastAsia="de-DE"/>
        </w:rPr>
        <w:lastRenderedPageBreak/>
        <w:t>predictors such as soil properties, land cover, topography and precipitation to increase the accuracy of the interpolated Mesonet product; (3) Further study is required to test whether these conclusions are valid in other regions. Indeed, a primary advantage of blending in-situ soil moisture is its representation of root zone. The focus of our next step is to apply the methods developed here for blending root zone soil moisture from in-situ and model sources.</w:t>
      </w:r>
    </w:p>
    <w:p w14:paraId="55226675" w14:textId="77777777" w:rsidR="00204AAD" w:rsidRPr="002C7B1E" w:rsidRDefault="00204AAD" w:rsidP="002C7B1E">
      <w:pPr>
        <w:rPr>
          <w:snapToGrid w:val="0"/>
          <w:lang w:eastAsia="de-DE"/>
        </w:rPr>
      </w:pPr>
    </w:p>
    <w:p w14:paraId="23238762" w14:textId="7424FCA2" w:rsidR="00B00D7E" w:rsidRDefault="00B00D7E" w:rsidP="00B00D7E">
      <w:pPr>
        <w:pStyle w:val="2"/>
        <w:rPr>
          <w:snapToGrid w:val="0"/>
          <w:lang w:eastAsia="de-DE"/>
        </w:rPr>
      </w:pPr>
      <w:bookmarkStart w:id="203" w:name="_Toc75939879"/>
      <w:r>
        <w:rPr>
          <w:snapToGrid w:val="0"/>
          <w:lang w:eastAsia="de-DE"/>
        </w:rPr>
        <w:t>4.6 Conclusion</w:t>
      </w:r>
      <w:bookmarkEnd w:id="203"/>
    </w:p>
    <w:p w14:paraId="22ED55CA" w14:textId="4927FA76" w:rsidR="00B00D7E" w:rsidRPr="00B00D7E" w:rsidRDefault="00B00D7E" w:rsidP="00B00D7E">
      <w:pPr>
        <w:rPr>
          <w:snapToGrid w:val="0"/>
          <w:lang w:eastAsia="de-DE"/>
        </w:rPr>
      </w:pPr>
      <w:r w:rsidRPr="00B00D7E">
        <w:rPr>
          <w:snapToGrid w:val="0"/>
          <w:lang w:eastAsia="de-DE"/>
        </w:rPr>
        <w:t xml:space="preserve">This </w:t>
      </w:r>
      <w:r w:rsidR="00204AAD">
        <w:rPr>
          <w:snapToGrid w:val="0"/>
          <w:lang w:eastAsia="de-DE"/>
        </w:rPr>
        <w:t>chapter</w:t>
      </w:r>
      <w:r w:rsidRPr="00B00D7E">
        <w:rPr>
          <w:snapToGrid w:val="0"/>
          <w:lang w:eastAsia="de-DE"/>
        </w:rPr>
        <w:t xml:space="preserve"> adopted an objective methodology introduced by Yilmaz et al. </w:t>
      </w:r>
      <w:r w:rsidR="00BF1326">
        <w:rPr>
          <w:snapToGrid w:val="0"/>
          <w:lang w:eastAsia="de-DE"/>
        </w:rPr>
        <w:fldChar w:fldCharType="begin"/>
      </w:r>
      <w:r w:rsidR="00BF1326">
        <w:rPr>
          <w:snapToGrid w:val="0"/>
          <w:lang w:eastAsia="de-DE"/>
        </w:rPr>
        <w:instrText xml:space="preserve"> ADDIN ZOTERO_ITEM CSL_CITATION {"citationID":"7UVCScXn","properties":{"formattedCitation":"(Yilmaz et al., 2012)","plainCitation":"(Yilmaz et al., 2012)","noteIndex":0},"citationItems":[{"id":183,"uris":["http://zotero.org/users/7782726/items/EUUL8YJ2"],"uri":["http://zotero.org/users/7782726/items/EUUL8YJ2"],"itemData":{"id":183,"type":"article-journal","container-title":"Water Resources Research","issue":"11","note":"ISBN: 0043-1397\npublisher: Wiley Online Library","title":"An objective methodology for merging satellite</w:instrText>
      </w:r>
      <w:r w:rsidR="00BF1326">
        <w:rPr>
          <w:rFonts w:hint="eastAsia"/>
          <w:snapToGrid w:val="0"/>
          <w:lang w:eastAsia="de-DE"/>
        </w:rPr>
        <w:instrText>‐</w:instrText>
      </w:r>
      <w:r w:rsidR="00BF1326">
        <w:rPr>
          <w:snapToGrid w:val="0"/>
          <w:lang w:eastAsia="de-DE"/>
        </w:rPr>
        <w:instrText>and model</w:instrText>
      </w:r>
      <w:r w:rsidR="00BF1326">
        <w:rPr>
          <w:rFonts w:hint="eastAsia"/>
          <w:snapToGrid w:val="0"/>
          <w:lang w:eastAsia="de-DE"/>
        </w:rPr>
        <w:instrText>‐</w:instrText>
      </w:r>
      <w:r w:rsidR="00BF1326">
        <w:rPr>
          <w:snapToGrid w:val="0"/>
          <w:lang w:eastAsia="de-DE"/>
        </w:rPr>
        <w:instrText xml:space="preserve">based soil moisture products","volume":"48","author":[{"family":"Yilmaz","given":"MUSTAFA TUĞRUL"},{"family":"Crow","given":"W. T."},{"family":"Anderson","given":"Martha C."},{"family":"Hain","given":"Chris"}],"issued":{"date-parts":[["2012"]]}}}],"schema":"https://github.com/citation-style-language/schema/raw/master/csl-citation.json"} </w:instrText>
      </w:r>
      <w:r w:rsidR="00BF1326">
        <w:rPr>
          <w:snapToGrid w:val="0"/>
          <w:lang w:eastAsia="de-DE"/>
        </w:rPr>
        <w:fldChar w:fldCharType="separate"/>
      </w:r>
      <w:r w:rsidR="006B2ACE" w:rsidRPr="006B2ACE">
        <w:t>(Yilmaz et al., 2012)</w:t>
      </w:r>
      <w:r w:rsidR="00BF1326">
        <w:rPr>
          <w:snapToGrid w:val="0"/>
          <w:lang w:eastAsia="de-DE"/>
        </w:rPr>
        <w:fldChar w:fldCharType="end"/>
      </w:r>
      <w:r w:rsidRPr="00B00D7E">
        <w:rPr>
          <w:snapToGrid w:val="0"/>
          <w:lang w:eastAsia="de-DE"/>
        </w:rPr>
        <w:t xml:space="preserve"> in blending multisource soil moisture products in Oklahoma, identified the importance of incorporating in-situ soil moisture into soil moisture blending and quantified the impact of different weighting schemes on soil moisture blending. Soil moisture information from multiple sources, including satellite (SMAP_L3), land surface model (NLDAS-2 Noah), and in-situ measurements (the interpolated Mesonet), are used to generate blended soil moisture products at a 9-km spatial resolution and daily temporal resolution. TC was used to estimate the error variance of the parent products, and LSW was used to generate blended soil moisture products. An equal weighting approach (AVE) and SMAP L4 were also compared with the TC-LSW approach. Several conclusions are summarized as follows:</w:t>
      </w:r>
    </w:p>
    <w:p w14:paraId="0600DCDC" w14:textId="77777777" w:rsidR="00B00D7E" w:rsidRPr="00B00D7E" w:rsidRDefault="00B00D7E" w:rsidP="00B00D7E">
      <w:pPr>
        <w:pStyle w:val="aff0"/>
        <w:numPr>
          <w:ilvl w:val="0"/>
          <w:numId w:val="41"/>
        </w:numPr>
        <w:rPr>
          <w:rFonts w:eastAsia="DengXian"/>
          <w:snapToGrid w:val="0"/>
          <w:lang w:eastAsia="zh-CN"/>
        </w:rPr>
      </w:pPr>
      <w:r w:rsidRPr="00B00D7E">
        <w:rPr>
          <w:rFonts w:eastAsia="DengXian"/>
          <w:snapToGrid w:val="0"/>
          <w:lang w:eastAsia="zh-CN"/>
        </w:rPr>
        <w:t xml:space="preserve">the TC-LSW approach-based merging scheme is more optimal than the equal weighting merging scheme. </w:t>
      </w:r>
    </w:p>
    <w:p w14:paraId="6A25996B" w14:textId="77777777" w:rsidR="00B00D7E" w:rsidRPr="00B00D7E" w:rsidRDefault="00B00D7E" w:rsidP="00B00D7E">
      <w:pPr>
        <w:pStyle w:val="aff0"/>
        <w:numPr>
          <w:ilvl w:val="0"/>
          <w:numId w:val="41"/>
        </w:numPr>
        <w:rPr>
          <w:rFonts w:eastAsia="DengXian"/>
          <w:snapToGrid w:val="0"/>
          <w:lang w:eastAsia="zh-CN"/>
        </w:rPr>
      </w:pPr>
      <w:r w:rsidRPr="00B00D7E">
        <w:rPr>
          <w:rFonts w:eastAsia="DengXian"/>
          <w:snapToGrid w:val="0"/>
          <w:lang w:eastAsia="zh-CN"/>
        </w:rPr>
        <w:t>in-situ measurements are valuable for improving the accuracy of blended soil moisture datasets.</w:t>
      </w:r>
    </w:p>
    <w:p w14:paraId="3F7B923C" w14:textId="77777777" w:rsidR="00B00D7E" w:rsidRPr="00B00D7E" w:rsidRDefault="00B00D7E" w:rsidP="00B00D7E">
      <w:pPr>
        <w:pStyle w:val="aff0"/>
        <w:numPr>
          <w:ilvl w:val="0"/>
          <w:numId w:val="41"/>
        </w:numPr>
        <w:rPr>
          <w:rFonts w:eastAsia="DengXian"/>
          <w:snapToGrid w:val="0"/>
          <w:lang w:eastAsia="zh-CN"/>
        </w:rPr>
      </w:pPr>
      <w:r w:rsidRPr="00B00D7E">
        <w:rPr>
          <w:rFonts w:eastAsia="DengXian"/>
          <w:snapToGrid w:val="0"/>
          <w:lang w:eastAsia="zh-CN"/>
        </w:rPr>
        <w:t>using multiple sources of soil moisture helps to reduce the overall uncertainty in the soil moisture estimates.</w:t>
      </w:r>
    </w:p>
    <w:p w14:paraId="02A5E503" w14:textId="77777777" w:rsidR="00B00D7E" w:rsidRPr="00B00D7E" w:rsidRDefault="00B00D7E" w:rsidP="00B00D7E">
      <w:pPr>
        <w:pStyle w:val="aff0"/>
        <w:numPr>
          <w:ilvl w:val="0"/>
          <w:numId w:val="41"/>
        </w:numPr>
        <w:rPr>
          <w:rFonts w:eastAsia="DengXian"/>
          <w:snapToGrid w:val="0"/>
          <w:lang w:eastAsia="zh-CN"/>
        </w:rPr>
      </w:pPr>
      <w:r w:rsidRPr="00B00D7E">
        <w:rPr>
          <w:rFonts w:eastAsia="DengXian"/>
          <w:snapToGrid w:val="0"/>
          <w:lang w:eastAsia="zh-CN"/>
        </w:rPr>
        <w:lastRenderedPageBreak/>
        <w:t>the OU-MSSM has best performance in all land cover types except mixed forest, evergreen forest, and deciduous forest.</w:t>
      </w:r>
    </w:p>
    <w:p w14:paraId="314F5611" w14:textId="77777777" w:rsidR="00B00D7E" w:rsidRPr="00B00D7E" w:rsidRDefault="00B00D7E" w:rsidP="00B00D7E">
      <w:pPr>
        <w:pStyle w:val="aff0"/>
        <w:numPr>
          <w:ilvl w:val="0"/>
          <w:numId w:val="41"/>
        </w:numPr>
        <w:rPr>
          <w:rFonts w:eastAsia="DengXian"/>
          <w:snapToGrid w:val="0"/>
          <w:lang w:eastAsia="zh-CN"/>
        </w:rPr>
      </w:pPr>
      <w:r w:rsidRPr="00B00D7E">
        <w:rPr>
          <w:rFonts w:eastAsia="DengXian"/>
          <w:snapToGrid w:val="0"/>
          <w:lang w:eastAsia="zh-CN"/>
        </w:rPr>
        <w:t>the OU-MSSM has best performance in all soil types except sand.</w:t>
      </w:r>
    </w:p>
    <w:p w14:paraId="4BA5A9F0" w14:textId="53055DD9" w:rsidR="00B00D7E" w:rsidRDefault="00B00D7E" w:rsidP="00B00D7E">
      <w:pPr>
        <w:rPr>
          <w:snapToGrid w:val="0"/>
          <w:lang w:eastAsia="de-DE"/>
        </w:rPr>
      </w:pPr>
      <w:r w:rsidRPr="00B00D7E">
        <w:rPr>
          <w:snapToGrid w:val="0"/>
          <w:lang w:eastAsia="de-DE"/>
        </w:rPr>
        <w:t>The resulting combined soil moisture estimate can be used as a standalone soil moisture product with available uncertainty estimates.</w:t>
      </w:r>
    </w:p>
    <w:p w14:paraId="0FEE2799" w14:textId="77777777" w:rsidR="00BA1C3F" w:rsidRPr="00B00D7E" w:rsidRDefault="00BA1C3F" w:rsidP="00B00D7E">
      <w:pPr>
        <w:rPr>
          <w:snapToGrid w:val="0"/>
          <w:lang w:eastAsia="de-DE"/>
        </w:rPr>
      </w:pPr>
    </w:p>
    <w:p w14:paraId="50057322" w14:textId="7BC5761A" w:rsidR="002C7B1E" w:rsidRDefault="00A44FE1" w:rsidP="00A44FE1">
      <w:pPr>
        <w:pStyle w:val="2"/>
      </w:pPr>
      <w:bookmarkStart w:id="204" w:name="_Toc75939880"/>
      <w:r>
        <w:t>Reference</w:t>
      </w:r>
      <w:r w:rsidR="00761616">
        <w:t>s</w:t>
      </w:r>
      <w:bookmarkEnd w:id="204"/>
    </w:p>
    <w:p w14:paraId="489FEFDC" w14:textId="77777777" w:rsidR="00D82F1D" w:rsidRDefault="00D82F1D" w:rsidP="00D82F1D">
      <w:pPr>
        <w:pStyle w:val="aff"/>
      </w:pPr>
      <w:bookmarkStart w:id="205" w:name="_Hlk75358763"/>
      <w:r>
        <w:t xml:space="preserve">Brocca, L., Hasenauer, S., Lacava, T., Melone, F., Moramarco, T., Wagner, W., Dorigo, W., Matgen, P., Martínez-Fernández, J., Llorens, P., Latron, J., Martin, C., &amp; Bittelli, M. (2011). Soil moisture estimation through ASCAT and AMSR-E sensors: An intercomparison and validation study across Europe. </w:t>
      </w:r>
      <w:r>
        <w:rPr>
          <w:i/>
          <w:iCs/>
        </w:rPr>
        <w:t>Remote Sensing of Environment</w:t>
      </w:r>
      <w:r>
        <w:t xml:space="preserve">, </w:t>
      </w:r>
      <w:r>
        <w:rPr>
          <w:i/>
          <w:iCs/>
        </w:rPr>
        <w:t>115</w:t>
      </w:r>
      <w:r>
        <w:t>(12), 3390–3408. https://doi.org/10.1016/j.rse.2011.08.003</w:t>
      </w:r>
    </w:p>
    <w:p w14:paraId="3AC19EC4" w14:textId="77777777" w:rsidR="00D82F1D" w:rsidRDefault="00D82F1D" w:rsidP="00D82F1D">
      <w:pPr>
        <w:pStyle w:val="aff"/>
      </w:pPr>
      <w:r>
        <w:t xml:space="preserve">Brocca, L., Melone, F., Moramarco, T., Wagner, W., Naeimi, V., Bartalis, Z., &amp; Hasenauer, S. (2010). Improving runoff prediction through the assimilation of the ASCAT soil moisture product. </w:t>
      </w:r>
      <w:r>
        <w:rPr>
          <w:i/>
          <w:iCs/>
        </w:rPr>
        <w:t>Hydrology and Earth System Sciences</w:t>
      </w:r>
      <w:r>
        <w:t xml:space="preserve">, </w:t>
      </w:r>
      <w:r>
        <w:rPr>
          <w:i/>
          <w:iCs/>
        </w:rPr>
        <w:t>14</w:t>
      </w:r>
      <w:r>
        <w:t>(10), 1881–1893. https://doi.org/10.5194/hess-14-1881-2010</w:t>
      </w:r>
    </w:p>
    <w:p w14:paraId="30F4A8DC" w14:textId="77777777" w:rsidR="00D82F1D" w:rsidRDefault="00D82F1D" w:rsidP="00D82F1D">
      <w:pPr>
        <w:pStyle w:val="aff"/>
      </w:pPr>
      <w:r>
        <w:t xml:space="preserve">Brocca, L., Ponziani, F., Moramarco, T., Melone, F., Berni, N., &amp; Wagner, W. (2012). Improving Landslide Forecasting Using ASCAT-Derived Soil Moisture Data: A Case Study of the Torgiovannetto Landslide in Central Italy. </w:t>
      </w:r>
      <w:r>
        <w:rPr>
          <w:i/>
          <w:iCs/>
        </w:rPr>
        <w:t>Remote Sensing</w:t>
      </w:r>
      <w:r>
        <w:t xml:space="preserve">, </w:t>
      </w:r>
      <w:r>
        <w:rPr>
          <w:i/>
          <w:iCs/>
        </w:rPr>
        <w:t>4</w:t>
      </w:r>
      <w:r>
        <w:t>(5), 1232–1244. https://doi.org/10.3390/rs4051232</w:t>
      </w:r>
    </w:p>
    <w:p w14:paraId="34FEC9BA" w14:textId="77777777" w:rsidR="00D82F1D" w:rsidRDefault="00D82F1D" w:rsidP="00D82F1D">
      <w:pPr>
        <w:pStyle w:val="aff"/>
      </w:pPr>
      <w:r>
        <w:t xml:space="preserve">Brock, F. V., Crawford, K. C., Elliott, R. L., Cuperus, G. W., Stadler, S. J., Johnson, H. L., &amp; Eilts, M. D. (1995). The Oklahoma Mesonet: A Technical Overview. </w:t>
      </w:r>
      <w:r>
        <w:rPr>
          <w:i/>
          <w:iCs/>
        </w:rPr>
        <w:t xml:space="preserve">Journal of Atmospheric </w:t>
      </w:r>
      <w:r>
        <w:rPr>
          <w:i/>
          <w:iCs/>
        </w:rPr>
        <w:lastRenderedPageBreak/>
        <w:t>and Oceanic Technology</w:t>
      </w:r>
      <w:r>
        <w:t xml:space="preserve">, </w:t>
      </w:r>
      <w:r>
        <w:rPr>
          <w:i/>
          <w:iCs/>
        </w:rPr>
        <w:t>12</w:t>
      </w:r>
      <w:r>
        <w:t>(1), 5–19. https://doi.org/10.1175/1520-0426(1995)012&lt;0005:TOMATO&gt;2.0.CO;2</w:t>
      </w:r>
    </w:p>
    <w:p w14:paraId="2D8DBB30" w14:textId="77777777" w:rsidR="00D82F1D" w:rsidRDefault="00D82F1D" w:rsidP="00D82F1D">
      <w:pPr>
        <w:pStyle w:val="aff"/>
      </w:pPr>
      <w:r>
        <w:t xml:space="preserve">Capecchi, V., &amp; Brocca, L. (2014). A simple assimilation method to ingest satellite soil moisture into a limited-area NWP model. </w:t>
      </w:r>
      <w:r>
        <w:rPr>
          <w:i/>
          <w:iCs/>
        </w:rPr>
        <w:t>Meteorologische Zeitschrift</w:t>
      </w:r>
      <w:r>
        <w:t xml:space="preserve">, </w:t>
      </w:r>
      <w:r>
        <w:rPr>
          <w:i/>
          <w:iCs/>
        </w:rPr>
        <w:t>23</w:t>
      </w:r>
      <w:r>
        <w:t>(2), 105–121. https://doi.org/10.1127/0941-2948/2014/0585</w:t>
      </w:r>
    </w:p>
    <w:p w14:paraId="3152F961" w14:textId="77777777" w:rsidR="00D82F1D" w:rsidRDefault="00D82F1D" w:rsidP="00D82F1D">
      <w:pPr>
        <w:pStyle w:val="aff"/>
      </w:pPr>
      <w:r>
        <w:t xml:space="preserve">Chan, S. (2016). Enhanced level 3 passive soil moisture product specification document. </w:t>
      </w:r>
      <w:r>
        <w:rPr>
          <w:i/>
          <w:iCs/>
        </w:rPr>
        <w:t>Jet Propulsion Lab., California Inst. Technol.: Pasadena, CA, USA</w:t>
      </w:r>
      <w:r>
        <w:t>.</w:t>
      </w:r>
    </w:p>
    <w:p w14:paraId="5735C904" w14:textId="77777777" w:rsidR="00D82F1D" w:rsidRDefault="00D82F1D" w:rsidP="00D82F1D">
      <w:pPr>
        <w:pStyle w:val="aff"/>
      </w:pPr>
      <w:r>
        <w:t xml:space="preserve">Chen, F., Crow, W. T., Bindlish, R., Colliander, A., Burgin, M. S., Asanuma, J., &amp; Aida, K. (2018). Global-scale evaluation of SMAP, SMOS and ASCAT soil moisture products using triple collocation. </w:t>
      </w:r>
      <w:r>
        <w:rPr>
          <w:i/>
          <w:iCs/>
        </w:rPr>
        <w:t>Remote Sensing of Environment</w:t>
      </w:r>
      <w:r>
        <w:t xml:space="preserve">, </w:t>
      </w:r>
      <w:r>
        <w:rPr>
          <w:i/>
          <w:iCs/>
        </w:rPr>
        <w:t>214</w:t>
      </w:r>
      <w:r>
        <w:t>, 1–13. https://doi.org/10.1016/j.rse.2018.05.008</w:t>
      </w:r>
    </w:p>
    <w:p w14:paraId="456D82EF" w14:textId="77777777" w:rsidR="00D82F1D" w:rsidRDefault="00D82F1D" w:rsidP="00D82F1D">
      <w:pPr>
        <w:pStyle w:val="aff"/>
      </w:pPr>
      <w:r>
        <w:t xml:space="preserve">Chen, F., Crow, W. T., Colliander, A., Cosh, M. H., Jackson, T. J., Bindlish, R., Reichle, R. H., Chan, S. K., Bosch, D. D., &amp; Starks, P. J. (2016). Application of triple collocation in ground-based validation of Soil Moisture Active/Passive (SMAP) level 2 data products. </w:t>
      </w:r>
      <w:r>
        <w:rPr>
          <w:i/>
          <w:iCs/>
        </w:rPr>
        <w:t>IEEE Journal of Selected Topics in Applied Earth Observations and Remote Sensing</w:t>
      </w:r>
      <w:r>
        <w:t xml:space="preserve">, </w:t>
      </w:r>
      <w:r>
        <w:rPr>
          <w:i/>
          <w:iCs/>
        </w:rPr>
        <w:t>10</w:t>
      </w:r>
      <w:r>
        <w:t>(2), 489–502.</w:t>
      </w:r>
    </w:p>
    <w:p w14:paraId="1544D48E" w14:textId="77777777" w:rsidR="00D82F1D" w:rsidRDefault="00D82F1D" w:rsidP="00D82F1D">
      <w:pPr>
        <w:pStyle w:val="aff"/>
      </w:pPr>
      <w:r>
        <w:t xml:space="preserve">Chen, F., Janjić, Z., &amp; Mitchell, K. (1997). Impact of atmospheric surface-layer parameterizations in the new land-surface scheme of the NCEP mesoscale Eta model. </w:t>
      </w:r>
      <w:r>
        <w:rPr>
          <w:i/>
          <w:iCs/>
        </w:rPr>
        <w:t>Boundary-Layer Meteorology</w:t>
      </w:r>
      <w:r>
        <w:t xml:space="preserve">, </w:t>
      </w:r>
      <w:r>
        <w:rPr>
          <w:i/>
          <w:iCs/>
        </w:rPr>
        <w:t>85</w:t>
      </w:r>
      <w:r>
        <w:t>(3), 391–421.</w:t>
      </w:r>
    </w:p>
    <w:p w14:paraId="0C9B1B3D" w14:textId="77777777" w:rsidR="00D82F1D" w:rsidRDefault="00D82F1D" w:rsidP="00D82F1D">
      <w:pPr>
        <w:pStyle w:val="aff"/>
      </w:pPr>
      <w:r>
        <w:t xml:space="preserve">Crow, W. T., Berg, A. A., Cosh, M. H., Loew, A., Mohanty, B. P., Panciera, R., Rosnay, P. de, Ryu, D., &amp; Walker, J. P. (2012). Upscaling sparse ground-based soil moisture observations for the validation of coarse-resolution satellite soil moisture products. </w:t>
      </w:r>
      <w:r>
        <w:rPr>
          <w:i/>
          <w:iCs/>
        </w:rPr>
        <w:t>Reviews of Geophysics</w:t>
      </w:r>
      <w:r>
        <w:t xml:space="preserve">, </w:t>
      </w:r>
      <w:r>
        <w:rPr>
          <w:i/>
          <w:iCs/>
        </w:rPr>
        <w:t>50</w:t>
      </w:r>
      <w:r>
        <w:t>(2). https://doi.org/10.1029/2011RG000372</w:t>
      </w:r>
    </w:p>
    <w:p w14:paraId="3570A9DC" w14:textId="77777777" w:rsidR="00D82F1D" w:rsidRDefault="00D82F1D" w:rsidP="00D82F1D">
      <w:pPr>
        <w:pStyle w:val="aff"/>
      </w:pPr>
      <w:r>
        <w:lastRenderedPageBreak/>
        <w:t xml:space="preserve">Crow, W. T., Berg, M. J. van den, Huffman, G. J., &amp; Pellarin, T. (2011). Correcting rainfall using satellite-based surface soil moisture retrievals: The Soil Moisture Analysis Rainfall Tool (SMART). </w:t>
      </w:r>
      <w:r>
        <w:rPr>
          <w:i/>
          <w:iCs/>
        </w:rPr>
        <w:t>Water Resources Research</w:t>
      </w:r>
      <w:r>
        <w:t xml:space="preserve">, </w:t>
      </w:r>
      <w:r>
        <w:rPr>
          <w:i/>
          <w:iCs/>
        </w:rPr>
        <w:t>47</w:t>
      </w:r>
      <w:r>
        <w:t>(8). https://doi.org/10.1029/2011WR010576</w:t>
      </w:r>
    </w:p>
    <w:p w14:paraId="3E312753" w14:textId="77777777" w:rsidR="00D82F1D" w:rsidRDefault="00D82F1D" w:rsidP="00D82F1D">
      <w:pPr>
        <w:pStyle w:val="aff"/>
      </w:pPr>
      <w:r>
        <w:t xml:space="preserve">Crow, W. T., Bindlish, R., &amp; Jackson, T. J. (2005). The added value of spaceborne passive microwave soil moisture retrievals for forecasting rainfall-runoff partitioning. </w:t>
      </w:r>
      <w:r>
        <w:rPr>
          <w:i/>
          <w:iCs/>
        </w:rPr>
        <w:t>Geophysical Research Letters</w:t>
      </w:r>
      <w:r>
        <w:t xml:space="preserve">, </w:t>
      </w:r>
      <w:r>
        <w:rPr>
          <w:i/>
          <w:iCs/>
        </w:rPr>
        <w:t>32</w:t>
      </w:r>
      <w:r>
        <w:t>(18). https://doi.org/10.1029/2005GL023543</w:t>
      </w:r>
    </w:p>
    <w:p w14:paraId="7EBE8326" w14:textId="77777777" w:rsidR="00D82F1D" w:rsidRDefault="00D82F1D" w:rsidP="00D82F1D">
      <w:pPr>
        <w:pStyle w:val="aff"/>
      </w:pPr>
      <w:r>
        <w:t xml:space="preserve">Crow, W. T., &amp; Loon, E. V. (2006). Impact of Incorrect Model Error Assumptions on the Sequential Assimilation of Remotely Sensed Surface Soil Moisture. </w:t>
      </w:r>
      <w:r>
        <w:rPr>
          <w:i/>
          <w:iCs/>
        </w:rPr>
        <w:t>Journal of Hydrometeorology</w:t>
      </w:r>
      <w:r>
        <w:t xml:space="preserve">, </w:t>
      </w:r>
      <w:r>
        <w:rPr>
          <w:i/>
          <w:iCs/>
        </w:rPr>
        <w:t>7</w:t>
      </w:r>
      <w:r>
        <w:t>(3), 421–432. https://doi.org/10.1175/JHM499.1</w:t>
      </w:r>
    </w:p>
    <w:p w14:paraId="6DBA4D80" w14:textId="77777777" w:rsidR="00D82F1D" w:rsidRDefault="00D82F1D" w:rsidP="00D82F1D">
      <w:pPr>
        <w:pStyle w:val="aff"/>
      </w:pPr>
      <w:r>
        <w:t xml:space="preserve">Dingman, S. L. (2015). </w:t>
      </w:r>
      <w:r>
        <w:rPr>
          <w:i/>
          <w:iCs/>
        </w:rPr>
        <w:t>Physical Hydrology: Third Edition</w:t>
      </w:r>
      <w:r>
        <w:t>. Waveland Press.</w:t>
      </w:r>
    </w:p>
    <w:p w14:paraId="1F3C1BB7" w14:textId="77777777" w:rsidR="00D82F1D" w:rsidRDefault="00D82F1D" w:rsidP="00D82F1D">
      <w:pPr>
        <w:pStyle w:val="aff"/>
      </w:pPr>
      <w:r>
        <w:t xml:space="preserve">Dorigo, W. A., Gruber, A., De Jeu, R. A. M., Wagner, W., Stacke, T., Loew, A., Albergel, C., Brocca, L., Chung, D., Parinussa, R. M., &amp; Kidd, R. (2015). Evaluation of the ESA CCI soil moisture product using ground-based observations. </w:t>
      </w:r>
      <w:r>
        <w:rPr>
          <w:i/>
          <w:iCs/>
        </w:rPr>
        <w:t>Remote Sensing of Environment</w:t>
      </w:r>
      <w:r>
        <w:t xml:space="preserve">, </w:t>
      </w:r>
      <w:r>
        <w:rPr>
          <w:i/>
          <w:iCs/>
        </w:rPr>
        <w:t>162</w:t>
      </w:r>
      <w:r>
        <w:t>, 380–395. https://doi.org/10.1016/j.rse.2014.07.023</w:t>
      </w:r>
    </w:p>
    <w:p w14:paraId="60000AD4" w14:textId="77777777" w:rsidR="00D82F1D" w:rsidRDefault="00D82F1D" w:rsidP="00D82F1D">
      <w:pPr>
        <w:pStyle w:val="aff"/>
      </w:pPr>
      <w:r>
        <w:t xml:space="preserve">Draper, C., Reichle, R., de Jeu, R., Naeimi, V., Parinussa, R., &amp; Wagner, W. (2013). Estimating root mean square errors in remotely sensed soil moisture over continental scale domains. </w:t>
      </w:r>
      <w:r>
        <w:rPr>
          <w:i/>
          <w:iCs/>
        </w:rPr>
        <w:t>Remote Sensing of Environment</w:t>
      </w:r>
      <w:r>
        <w:t xml:space="preserve">, </w:t>
      </w:r>
      <w:r>
        <w:rPr>
          <w:i/>
          <w:iCs/>
        </w:rPr>
        <w:t>137</w:t>
      </w:r>
      <w:r>
        <w:t>, 288–298.</w:t>
      </w:r>
    </w:p>
    <w:p w14:paraId="7CAC4E90" w14:textId="77777777" w:rsidR="00D82F1D" w:rsidRDefault="00D82F1D" w:rsidP="00D82F1D">
      <w:pPr>
        <w:pStyle w:val="aff"/>
      </w:pPr>
      <w:r>
        <w:t xml:space="preserve">Ek, M. B., Mitchell, K. E., Lin, Y., Rogers, E., Grunmann, P., Koren, V., Gayno, G., &amp; Tarpley, J. D. (2003). Implementation of Noah land surface model advances in the National Centers for Environmental Prediction operational mesoscale Eta model. </w:t>
      </w:r>
      <w:r>
        <w:rPr>
          <w:i/>
          <w:iCs/>
        </w:rPr>
        <w:t>Journal of Geophysical Research: Atmospheres</w:t>
      </w:r>
      <w:r>
        <w:t xml:space="preserve">, </w:t>
      </w:r>
      <w:r>
        <w:rPr>
          <w:i/>
          <w:iCs/>
        </w:rPr>
        <w:t>108</w:t>
      </w:r>
      <w:r>
        <w:t>(D22).</w:t>
      </w:r>
    </w:p>
    <w:p w14:paraId="794EEB90" w14:textId="77777777" w:rsidR="00D82F1D" w:rsidRDefault="00D82F1D" w:rsidP="00D82F1D">
      <w:pPr>
        <w:pStyle w:val="aff"/>
      </w:pPr>
      <w:r>
        <w:lastRenderedPageBreak/>
        <w:t xml:space="preserve">Entekhabi, D., Njoku, E. G., O’Neill, P. E., Kellogg, K. H., Crow, W. T., Edelstein, W. N., Entin, J. K., Goodman, S. D., Jackson, T. J., &amp; Johnson, J. (2010). The soil moisture active passive (SMAP) mission. </w:t>
      </w:r>
      <w:r>
        <w:rPr>
          <w:i/>
          <w:iCs/>
        </w:rPr>
        <w:t>Proceedings of the IEEE</w:t>
      </w:r>
      <w:r>
        <w:t xml:space="preserve">, </w:t>
      </w:r>
      <w:r>
        <w:rPr>
          <w:i/>
          <w:iCs/>
        </w:rPr>
        <w:t>98</w:t>
      </w:r>
      <w:r>
        <w:t>(5), 704–716.</w:t>
      </w:r>
    </w:p>
    <w:p w14:paraId="63AFD9E3" w14:textId="77777777" w:rsidR="00D82F1D" w:rsidRDefault="00D82F1D" w:rsidP="00D82F1D">
      <w:pPr>
        <w:pStyle w:val="aff"/>
      </w:pPr>
      <w:r>
        <w:t xml:space="preserve">Entekhabi, D., Yueh, S., &amp; De Lannoy, G. (2014). </w:t>
      </w:r>
      <w:r>
        <w:rPr>
          <w:i/>
          <w:iCs/>
        </w:rPr>
        <w:t>SMAP handbook</w:t>
      </w:r>
      <w:r>
        <w:t>.</w:t>
      </w:r>
    </w:p>
    <w:p w14:paraId="6C46CCED" w14:textId="77777777" w:rsidR="00D82F1D" w:rsidRDefault="00D82F1D" w:rsidP="00D82F1D">
      <w:pPr>
        <w:pStyle w:val="aff"/>
      </w:pPr>
      <w:r>
        <w:t xml:space="preserve">Famiglietti, J. S., Ryu, D., Berg, A. A., Rodell, M., &amp; Jackson, T. J. (2008). Field observations of soil moisture variability across scales. </w:t>
      </w:r>
      <w:r>
        <w:rPr>
          <w:i/>
          <w:iCs/>
        </w:rPr>
        <w:t>Water Resources Research</w:t>
      </w:r>
      <w:r>
        <w:t xml:space="preserve">, </w:t>
      </w:r>
      <w:r>
        <w:rPr>
          <w:i/>
          <w:iCs/>
        </w:rPr>
        <w:t>44</w:t>
      </w:r>
      <w:r>
        <w:t>(1). https://doi.org/10.1029/2006WR005804</w:t>
      </w:r>
    </w:p>
    <w:p w14:paraId="73309CC7" w14:textId="77777777" w:rsidR="00D82F1D" w:rsidRDefault="00D82F1D" w:rsidP="00D82F1D">
      <w:pPr>
        <w:pStyle w:val="aff"/>
      </w:pPr>
      <w:r>
        <w:t xml:space="preserve">Fan, X., Liu, Y., Gan, G., &amp; Wu, G. (2020). SMAP underestimates soil moisture in vegetation-disturbed areas primarily as a result of biased surface temperature data. </w:t>
      </w:r>
      <w:r>
        <w:rPr>
          <w:i/>
          <w:iCs/>
        </w:rPr>
        <w:t>Remote Sensing of Environment</w:t>
      </w:r>
      <w:r>
        <w:t xml:space="preserve">, </w:t>
      </w:r>
      <w:r>
        <w:rPr>
          <w:i/>
          <w:iCs/>
        </w:rPr>
        <w:t>247</w:t>
      </w:r>
      <w:r>
        <w:t>, 111914. https://doi.org/10.1016/j.rse.2020.111914</w:t>
      </w:r>
    </w:p>
    <w:p w14:paraId="2AFB61B9" w14:textId="77777777" w:rsidR="00D82F1D" w:rsidRDefault="00D82F1D" w:rsidP="00D82F1D">
      <w:pPr>
        <w:pStyle w:val="aff"/>
      </w:pPr>
      <w:r>
        <w:rPr>
          <w:i/>
          <w:iCs/>
        </w:rPr>
        <w:t>GES DISC Dataset: NLDAS Noah Land Surface Model L4 Monthly Climatology 0.125 x 0.125 degree V002 (NLDAS_NOAH0125_MC 002)</w:t>
      </w:r>
      <w:r>
        <w:t>. (n.d.). https://disc.gsfc.nasa.gov/datasets/NLDAS_NOAH0125_MC_002/summary</w:t>
      </w:r>
    </w:p>
    <w:p w14:paraId="08E0D18C" w14:textId="77777777" w:rsidR="00D82F1D" w:rsidRDefault="00D82F1D" w:rsidP="00D82F1D">
      <w:pPr>
        <w:pStyle w:val="aff"/>
      </w:pPr>
      <w:r>
        <w:t xml:space="preserve">Gruber, A., Scanlon, T., van der Schalie, R., Wagner, W., &amp; Dorigo, W. (2019). Evolution of the ESA CCI Soil Moisture climate data records and their underlying merging methodology. </w:t>
      </w:r>
      <w:r>
        <w:rPr>
          <w:i/>
          <w:iCs/>
        </w:rPr>
        <w:t>Earth System Science Data</w:t>
      </w:r>
      <w:r>
        <w:t xml:space="preserve">, </w:t>
      </w:r>
      <w:r>
        <w:rPr>
          <w:i/>
          <w:iCs/>
        </w:rPr>
        <w:t>11</w:t>
      </w:r>
      <w:r>
        <w:t>(2), 717–739. https://doi.org/10.5194/essd-11-717-2019</w:t>
      </w:r>
    </w:p>
    <w:p w14:paraId="33D3AB72" w14:textId="77777777" w:rsidR="00D82F1D" w:rsidRDefault="00D82F1D" w:rsidP="00D82F1D">
      <w:pPr>
        <w:pStyle w:val="aff"/>
      </w:pPr>
      <w:r>
        <w:t xml:space="preserve">Gruber, A., Su, C.-H., Zwieback, S., Crow, W., Dorigo, W., &amp; Wagner, W. (2016). Recent advances in (soil moisture) triple collocation analysis. </w:t>
      </w:r>
      <w:r>
        <w:rPr>
          <w:i/>
          <w:iCs/>
        </w:rPr>
        <w:t>International Journal of Applied Earth Observation and Geoinformation</w:t>
      </w:r>
      <w:r>
        <w:t xml:space="preserve">, </w:t>
      </w:r>
      <w:r>
        <w:rPr>
          <w:i/>
          <w:iCs/>
        </w:rPr>
        <w:t>45</w:t>
      </w:r>
      <w:r>
        <w:t>, 200–211.</w:t>
      </w:r>
    </w:p>
    <w:p w14:paraId="5A65081C" w14:textId="77777777" w:rsidR="00D82F1D" w:rsidRDefault="00D82F1D" w:rsidP="00D82F1D">
      <w:pPr>
        <w:pStyle w:val="aff"/>
      </w:pPr>
      <w:r>
        <w:t xml:space="preserve">Gu, Y., Hunt, E., Wardlow, B., Basara, J. B., Brown, J. F., &amp; Verdin, J. P. (2008). Evaluation of MODIS NDVI and NDWI for vegetation drought monitoring using Oklahoma Mesonet soil moisture data. </w:t>
      </w:r>
      <w:r>
        <w:rPr>
          <w:i/>
          <w:iCs/>
        </w:rPr>
        <w:t>Geophysical Research Letters</w:t>
      </w:r>
      <w:r>
        <w:t xml:space="preserve">, </w:t>
      </w:r>
      <w:r>
        <w:rPr>
          <w:i/>
          <w:iCs/>
        </w:rPr>
        <w:t>35</w:t>
      </w:r>
      <w:r>
        <w:t>(22). https://doi.org/10.1029/2008GL035772</w:t>
      </w:r>
    </w:p>
    <w:p w14:paraId="70F4EFE3" w14:textId="77777777" w:rsidR="00D82F1D" w:rsidRDefault="00D82F1D" w:rsidP="00D82F1D">
      <w:pPr>
        <w:pStyle w:val="aff"/>
      </w:pPr>
      <w:r>
        <w:lastRenderedPageBreak/>
        <w:t xml:space="preserve">Guttman, N. B., &amp; Quayle, R. G. (1996). A Historical Perspective of U.S. Climate Divisions. </w:t>
      </w:r>
      <w:r>
        <w:rPr>
          <w:i/>
          <w:iCs/>
        </w:rPr>
        <w:t>Bulletin of the American Meteorological Society</w:t>
      </w:r>
      <w:r>
        <w:t xml:space="preserve">, </w:t>
      </w:r>
      <w:r>
        <w:rPr>
          <w:i/>
          <w:iCs/>
        </w:rPr>
        <w:t>77</w:t>
      </w:r>
      <w:r>
        <w:t>(2), 293–304. https://doi.org/10.1175/1520-0477(1996)077&lt;0293:AHPOUC&gt;2.0.CO;2</w:t>
      </w:r>
    </w:p>
    <w:p w14:paraId="7FA3CFDF" w14:textId="77777777" w:rsidR="00D82F1D" w:rsidRDefault="00D82F1D" w:rsidP="00D82F1D">
      <w:pPr>
        <w:pStyle w:val="aff"/>
      </w:pPr>
      <w:r>
        <w:t xml:space="preserve">Hansen, M. C., Defries, R. S., Townshend, J. R. G., &amp; Sohlberg, R. (2000). Global land cover classification at 1 km spatial resolution using a classification tree approach. </w:t>
      </w:r>
      <w:r>
        <w:rPr>
          <w:i/>
          <w:iCs/>
        </w:rPr>
        <w:t>International Journal of Remote Sensing</w:t>
      </w:r>
      <w:r>
        <w:t xml:space="preserve">, </w:t>
      </w:r>
      <w:r>
        <w:rPr>
          <w:i/>
          <w:iCs/>
        </w:rPr>
        <w:t>21</w:t>
      </w:r>
      <w:r>
        <w:t>(6–7), 1331–1364. https://doi.org/10.1080/014311600210209</w:t>
      </w:r>
    </w:p>
    <w:p w14:paraId="4A6A9A51" w14:textId="77777777" w:rsidR="00D82F1D" w:rsidRDefault="00D82F1D" w:rsidP="00D82F1D">
      <w:pPr>
        <w:pStyle w:val="aff"/>
      </w:pPr>
      <w:r>
        <w:t xml:space="preserve">Illston, B. G., Basara, J. B., &amp; Crawford, K. C. (2004). Seasonal to interannual variations of soil moisture measured in Oklahoma. </w:t>
      </w:r>
      <w:r>
        <w:rPr>
          <w:i/>
          <w:iCs/>
        </w:rPr>
        <w:t>International Journal of Climatology: A Journal of the Royal Meteorological Society</w:t>
      </w:r>
      <w:r>
        <w:t xml:space="preserve">, </w:t>
      </w:r>
      <w:r>
        <w:rPr>
          <w:i/>
          <w:iCs/>
        </w:rPr>
        <w:t>24</w:t>
      </w:r>
      <w:r>
        <w:t>(15), 1883–1896.</w:t>
      </w:r>
    </w:p>
    <w:p w14:paraId="76AEFC73" w14:textId="77777777" w:rsidR="00D82F1D" w:rsidRDefault="00D82F1D" w:rsidP="00D82F1D">
      <w:pPr>
        <w:pStyle w:val="aff"/>
      </w:pPr>
      <w:r>
        <w:t xml:space="preserve">Illston, B. G., Basara, J. B., Fiebrich, C. A., Crawford, K. C., Hunt, E., Fisher, D. K., Elliott, R., &amp; Humes, K. (2008). Mesoscale Monitoring of Soil Moisture across a Statewide Network. </w:t>
      </w:r>
      <w:r>
        <w:rPr>
          <w:i/>
          <w:iCs/>
        </w:rPr>
        <w:t>Journal of Atmospheric and Oceanic Technology</w:t>
      </w:r>
      <w:r>
        <w:t xml:space="preserve">, </w:t>
      </w:r>
      <w:r>
        <w:rPr>
          <w:i/>
          <w:iCs/>
        </w:rPr>
        <w:t>25</w:t>
      </w:r>
      <w:r>
        <w:t>(2), 167–182. https://doi.org/10.1175/2007JTECHA993.1</w:t>
      </w:r>
    </w:p>
    <w:p w14:paraId="3217BE9D" w14:textId="77777777" w:rsidR="00D82F1D" w:rsidRDefault="00D82F1D" w:rsidP="00D82F1D">
      <w:pPr>
        <w:pStyle w:val="aff"/>
      </w:pPr>
      <w:r>
        <w:t xml:space="preserve">Imaoka, K., Kachi, M., Kasahara, M., Ito, N., Nakagawa, K., &amp; Oki, T. (2010). Instrument performance and calibration of AMSR-E and AMSR2. </w:t>
      </w:r>
      <w:r>
        <w:rPr>
          <w:i/>
          <w:iCs/>
        </w:rPr>
        <w:t>International Archives of the Photogrammetry, Remote Sensing and Spatial Information Science</w:t>
      </w:r>
      <w:r>
        <w:t xml:space="preserve">, </w:t>
      </w:r>
      <w:r>
        <w:rPr>
          <w:i/>
          <w:iCs/>
        </w:rPr>
        <w:t>38</w:t>
      </w:r>
      <w:r>
        <w:t>(8), 13–18.</w:t>
      </w:r>
    </w:p>
    <w:p w14:paraId="53F86A2C" w14:textId="77777777" w:rsidR="00D82F1D" w:rsidRDefault="00D82F1D" w:rsidP="00D82F1D">
      <w:pPr>
        <w:pStyle w:val="aff"/>
      </w:pPr>
      <w:r>
        <w:t xml:space="preserve">Jackson, T. J., Bindlish, R., Cosh, M. H., Zhao, T., Starks, P. J., Bosch, D. D., Seyfried, M., Moran, M. S., Goodrich, D. C., Kerr, Y. H., &amp; Leroux, D. (2012). Validation of Soil Moisture and Ocean Salinity (SMOS) Soil Moisture Over Watershed Networks in the U.S. </w:t>
      </w:r>
      <w:r>
        <w:rPr>
          <w:i/>
          <w:iCs/>
        </w:rPr>
        <w:t>IEEE Transactions on Geoscience and Remote Sensing</w:t>
      </w:r>
      <w:r>
        <w:t xml:space="preserve">, </w:t>
      </w:r>
      <w:r>
        <w:rPr>
          <w:i/>
          <w:iCs/>
        </w:rPr>
        <w:t>50</w:t>
      </w:r>
      <w:r>
        <w:t>(5), 1530–1543. https://doi.org/10.1109/TGRS.2011.2168533</w:t>
      </w:r>
    </w:p>
    <w:p w14:paraId="7C0DEB5A" w14:textId="77777777" w:rsidR="00D82F1D" w:rsidRDefault="00D82F1D" w:rsidP="00D82F1D">
      <w:pPr>
        <w:pStyle w:val="aff"/>
      </w:pPr>
      <w:r>
        <w:lastRenderedPageBreak/>
        <w:t xml:space="preserve">JACKSON, T. J., SCHMUGGE, J., &amp; ENGMAN, E. T. (1996). Remote sensing applications to hydrology: Soil moisture. </w:t>
      </w:r>
      <w:r>
        <w:rPr>
          <w:i/>
          <w:iCs/>
        </w:rPr>
        <w:t>Hydrological Sciences Journal</w:t>
      </w:r>
      <w:r>
        <w:t xml:space="preserve">, </w:t>
      </w:r>
      <w:r>
        <w:rPr>
          <w:i/>
          <w:iCs/>
        </w:rPr>
        <w:t>41</w:t>
      </w:r>
      <w:r>
        <w:t>(4), 517–530. https://doi.org/10.1080/02626669609491523</w:t>
      </w:r>
    </w:p>
    <w:p w14:paraId="3D0AE5F0" w14:textId="77777777" w:rsidR="00D82F1D" w:rsidRDefault="00D82F1D" w:rsidP="00D82F1D">
      <w:pPr>
        <w:pStyle w:val="aff"/>
      </w:pPr>
      <w:r>
        <w:t xml:space="preserve">Kang, J., Jin, R., Li, X., &amp; Zhang, Y. (2021). Mapping High Spatiotemporal-Resolution Soil Moisture by Upscaling Sparse Ground-Based Observations Using a Bayesian Linear Regression Method for Comparison with Microwave Remotely Sensed Soil Moisture Products. </w:t>
      </w:r>
      <w:r>
        <w:rPr>
          <w:i/>
          <w:iCs/>
        </w:rPr>
        <w:t>Remote Sensing</w:t>
      </w:r>
      <w:r>
        <w:t xml:space="preserve">, </w:t>
      </w:r>
      <w:r>
        <w:rPr>
          <w:i/>
          <w:iCs/>
        </w:rPr>
        <w:t>13</w:t>
      </w:r>
      <w:r>
        <w:t>(2), 228. https://doi.org/10.3390/rs13020228</w:t>
      </w:r>
    </w:p>
    <w:p w14:paraId="662406F8" w14:textId="77777777" w:rsidR="00D82F1D" w:rsidRDefault="00D82F1D" w:rsidP="00D82F1D">
      <w:pPr>
        <w:pStyle w:val="aff"/>
      </w:pPr>
      <w:r>
        <w:t xml:space="preserve">Kerr, Y. H., Waldteufel, P., Wigneron, J.-P., Martinuzzi, J., Font, J., &amp; Berger, M. (2001). Soil moisture retrieval from space: The Soil Moisture and Ocean Salinity (SMOS) mission. </w:t>
      </w:r>
      <w:r>
        <w:rPr>
          <w:i/>
          <w:iCs/>
        </w:rPr>
        <w:t>IEEE Transactions on Geoscience and Remote Sensing</w:t>
      </w:r>
      <w:r>
        <w:t xml:space="preserve">, </w:t>
      </w:r>
      <w:r>
        <w:rPr>
          <w:i/>
          <w:iCs/>
        </w:rPr>
        <w:t>39</w:t>
      </w:r>
      <w:r>
        <w:t>(8), 1729–1735.</w:t>
      </w:r>
    </w:p>
    <w:p w14:paraId="0F2C4FAF" w14:textId="77777777" w:rsidR="00D82F1D" w:rsidRDefault="00D82F1D" w:rsidP="00D82F1D">
      <w:pPr>
        <w:pStyle w:val="aff"/>
      </w:pPr>
      <w:r>
        <w:t xml:space="preserve">Lakhankar, T., Jones, A. S., Combs, C. L., Sengupta, M., Vonder Haar, T. H., &amp; Khanbilvardi, R. (2010). Analysis of large scale spatial variability of soil moisture using a geostatistical method. </w:t>
      </w:r>
      <w:r>
        <w:rPr>
          <w:i/>
          <w:iCs/>
        </w:rPr>
        <w:t>Sensors</w:t>
      </w:r>
      <w:r>
        <w:t xml:space="preserve">, </w:t>
      </w:r>
      <w:r>
        <w:rPr>
          <w:i/>
          <w:iCs/>
        </w:rPr>
        <w:t>10</w:t>
      </w:r>
      <w:r>
        <w:t>(1), 913–932.</w:t>
      </w:r>
    </w:p>
    <w:p w14:paraId="31F99C28" w14:textId="77777777" w:rsidR="00D82F1D" w:rsidRDefault="00D82F1D" w:rsidP="00D82F1D">
      <w:pPr>
        <w:pStyle w:val="aff"/>
      </w:pPr>
      <w:r>
        <w:t xml:space="preserve">Li, C., Tang, G., &amp; Hong, Y. (2018). Cross-evaluation of ground-based, multi-satellite and reanalysis precipitation products: Applicability of the Triple Collocation method across Mainland China. </w:t>
      </w:r>
      <w:r>
        <w:rPr>
          <w:i/>
          <w:iCs/>
        </w:rPr>
        <w:t>Journal of Hydrology</w:t>
      </w:r>
      <w:r>
        <w:t xml:space="preserve">, </w:t>
      </w:r>
      <w:r>
        <w:rPr>
          <w:i/>
          <w:iCs/>
        </w:rPr>
        <w:t>562</w:t>
      </w:r>
      <w:r>
        <w:t>, 71–83.</w:t>
      </w:r>
    </w:p>
    <w:p w14:paraId="4FE86B1E" w14:textId="77777777" w:rsidR="00D82F1D" w:rsidRDefault="00D82F1D" w:rsidP="00D82F1D">
      <w:pPr>
        <w:pStyle w:val="aff"/>
      </w:pPr>
      <w:r>
        <w:t xml:space="preserve">Loew, A., &amp; Schlenz, F. (2011). A dynamic approach for evaluating coarse scale satellite soil moisture products. </w:t>
      </w:r>
      <w:r>
        <w:rPr>
          <w:i/>
          <w:iCs/>
        </w:rPr>
        <w:t>Hydrology and Earth System Sciences</w:t>
      </w:r>
      <w:r>
        <w:t xml:space="preserve">, </w:t>
      </w:r>
      <w:r>
        <w:rPr>
          <w:i/>
          <w:iCs/>
        </w:rPr>
        <w:t>15</w:t>
      </w:r>
      <w:r>
        <w:t>(1), 75–90.</w:t>
      </w:r>
    </w:p>
    <w:p w14:paraId="22624DC5" w14:textId="77777777" w:rsidR="00D82F1D" w:rsidRDefault="00D82F1D" w:rsidP="00D82F1D">
      <w:pPr>
        <w:pStyle w:val="aff"/>
      </w:pPr>
      <w:r>
        <w:t xml:space="preserve">McColl, K. A., Vogelzang, J., Konings, A. G., Entekhabi, D., Piles, M., &amp; Stoffelen, A. (2014). Extended triple collocation: Estimating errors and correlation coefficients with respect to an unknown target. </w:t>
      </w:r>
      <w:r>
        <w:rPr>
          <w:i/>
          <w:iCs/>
        </w:rPr>
        <w:t>Geophysical Research Letters</w:t>
      </w:r>
      <w:r>
        <w:t xml:space="preserve">, </w:t>
      </w:r>
      <w:r>
        <w:rPr>
          <w:i/>
          <w:iCs/>
        </w:rPr>
        <w:t>41</w:t>
      </w:r>
      <w:r>
        <w:t>(17), 6229–6236.</w:t>
      </w:r>
    </w:p>
    <w:p w14:paraId="304E3950" w14:textId="77777777" w:rsidR="00D82F1D" w:rsidRDefault="00D82F1D" w:rsidP="00D82F1D">
      <w:pPr>
        <w:pStyle w:val="aff"/>
      </w:pPr>
      <w:r>
        <w:t xml:space="preserve">McPherson, R. A., Fiebrich, C. A., Crawford, K. C., Kilby, J. R., Grimsley, D. L., Martinez, J. E., Basara, J. B., Illston, B. G., Morris, D. A., Kloesel, K. A., Melvin, A. D., Shrivastava, H., </w:t>
      </w:r>
      <w:r>
        <w:lastRenderedPageBreak/>
        <w:t xml:space="preserve">Wolfinbarger, J. M., Bostic, J. P., Demko, D. B., Elliott, R. L., Stadler, S. J., Carlson, J. D., &amp; Sutherland, A. J. (2007). Statewide Monitoring of the Mesoscale Environment: A Technical Update on the Oklahoma Mesonet. </w:t>
      </w:r>
      <w:r>
        <w:rPr>
          <w:i/>
          <w:iCs/>
        </w:rPr>
        <w:t>Journal of Atmospheric and Oceanic Technology</w:t>
      </w:r>
      <w:r>
        <w:t xml:space="preserve">, </w:t>
      </w:r>
      <w:r>
        <w:rPr>
          <w:i/>
          <w:iCs/>
        </w:rPr>
        <w:t>24</w:t>
      </w:r>
      <w:r>
        <w:t>(3), 301–321. https://doi.org/10.1175/JTECH1976.1</w:t>
      </w:r>
    </w:p>
    <w:p w14:paraId="43F97520" w14:textId="77777777" w:rsidR="00D82F1D" w:rsidRDefault="00D82F1D" w:rsidP="00D82F1D">
      <w:pPr>
        <w:pStyle w:val="aff"/>
      </w:pPr>
      <w:r>
        <w:t xml:space="preserve">Miller, D. A., &amp; White, R. A. (1998). A conterminous United States multi-layer soil characteristics data set for regional climate and hydrology modeling, Earth Interactions, 2. Web-based publication. </w:t>
      </w:r>
      <w:r>
        <w:rPr>
          <w:i/>
          <w:iCs/>
        </w:rPr>
        <w:t>Res</w:t>
      </w:r>
      <w:r>
        <w:t>, 711–724.</w:t>
      </w:r>
    </w:p>
    <w:p w14:paraId="540F15E7" w14:textId="77777777" w:rsidR="00D82F1D" w:rsidRDefault="00D82F1D" w:rsidP="00D82F1D">
      <w:pPr>
        <w:pStyle w:val="aff"/>
      </w:pPr>
      <w:r>
        <w:t xml:space="preserve">Mitchell, K. E., Lohmann, D., Houser, P. R., Wood, E. F., Schaake, J. C., Robock, A., Cosgrove, B. A., Sheffield, J., Duan, Q., Luo, L., Higgins, R. W., Pinker, R. T., Tarpley, J. D., Lettenmaier, D. P., Marshall, C. H., Entin, J. K., Pan, M., Shi, W., Koren, V., … Bailey, A. A. (2004). The multi-institution North American Land Data Assimilation System (NLDAS): Utilizing multiple GCIP products and partners in a continental distributed hydrological modeling system. </w:t>
      </w:r>
      <w:r>
        <w:rPr>
          <w:i/>
          <w:iCs/>
        </w:rPr>
        <w:t>Journal of Geophysical Research: Atmospheres</w:t>
      </w:r>
      <w:r>
        <w:t xml:space="preserve">, </w:t>
      </w:r>
      <w:r>
        <w:rPr>
          <w:i/>
          <w:iCs/>
        </w:rPr>
        <w:t>109</w:t>
      </w:r>
      <w:r>
        <w:t>(D7). https://doi.org/10.1029/2003JD003823</w:t>
      </w:r>
    </w:p>
    <w:p w14:paraId="61C8317B" w14:textId="77777777" w:rsidR="00D82F1D" w:rsidRDefault="00D82F1D" w:rsidP="00D82F1D">
      <w:pPr>
        <w:pStyle w:val="aff"/>
      </w:pPr>
      <w:r>
        <w:t xml:space="preserve">Mohanty, B. P., Cosh, M. H., Lakshmi, V., &amp; Montzka, C. (2017). Soil Moisture Remote Sensing: State-of-the-Science. </w:t>
      </w:r>
      <w:r>
        <w:rPr>
          <w:i/>
          <w:iCs/>
        </w:rPr>
        <w:t>Vadose Zone Journal</w:t>
      </w:r>
      <w:r>
        <w:t xml:space="preserve">, </w:t>
      </w:r>
      <w:r>
        <w:rPr>
          <w:i/>
          <w:iCs/>
        </w:rPr>
        <w:t>16</w:t>
      </w:r>
      <w:r>
        <w:t>(1), vzj2016.10.0105. https://doi.org/10.2136/vzj2016.10.0105</w:t>
      </w:r>
    </w:p>
    <w:p w14:paraId="581F3178" w14:textId="77777777" w:rsidR="00D82F1D" w:rsidRDefault="00D82F1D" w:rsidP="00D82F1D">
      <w:pPr>
        <w:pStyle w:val="aff"/>
      </w:pPr>
      <w:r>
        <w:t xml:space="preserve">Mohd Kassim, M. R., Mat, I., &amp; Harun, A. N. (2014). Wireless Sensor Network in precision agriculture application. </w:t>
      </w:r>
      <w:r>
        <w:rPr>
          <w:i/>
          <w:iCs/>
        </w:rPr>
        <w:t>2014 International Conference on Computer, Information and Telecommunication Systems (CITS)</w:t>
      </w:r>
      <w:r>
        <w:t>, 1–5. https://doi.org/10.1109/CITS.2014.6878963</w:t>
      </w:r>
    </w:p>
    <w:p w14:paraId="3FB9B71D" w14:textId="77777777" w:rsidR="00D82F1D" w:rsidRDefault="00D82F1D" w:rsidP="00D82F1D">
      <w:pPr>
        <w:pStyle w:val="aff"/>
      </w:pPr>
      <w:r>
        <w:t xml:space="preserve">Ochsner, T. E., Linde, E., Haffner, M., &amp; Dong, J. (2019). Mesoscale Soil Moisture Patterns Revealed Using a Sparse In Situ Network and Regression Kriging. </w:t>
      </w:r>
      <w:r>
        <w:rPr>
          <w:i/>
          <w:iCs/>
        </w:rPr>
        <w:t>Water Resources Research</w:t>
      </w:r>
      <w:r>
        <w:t xml:space="preserve">, </w:t>
      </w:r>
      <w:r>
        <w:rPr>
          <w:i/>
          <w:iCs/>
        </w:rPr>
        <w:t>55</w:t>
      </w:r>
      <w:r>
        <w:t>(6), 4785–4800. https://doi.org/10.1029/2018WR024535</w:t>
      </w:r>
    </w:p>
    <w:p w14:paraId="52B2AA4D" w14:textId="77777777" w:rsidR="00D82F1D" w:rsidRDefault="00D82F1D" w:rsidP="00D82F1D">
      <w:pPr>
        <w:pStyle w:val="aff"/>
      </w:pPr>
      <w:r>
        <w:lastRenderedPageBreak/>
        <w:t xml:space="preserve">ONeill,  Peggy E., Chan,  Steven, Njoku,  Eni G., Jackson,  Tom, &amp; Bindlish,  Rajat. (2019). </w:t>
      </w:r>
      <w:r>
        <w:rPr>
          <w:i/>
          <w:iCs/>
        </w:rPr>
        <w:t>SMAP Enhanced L3 Radiometer Global Daily 9 km EASE-Grid Soil Moisture, Version 3</w:t>
      </w:r>
      <w:r>
        <w:t xml:space="preserve"> [Data set]. NASA National Snow and Ice Data Center DAAC. https://doi.org/10.5067/T90W6VRLCBHI</w:t>
      </w:r>
    </w:p>
    <w:p w14:paraId="2B3C32DA" w14:textId="77777777" w:rsidR="00D82F1D" w:rsidRDefault="00D82F1D" w:rsidP="00D82F1D">
      <w:pPr>
        <w:pStyle w:val="aff"/>
      </w:pPr>
      <w:r>
        <w:t xml:space="preserve">Parinussa, R. M., Meesters, A. G., Liu, Y. Y., Dorigo, W., Wagner, W., &amp; de Jeu, R. A. (2011). Error estimates for near-real-time satellite soil moisture as derived from the land parameter retrieval model. </w:t>
      </w:r>
      <w:r>
        <w:rPr>
          <w:i/>
          <w:iCs/>
        </w:rPr>
        <w:t>IEEE Geoscience and Remote Sensing Letters</w:t>
      </w:r>
      <w:r>
        <w:t xml:space="preserve">, </w:t>
      </w:r>
      <w:r>
        <w:rPr>
          <w:i/>
          <w:iCs/>
        </w:rPr>
        <w:t>8</w:t>
      </w:r>
      <w:r>
        <w:t>(4), 779–783.</w:t>
      </w:r>
    </w:p>
    <w:p w14:paraId="3F7797BB" w14:textId="77777777" w:rsidR="00D82F1D" w:rsidRDefault="00D82F1D" w:rsidP="00D82F1D">
      <w:pPr>
        <w:pStyle w:val="aff"/>
      </w:pPr>
      <w:r>
        <w:t xml:space="preserve">Peng, J., Loew, A., Merlin, O., &amp; Verhoest, N. E. C. (2017). A review of spatial downscaling of satellite remotely sensed soil moisture. </w:t>
      </w:r>
      <w:r>
        <w:rPr>
          <w:i/>
          <w:iCs/>
        </w:rPr>
        <w:t>Reviews of Geophysics</w:t>
      </w:r>
      <w:r>
        <w:t xml:space="preserve">, </w:t>
      </w:r>
      <w:r>
        <w:rPr>
          <w:i/>
          <w:iCs/>
        </w:rPr>
        <w:t>55</w:t>
      </w:r>
      <w:r>
        <w:t>(2), 341–366. https://doi.org/10.1002/2016RG000543</w:t>
      </w:r>
    </w:p>
    <w:p w14:paraId="6A04C629" w14:textId="77777777" w:rsidR="00D82F1D" w:rsidRDefault="00D82F1D" w:rsidP="00D82F1D">
      <w:pPr>
        <w:pStyle w:val="aff"/>
      </w:pPr>
      <w:r>
        <w:t xml:space="preserve">Qin, J., Yang, K., Lu, N., Chen, Y., Zhao, L., &amp; Han, M. (2013). Spatial upscaling of in-situ soil moisture measurements based on MODIS-derived apparent thermal inertia. </w:t>
      </w:r>
      <w:r>
        <w:rPr>
          <w:i/>
          <w:iCs/>
        </w:rPr>
        <w:t>Remote Sensing of Environment</w:t>
      </w:r>
      <w:r>
        <w:t xml:space="preserve">, </w:t>
      </w:r>
      <w:r>
        <w:rPr>
          <w:i/>
          <w:iCs/>
        </w:rPr>
        <w:t>138</w:t>
      </w:r>
      <w:r>
        <w:t>, 1–9. https://doi.org/10.1016/j.rse.2013.07.003</w:t>
      </w:r>
    </w:p>
    <w:p w14:paraId="5432FBF1" w14:textId="77777777" w:rsidR="00D82F1D" w:rsidRDefault="00D82F1D" w:rsidP="00D82F1D">
      <w:pPr>
        <w:pStyle w:val="aff"/>
      </w:pPr>
      <w:r>
        <w:t xml:space="preserve">Ray, R. L., Jacobs, J. M., &amp; Cosh, M. H. (2010). Landslide susceptibility mapping using downscaled AMSR-E soil moisture: A case study from Cleveland Corral, California, US. </w:t>
      </w:r>
      <w:r>
        <w:rPr>
          <w:i/>
          <w:iCs/>
        </w:rPr>
        <w:t>Remote Sensing of Environment</w:t>
      </w:r>
      <w:r>
        <w:t xml:space="preserve">, </w:t>
      </w:r>
      <w:r>
        <w:rPr>
          <w:i/>
          <w:iCs/>
        </w:rPr>
        <w:t>114</w:t>
      </w:r>
      <w:r>
        <w:t>(11), 2624–2636. https://doi.org/10.1016/j.rse.2010.05.033</w:t>
      </w:r>
    </w:p>
    <w:p w14:paraId="42F83FB7" w14:textId="77777777" w:rsidR="00D82F1D" w:rsidRDefault="00D82F1D" w:rsidP="00D82F1D">
      <w:pPr>
        <w:pStyle w:val="aff"/>
      </w:pPr>
      <w:r>
        <w:t xml:space="preserve">Reichle,  Rolf, De Lannoy,  Gabrielle, Koster,  Randal, Crow,  Wade, Kimball,  John, &amp; Liu,  Qing. (2020). </w:t>
      </w:r>
      <w:r>
        <w:rPr>
          <w:i/>
          <w:iCs/>
        </w:rPr>
        <w:t>SMAP L4 Global 3-hourly 9 km EASE-Grid Surface and Root Zone Soil Moisture Geophysical Data, Version 5</w:t>
      </w:r>
      <w:r>
        <w:t xml:space="preserve"> [Data set]. NASA National Snow and Ice Data Center DAAC. https://doi.org/10.5067/9LNYIYOBNBR5</w:t>
      </w:r>
    </w:p>
    <w:p w14:paraId="48B1304A" w14:textId="77777777" w:rsidR="00D82F1D" w:rsidRDefault="00D82F1D" w:rsidP="00D82F1D">
      <w:pPr>
        <w:pStyle w:val="aff"/>
      </w:pPr>
      <w:r>
        <w:lastRenderedPageBreak/>
        <w:t xml:space="preserve">Reichle, R. H., Crow, W. T., &amp; Keppenne, C. L. (2008). An adaptive ensemble Kalman filter for soil moisture data assimilation. </w:t>
      </w:r>
      <w:r>
        <w:rPr>
          <w:i/>
          <w:iCs/>
        </w:rPr>
        <w:t>Water Resources Research</w:t>
      </w:r>
      <w:r>
        <w:t xml:space="preserve">, </w:t>
      </w:r>
      <w:r>
        <w:rPr>
          <w:i/>
          <w:iCs/>
        </w:rPr>
        <w:t>44</w:t>
      </w:r>
      <w:r>
        <w:t>(3). https://doi.org/10.1029/2007WR006357</w:t>
      </w:r>
    </w:p>
    <w:p w14:paraId="5096546F" w14:textId="77777777" w:rsidR="00D82F1D" w:rsidRDefault="00D82F1D" w:rsidP="00D82F1D">
      <w:pPr>
        <w:pStyle w:val="aff"/>
      </w:pPr>
      <w:r>
        <w:t xml:space="preserve">Reichle, R. H., Lannoy, G. J. M. D., Liu, Q., Ardizzone, J. V., Colliander, A., Conaty, A., Crow, W., Jackson, T. J., Jones, L. A., Kimball, J. S., Koster, R. D., Mahanama, S. P., Smith, E. B., Berg, A., Bircher, S., Bosch, D., Caldwell, T. G., Cosh, M., González-Zamora, Á., … Zeng, Y. (2017). Assessment of the SMAP Level-4 Surface and Root-Zone Soil Moisture Product Using In Situ Measurements. </w:t>
      </w:r>
      <w:r>
        <w:rPr>
          <w:i/>
          <w:iCs/>
        </w:rPr>
        <w:t>Journal of Hydrometeorology</w:t>
      </w:r>
      <w:r>
        <w:t xml:space="preserve">, </w:t>
      </w:r>
      <w:r>
        <w:rPr>
          <w:i/>
          <w:iCs/>
        </w:rPr>
        <w:t>18</w:t>
      </w:r>
      <w:r>
        <w:t>(10), 2621–2645. https://doi.org/10.1175/JHM-D-17-0063.1</w:t>
      </w:r>
    </w:p>
    <w:p w14:paraId="32320017" w14:textId="77777777" w:rsidR="00D82F1D" w:rsidRDefault="00D82F1D" w:rsidP="00D82F1D">
      <w:pPr>
        <w:pStyle w:val="aff"/>
      </w:pPr>
      <w:r>
        <w:t xml:space="preserve">Rodell, M., Houser, P. R., Jambor, U., Gottschalck, J., Mitchell, K., Meng, C.-J., Arsenault, K., Cosgrove, B., Radakovich, J., Bosilovich, M., Entin, J. K., Walker, J. P., Lohmann, D., &amp; Toll, D. (2004). The Global Land Data Assimilation System. </w:t>
      </w:r>
      <w:r>
        <w:rPr>
          <w:i/>
          <w:iCs/>
        </w:rPr>
        <w:t>Bulletin of the American Meteorological Society</w:t>
      </w:r>
      <w:r>
        <w:t xml:space="preserve">, </w:t>
      </w:r>
      <w:r>
        <w:rPr>
          <w:i/>
          <w:iCs/>
        </w:rPr>
        <w:t>85</w:t>
      </w:r>
      <w:r>
        <w:t>(3), 381–394. https://doi.org/10.1175/BAMS-85-3-381</w:t>
      </w:r>
    </w:p>
    <w:p w14:paraId="433A3D0F" w14:textId="77777777" w:rsidR="00D82F1D" w:rsidRDefault="00D82F1D" w:rsidP="00D82F1D">
      <w:pPr>
        <w:pStyle w:val="aff"/>
      </w:pPr>
      <w:r>
        <w:t xml:space="preserve">Scipal, K., Holmes, T., Jeu, R. de, Naeimi, V., &amp; Wagner, W. (2008). A possible solution for the problem of estimating the error structure of global soil moisture data sets. </w:t>
      </w:r>
      <w:r>
        <w:rPr>
          <w:i/>
          <w:iCs/>
        </w:rPr>
        <w:t>Geophysical Research Letters</w:t>
      </w:r>
      <w:r>
        <w:t xml:space="preserve">, </w:t>
      </w:r>
      <w:r>
        <w:rPr>
          <w:i/>
          <w:iCs/>
        </w:rPr>
        <w:t>35</w:t>
      </w:r>
      <w:r>
        <w:t>(24). https://doi.org/10.1029/2008GL035599</w:t>
      </w:r>
    </w:p>
    <w:p w14:paraId="2C4545F6" w14:textId="77777777" w:rsidR="00D82F1D" w:rsidRDefault="00D82F1D" w:rsidP="00D82F1D">
      <w:pPr>
        <w:pStyle w:val="aff"/>
      </w:pPr>
      <w:r>
        <w:t xml:space="preserve">Seneviratne, S. I., Corti, T., Davin, E. L., Hirschi, M., Jaeger, E. B., Lehner, I., Orlowsky, B., &amp; Teuling, A. J. (2010). Investigating soil moisture–climate interactions in a changing climate: A review. </w:t>
      </w:r>
      <w:r>
        <w:rPr>
          <w:i/>
          <w:iCs/>
        </w:rPr>
        <w:t>Earth-Science Reviews</w:t>
      </w:r>
      <w:r>
        <w:t xml:space="preserve">, </w:t>
      </w:r>
      <w:r>
        <w:rPr>
          <w:i/>
          <w:iCs/>
        </w:rPr>
        <w:t>99</w:t>
      </w:r>
      <w:r>
        <w:t>(3), 125–161. https://doi.org/10.1016/j.earscirev.2010.02.004</w:t>
      </w:r>
    </w:p>
    <w:p w14:paraId="7899BC37" w14:textId="77777777" w:rsidR="00D82F1D" w:rsidRDefault="00D82F1D" w:rsidP="00D82F1D">
      <w:pPr>
        <w:pStyle w:val="aff"/>
      </w:pPr>
      <w:r>
        <w:t xml:space="preserve">Stoffelen, A. (1998). Toward the true near‐surface wind speed: Error modeling and calibration using triple collocation. </w:t>
      </w:r>
      <w:r>
        <w:rPr>
          <w:i/>
          <w:iCs/>
        </w:rPr>
        <w:t>Journal of Geophysical Research: Oceans</w:t>
      </w:r>
      <w:r>
        <w:t xml:space="preserve">, </w:t>
      </w:r>
      <w:r>
        <w:rPr>
          <w:i/>
          <w:iCs/>
        </w:rPr>
        <w:t>103</w:t>
      </w:r>
      <w:r>
        <w:t>(C4), 7755–7766.</w:t>
      </w:r>
    </w:p>
    <w:p w14:paraId="3CD67F9E" w14:textId="77777777" w:rsidR="00D82F1D" w:rsidRDefault="00D82F1D" w:rsidP="00D82F1D">
      <w:pPr>
        <w:pStyle w:val="aff"/>
      </w:pPr>
      <w:r>
        <w:lastRenderedPageBreak/>
        <w:t xml:space="preserve">Tavakol, A., Rahmani, V., Quiring, S. M., &amp; Kumar, S. V. (2019). Evaluation analysis of NASA SMAP L3 and L4 and SPoRT-LIS soil moisture data in the United States. </w:t>
      </w:r>
      <w:r>
        <w:rPr>
          <w:i/>
          <w:iCs/>
        </w:rPr>
        <w:t>Remote Sensing of Environment</w:t>
      </w:r>
      <w:r>
        <w:t xml:space="preserve">, </w:t>
      </w:r>
      <w:r>
        <w:rPr>
          <w:i/>
          <w:iCs/>
        </w:rPr>
        <w:t>229</w:t>
      </w:r>
      <w:r>
        <w:t>, 234–246. https://doi.org/10.1016/j.rse.2019.05.006</w:t>
      </w:r>
    </w:p>
    <w:p w14:paraId="0BEAB122" w14:textId="77777777" w:rsidR="00D82F1D" w:rsidRDefault="00D82F1D" w:rsidP="00D82F1D">
      <w:pPr>
        <w:pStyle w:val="aff"/>
      </w:pPr>
      <w:r>
        <w:t xml:space="preserve">Vogelzang, J., &amp; Stoffelen, A. (2012). Triple collocation. </w:t>
      </w:r>
      <w:r>
        <w:rPr>
          <w:i/>
          <w:iCs/>
        </w:rPr>
        <w:t>EUTMETSAT Report</w:t>
      </w:r>
      <w:r>
        <w:t>.</w:t>
      </w:r>
    </w:p>
    <w:p w14:paraId="459A2BEF" w14:textId="77777777" w:rsidR="00D82F1D" w:rsidRDefault="00D82F1D" w:rsidP="00D82F1D">
      <w:pPr>
        <w:pStyle w:val="aff"/>
      </w:pPr>
      <w:r>
        <w:t xml:space="preserve">Wagner, W., Hahn, S., Kidd, R., Melzer, T., Bartalis, Z., Hasenauer, S., Figa-Saldana, J., de Rosnay, P., Jann, A., Schneider, S., Komma, J., Kubu, G., Brugger, K., Aubrecht, C., Züger, J., Gangkofner, U., Kienberger, S., Brocca, L., Wang, Y., … Rubel, F. (2013). The ASCAT soil moisture product: A review of its specifications, validation results, and emerging applications. </w:t>
      </w:r>
      <w:r>
        <w:rPr>
          <w:i/>
          <w:iCs/>
        </w:rPr>
        <w:t>Meteorologische Zeitschrift</w:t>
      </w:r>
      <w:r>
        <w:t>. https://doi.org/10.1127/0941-2948/2013/0399</w:t>
      </w:r>
    </w:p>
    <w:p w14:paraId="46944DB6" w14:textId="77777777" w:rsidR="00D82F1D" w:rsidRDefault="00D82F1D" w:rsidP="00D82F1D">
      <w:pPr>
        <w:pStyle w:val="aff"/>
      </w:pPr>
      <w:r>
        <w:t xml:space="preserve">Wagner, W., Lemoine, G., Borgeaud, M., &amp; Rott, H. (1999). A study of vegetation cover effects on ERS scatterometer data. </w:t>
      </w:r>
      <w:r>
        <w:rPr>
          <w:i/>
          <w:iCs/>
        </w:rPr>
        <w:t>IEEE Transactions on Geoscience and Remote Sensing</w:t>
      </w:r>
      <w:r>
        <w:t xml:space="preserve">, </w:t>
      </w:r>
      <w:r>
        <w:rPr>
          <w:i/>
          <w:iCs/>
        </w:rPr>
        <w:t>37</w:t>
      </w:r>
      <w:r>
        <w:t>(2), 938–948.</w:t>
      </w:r>
    </w:p>
    <w:p w14:paraId="42760972" w14:textId="77777777" w:rsidR="00D82F1D" w:rsidRDefault="00D82F1D" w:rsidP="00D82F1D">
      <w:pPr>
        <w:pStyle w:val="aff"/>
      </w:pPr>
      <w:r>
        <w:t xml:space="preserve">Wang, J., Ge, Y., Heuvelink, G. B. M., &amp; Zhou, C. (2015). Upscaling In Situ Soil Moisture Observations to Pixel Averages with Spatio-Temporal Geostatistics. </w:t>
      </w:r>
      <w:r>
        <w:rPr>
          <w:i/>
          <w:iCs/>
        </w:rPr>
        <w:t>Remote Sensing</w:t>
      </w:r>
      <w:r>
        <w:t xml:space="preserve">, </w:t>
      </w:r>
      <w:r>
        <w:rPr>
          <w:i/>
          <w:iCs/>
        </w:rPr>
        <w:t>7</w:t>
      </w:r>
      <w:r>
        <w:t>(9), 11372–11388. https://doi.org/10.3390/rs70911372</w:t>
      </w:r>
    </w:p>
    <w:p w14:paraId="45553B72" w14:textId="77777777" w:rsidR="00D82F1D" w:rsidRDefault="00D82F1D" w:rsidP="00D82F1D">
      <w:pPr>
        <w:pStyle w:val="aff"/>
      </w:pPr>
      <w:r>
        <w:t xml:space="preserve">Woodley, W. (2017). </w:t>
      </w:r>
      <w:r>
        <w:rPr>
          <w:i/>
          <w:iCs/>
        </w:rPr>
        <w:t>Investigating the upscaling of in situ soil moisture measurements for satellite validation</w:t>
      </w:r>
      <w:r>
        <w:t>.</w:t>
      </w:r>
    </w:p>
    <w:p w14:paraId="71D666DE" w14:textId="77777777" w:rsidR="00D82F1D" w:rsidRDefault="00D82F1D" w:rsidP="00D82F1D">
      <w:pPr>
        <w:pStyle w:val="aff"/>
      </w:pPr>
      <w:r>
        <w:t xml:space="preserve">Wu, X., Lu, G., Wu, Z., He, H., Scanlon, T., &amp; Dorigo, W. (2020). Triple Collocation-Based Assessment of Satellite Soil Moisture Products with In Situ Measurements in China: Understanding the Error Sources. </w:t>
      </w:r>
      <w:r>
        <w:rPr>
          <w:i/>
          <w:iCs/>
        </w:rPr>
        <w:t>Remote Sensing</w:t>
      </w:r>
      <w:r>
        <w:t xml:space="preserve">, </w:t>
      </w:r>
      <w:r>
        <w:rPr>
          <w:i/>
          <w:iCs/>
        </w:rPr>
        <w:t>12</w:t>
      </w:r>
      <w:r>
        <w:t>(14), 2275. https://doi.org/10.3390/rs12142275</w:t>
      </w:r>
    </w:p>
    <w:p w14:paraId="4935466A" w14:textId="77777777" w:rsidR="00D82F1D" w:rsidRDefault="00D82F1D" w:rsidP="00D82F1D">
      <w:pPr>
        <w:pStyle w:val="aff"/>
      </w:pPr>
      <w:r>
        <w:lastRenderedPageBreak/>
        <w:t xml:space="preserve">Xia, Y., Mitchell, K., Ek, M., Sheffield, J., Cosgrove, B., Wood, E., Luo, L., Alonge, C., Wei, H., &amp; Meng, J. (2012). Continental‐scale water and energy flux analysis and validation for the North American Land Data Assimilation System project phase 2 (NLDAS‐2): 1. Intercomparison and application of model products. </w:t>
      </w:r>
      <w:r>
        <w:rPr>
          <w:i/>
          <w:iCs/>
        </w:rPr>
        <w:t>Journal of Geophysical Research: Atmospheres</w:t>
      </w:r>
      <w:r>
        <w:t xml:space="preserve">, </w:t>
      </w:r>
      <w:r>
        <w:rPr>
          <w:i/>
          <w:iCs/>
        </w:rPr>
        <w:t>117</w:t>
      </w:r>
      <w:r>
        <w:t>(D3).</w:t>
      </w:r>
    </w:p>
    <w:p w14:paraId="1BDB1C6A" w14:textId="77777777" w:rsidR="00D82F1D" w:rsidRDefault="00D82F1D" w:rsidP="00D82F1D">
      <w:pPr>
        <w:pStyle w:val="aff"/>
      </w:pPr>
      <w:r>
        <w:t xml:space="preserve">Xia, Y., Sheffield, J., Ek, M. B., Dong, J., Chaney, N., Wei, H., Meng, J., &amp; Wood, E. F. (2014). Evaluation of multi-model simulated soil moisture in NLDAS-2. </w:t>
      </w:r>
      <w:r>
        <w:rPr>
          <w:i/>
          <w:iCs/>
        </w:rPr>
        <w:t>Journal of Hydrology</w:t>
      </w:r>
      <w:r>
        <w:t xml:space="preserve">, </w:t>
      </w:r>
      <w:r>
        <w:rPr>
          <w:i/>
          <w:iCs/>
        </w:rPr>
        <w:t>512</w:t>
      </w:r>
      <w:r>
        <w:t>, 107–125. https://doi.org/10.1016/j.jhydrol.2014.02.027</w:t>
      </w:r>
    </w:p>
    <w:p w14:paraId="3FDDC20F" w14:textId="77777777" w:rsidR="00D82F1D" w:rsidRDefault="00D82F1D" w:rsidP="00D82F1D">
      <w:pPr>
        <w:pStyle w:val="aff"/>
      </w:pPr>
      <w:r>
        <w:t xml:space="preserve">Xu, L., Chen, N., Zhang, X., Moradkhani, H., Zhang, C., &amp; Hu, C. (2021). In-situ and triple-collocation based evaluations of eight global root zone soil moisture products. </w:t>
      </w:r>
      <w:r>
        <w:rPr>
          <w:i/>
          <w:iCs/>
        </w:rPr>
        <w:t>Remote Sensing of Environment</w:t>
      </w:r>
      <w:r>
        <w:t xml:space="preserve">, </w:t>
      </w:r>
      <w:r>
        <w:rPr>
          <w:i/>
          <w:iCs/>
        </w:rPr>
        <w:t>254</w:t>
      </w:r>
      <w:r>
        <w:t>, 112248.</w:t>
      </w:r>
    </w:p>
    <w:p w14:paraId="396A9217" w14:textId="77777777" w:rsidR="00D82F1D" w:rsidRDefault="00D82F1D" w:rsidP="00D82F1D">
      <w:pPr>
        <w:pStyle w:val="aff"/>
      </w:pPr>
      <w:r>
        <w:t xml:space="preserve">Yilmaz, M. T., &amp; Crow, W. T. (2014). Evaluation of assumptions in soil moisture triple collocation analysis. </w:t>
      </w:r>
      <w:r>
        <w:rPr>
          <w:i/>
          <w:iCs/>
        </w:rPr>
        <w:t>Journal of Hydrometeorology</w:t>
      </w:r>
      <w:r>
        <w:t xml:space="preserve">, </w:t>
      </w:r>
      <w:r>
        <w:rPr>
          <w:i/>
          <w:iCs/>
        </w:rPr>
        <w:t>15</w:t>
      </w:r>
      <w:r>
        <w:t>(3), 1293–1302.</w:t>
      </w:r>
    </w:p>
    <w:p w14:paraId="487351A0" w14:textId="77777777" w:rsidR="00D82F1D" w:rsidRDefault="00D82F1D" w:rsidP="00D82F1D">
      <w:pPr>
        <w:pStyle w:val="aff"/>
      </w:pPr>
      <w:r>
        <w:t xml:space="preserve">Yilmaz, M. T., Crow, W. T., Anderson, M. C., &amp; Hain, C. (2012). An objective methodology for merging satellite‐and model‐based soil moisture products. </w:t>
      </w:r>
      <w:r>
        <w:rPr>
          <w:i/>
          <w:iCs/>
        </w:rPr>
        <w:t>Water Resources Research</w:t>
      </w:r>
      <w:r>
        <w:t xml:space="preserve">, </w:t>
      </w:r>
      <w:r>
        <w:rPr>
          <w:i/>
          <w:iCs/>
        </w:rPr>
        <w:t>48</w:t>
      </w:r>
      <w:r>
        <w:t>(11).</w:t>
      </w:r>
    </w:p>
    <w:p w14:paraId="0B0F35BA" w14:textId="77777777" w:rsidR="00D82F1D" w:rsidRDefault="00D82F1D" w:rsidP="00D82F1D">
      <w:pPr>
        <w:pStyle w:val="aff"/>
      </w:pPr>
      <w:r>
        <w:t xml:space="preserve">Zeng, Y., Su, Z., Van der Velde, R., Wang, L., Xu, K., Wang, X., &amp; Wen, J. (2016). Blending Satellite Observed, Model Simulated, and in Situ Measured Soil Moisture over Tibetan Plateau. </w:t>
      </w:r>
      <w:r>
        <w:rPr>
          <w:i/>
          <w:iCs/>
        </w:rPr>
        <w:t>Remote Sensing</w:t>
      </w:r>
      <w:r>
        <w:t xml:space="preserve">, </w:t>
      </w:r>
      <w:r>
        <w:rPr>
          <w:i/>
          <w:iCs/>
        </w:rPr>
        <w:t>8</w:t>
      </w:r>
      <w:r>
        <w:t>(3), 268. https://doi.org/10.3390/rs8030268</w:t>
      </w:r>
    </w:p>
    <w:p w14:paraId="618CE8CD" w14:textId="77777777" w:rsidR="00D82F1D" w:rsidRDefault="00D82F1D" w:rsidP="00D82F1D">
      <w:pPr>
        <w:pStyle w:val="aff"/>
      </w:pPr>
      <w:r>
        <w:t xml:space="preserve">Zhang, N., Quiring, S. M., &amp; Ford, T. W. (2021). Blending Noah, SMOS and In-Situ Soil Moisture Using Multiple Weighting and Sampling Schemes. </w:t>
      </w:r>
      <w:r>
        <w:rPr>
          <w:i/>
          <w:iCs/>
        </w:rPr>
        <w:t>Journal of Hydrometeorology</w:t>
      </w:r>
      <w:r>
        <w:t xml:space="preserve">, </w:t>
      </w:r>
      <w:r>
        <w:rPr>
          <w:i/>
          <w:iCs/>
        </w:rPr>
        <w:t>1</w:t>
      </w:r>
      <w:r>
        <w:t>(aop). https://doi.org/10.1175/JHM-D-20-0119.1</w:t>
      </w:r>
    </w:p>
    <w:p w14:paraId="75CBDE34" w14:textId="77777777" w:rsidR="00D82F1D" w:rsidRDefault="00D82F1D" w:rsidP="00D82F1D">
      <w:pPr>
        <w:pStyle w:val="aff"/>
      </w:pPr>
      <w:r>
        <w:lastRenderedPageBreak/>
        <w:t xml:space="preserve">Zhang, R., Kim, S., &amp; Sharma, A. (2019). A comprehensive validation of the SMAP Enhanced Level-3 Soil Moisture product using ground measurements over varied climates and landscapes. </w:t>
      </w:r>
      <w:r>
        <w:rPr>
          <w:i/>
          <w:iCs/>
        </w:rPr>
        <w:t>Remote Sensing of Environment</w:t>
      </w:r>
      <w:r>
        <w:t xml:space="preserve">, </w:t>
      </w:r>
      <w:r>
        <w:rPr>
          <w:i/>
          <w:iCs/>
        </w:rPr>
        <w:t>223</w:t>
      </w:r>
      <w:r>
        <w:t>, 82–94. https://doi.org/10.1016/j.rse.2019.01.015</w:t>
      </w:r>
    </w:p>
    <w:p w14:paraId="29187A03" w14:textId="77777777" w:rsidR="00D82F1D" w:rsidRDefault="00D82F1D" w:rsidP="00D82F1D">
      <w:pPr>
        <w:pStyle w:val="aff"/>
      </w:pPr>
      <w:r>
        <w:t xml:space="preserve">Zhang, X., Tang, Q., Liu, X., Leng, G., &amp; Li, Z. (2017). Soil Moisture Drought Monitoring and Forecasting Using Satellite and Climate Model Data over Southwestern China. </w:t>
      </w:r>
      <w:r>
        <w:rPr>
          <w:i/>
          <w:iCs/>
        </w:rPr>
        <w:t>Journal of Hydrometeorology</w:t>
      </w:r>
      <w:r>
        <w:t xml:space="preserve">, </w:t>
      </w:r>
      <w:r>
        <w:rPr>
          <w:i/>
          <w:iCs/>
        </w:rPr>
        <w:t>18</w:t>
      </w:r>
      <w:r>
        <w:t>(1), 5–23. https://doi.org/10.1175/JHM-D-16-0045.1</w:t>
      </w:r>
    </w:p>
    <w:p w14:paraId="2B0D8827" w14:textId="77777777" w:rsidR="00D82F1D" w:rsidRDefault="00D82F1D" w:rsidP="00D82F1D">
      <w:pPr>
        <w:pStyle w:val="aff"/>
      </w:pPr>
      <w:r>
        <w:t xml:space="preserve">Zhang, X., Zhang, T., Zhou, P., Shao, Y., &amp; Gao, S. (2017). Validation Analysis of SMAP and AMSR2 Soil Moisture Products over the United States Using Ground-Based Measurements. </w:t>
      </w:r>
      <w:r>
        <w:rPr>
          <w:i/>
          <w:iCs/>
        </w:rPr>
        <w:t>Remote Sensing</w:t>
      </w:r>
      <w:r>
        <w:t xml:space="preserve">, </w:t>
      </w:r>
      <w:r>
        <w:rPr>
          <w:i/>
          <w:iCs/>
        </w:rPr>
        <w:t>9</w:t>
      </w:r>
      <w:r>
        <w:t>(2), 104. https://doi.org/10.3390/rs9020104</w:t>
      </w:r>
    </w:p>
    <w:bookmarkEnd w:id="205"/>
    <w:p w14:paraId="5B4ED2CE" w14:textId="77777777" w:rsidR="00FA0AE8" w:rsidRPr="00FA0AE8" w:rsidRDefault="00FA0AE8" w:rsidP="00FA0AE8">
      <w:pPr>
        <w:ind w:left="480" w:hanging="480"/>
        <w:jc w:val="left"/>
        <w:rPr>
          <w:rFonts w:eastAsia="Times New Roman"/>
          <w:lang w:eastAsia="zh-CN" w:bidi="ar-SA"/>
        </w:rPr>
      </w:pPr>
      <w:r w:rsidRPr="00FA0AE8">
        <w:rPr>
          <w:rFonts w:eastAsia="Times New Roman"/>
          <w:lang w:eastAsia="zh-CN" w:bidi="ar-SA"/>
        </w:rPr>
        <w:t xml:space="preserve">Zwieback, S., Scipal, K., Dorigo, W., &amp; Wagner, W. (2012). Structural and statistical properties of the collocation technique for error characterization. </w:t>
      </w:r>
      <w:r w:rsidRPr="00FA0AE8">
        <w:rPr>
          <w:rFonts w:eastAsia="Times New Roman"/>
          <w:i/>
          <w:iCs/>
          <w:lang w:eastAsia="zh-CN" w:bidi="ar-SA"/>
        </w:rPr>
        <w:t>Nonlinear Processes in Geophysics</w:t>
      </w:r>
      <w:r w:rsidRPr="00FA0AE8">
        <w:rPr>
          <w:rFonts w:eastAsia="Times New Roman"/>
          <w:lang w:eastAsia="zh-CN" w:bidi="ar-SA"/>
        </w:rPr>
        <w:t xml:space="preserve">, </w:t>
      </w:r>
      <w:r w:rsidRPr="00FA0AE8">
        <w:rPr>
          <w:rFonts w:eastAsia="Times New Roman"/>
          <w:i/>
          <w:iCs/>
          <w:lang w:eastAsia="zh-CN" w:bidi="ar-SA"/>
        </w:rPr>
        <w:t>19</w:t>
      </w:r>
      <w:r w:rsidRPr="00FA0AE8">
        <w:rPr>
          <w:rFonts w:eastAsia="Times New Roman"/>
          <w:lang w:eastAsia="zh-CN" w:bidi="ar-SA"/>
        </w:rPr>
        <w:t>(1), 69–80.</w:t>
      </w:r>
    </w:p>
    <w:p w14:paraId="67986E30" w14:textId="77777777" w:rsidR="00A44FE1" w:rsidRDefault="00A44FE1" w:rsidP="00105A86"/>
    <w:p w14:paraId="288C93E4" w14:textId="34124A40" w:rsidR="00646978" w:rsidRDefault="00646978" w:rsidP="00105A86"/>
    <w:p w14:paraId="3CB74A79" w14:textId="5EB0D9E6" w:rsidR="00646978" w:rsidRDefault="00646978" w:rsidP="00105A86"/>
    <w:p w14:paraId="41A43382" w14:textId="5358CBBB" w:rsidR="00646978" w:rsidRDefault="00646978" w:rsidP="00105A86"/>
    <w:p w14:paraId="108CA60B" w14:textId="7ECAB70E" w:rsidR="00646978" w:rsidRDefault="00646978" w:rsidP="00105A86"/>
    <w:p w14:paraId="41DD83BB" w14:textId="6A136949" w:rsidR="00646978" w:rsidRDefault="00646978" w:rsidP="00105A86"/>
    <w:p w14:paraId="05BAF2E2" w14:textId="70048803" w:rsidR="00646978" w:rsidRDefault="00646978" w:rsidP="00105A86"/>
    <w:p w14:paraId="78E2D8F7" w14:textId="31AA81EE" w:rsidR="00646978" w:rsidRDefault="00646978" w:rsidP="00105A86"/>
    <w:p w14:paraId="75474739" w14:textId="4A8445A6" w:rsidR="00646978" w:rsidRDefault="00646978" w:rsidP="00105A86"/>
    <w:p w14:paraId="71087C14" w14:textId="77777777" w:rsidR="009265FE" w:rsidRDefault="009265FE" w:rsidP="00646978">
      <w:pPr>
        <w:ind w:firstLine="0"/>
      </w:pPr>
    </w:p>
    <w:p w14:paraId="056E90B7" w14:textId="05CCF3E3" w:rsidR="00105A86" w:rsidRPr="002A4746" w:rsidRDefault="0022278A" w:rsidP="00C409B9">
      <w:pPr>
        <w:pStyle w:val="1"/>
      </w:pPr>
      <w:bookmarkStart w:id="206" w:name="_Toc75939881"/>
      <w:r>
        <w:lastRenderedPageBreak/>
        <w:t xml:space="preserve">Chapter 5 </w:t>
      </w:r>
      <w:r w:rsidR="0007009E" w:rsidRPr="002A4746">
        <w:t>S</w:t>
      </w:r>
      <w:r w:rsidR="00181639">
        <w:t>ummary</w:t>
      </w:r>
      <w:r w:rsidR="0007009E" w:rsidRPr="002A4746">
        <w:t xml:space="preserve"> </w:t>
      </w:r>
      <w:r w:rsidR="00181639">
        <w:t>and</w:t>
      </w:r>
      <w:r w:rsidR="0007009E" w:rsidRPr="002A4746">
        <w:t xml:space="preserve"> </w:t>
      </w:r>
      <w:r w:rsidR="00181639">
        <w:t>Conclusions</w:t>
      </w:r>
      <w:bookmarkEnd w:id="206"/>
    </w:p>
    <w:p w14:paraId="035B33A1" w14:textId="1FE5EF19" w:rsidR="001B69F3" w:rsidRPr="001B69F3" w:rsidRDefault="001B69F3" w:rsidP="001B69F3">
      <w:pPr>
        <w:pStyle w:val="2"/>
      </w:pPr>
      <w:bookmarkStart w:id="207" w:name="_Toc75939882"/>
      <w:r>
        <w:t>5.1 Overall Conclusions</w:t>
      </w:r>
      <w:bookmarkEnd w:id="207"/>
    </w:p>
    <w:p w14:paraId="1B13E7EB" w14:textId="1B03C465" w:rsidR="00927442" w:rsidRDefault="5E4FB5CC" w:rsidP="00105A86">
      <w:bookmarkStart w:id="208" w:name="_Hlk75359966"/>
      <w:bookmarkStart w:id="209" w:name="_Hlk75362678"/>
      <w:r>
        <w:t xml:space="preserve">Subsurface water is liquid water found below the ground surface, including soil water above the water table and ground water below the water table, but does not include water chemically bound to minerals or organic matter. Two important topics related to subsurface water in Oklahoma have aroused the interest of more and more scientists: the wastewater injected into the ground during the oil and gas production and the excess or scarcity of surface soil moisture. </w:t>
      </w:r>
      <w:bookmarkStart w:id="210" w:name="_Hlk75375042"/>
      <w:bookmarkEnd w:id="208"/>
      <w:r>
        <w:t>This dissertation aims to develop contributions to two important topics for the sustainability of Oklahoma that are related to earthquakes and water resources: (1) the effects of deep underground waste-water injection on triggering regional seismicity and (2) the quantification of state-wide shallow-soil water content as a new tool for multiple applications in reservoir management, water resources, agriculture, natural hazards, water management.</w:t>
      </w:r>
    </w:p>
    <w:bookmarkEnd w:id="209"/>
    <w:bookmarkEnd w:id="210"/>
    <w:p w14:paraId="1F2D0CA7" w14:textId="0924C060" w:rsidR="00BF2CA6" w:rsidRDefault="008E72CA" w:rsidP="00105A86">
      <w:r>
        <w:t>Chapter 2</w:t>
      </w:r>
      <w:bookmarkStart w:id="211" w:name="_Hlk75375076"/>
      <w:r w:rsidRPr="00943A75">
        <w:t xml:space="preserve"> gathered comprehensive datasets of oil and gas industry-related wastewater injection volumes and earthquakes number with associated event magnitudes from 2006 to 2017 over the entire state of Oklahoma.</w:t>
      </w:r>
      <w:bookmarkEnd w:id="211"/>
      <w:r w:rsidRPr="00943A75">
        <w:t xml:space="preserve"> Data were analyzed to remove those seismic events below the threshold of magnitude completeness. First, we explore</w:t>
      </w:r>
      <w:r w:rsidR="00BA115E">
        <w:t>d</w:t>
      </w:r>
      <w:r w:rsidRPr="00943A75">
        <w:t xml:space="preserve"> the spatiotemporal variability of both processes and conclude</w:t>
      </w:r>
      <w:r w:rsidR="00BA115E">
        <w:t>d</w:t>
      </w:r>
      <w:r w:rsidRPr="00943A75">
        <w:t xml:space="preserve"> </w:t>
      </w:r>
      <w:r w:rsidR="00BA115E">
        <w:t xml:space="preserve">that </w:t>
      </w:r>
      <w:r w:rsidRPr="00943A75">
        <w:t xml:space="preserve">a high correspondence between the two that supports the hypothesis that the recent boom in oil and gas production through unconventional methods with wastewater injection was potentially responsible for the upsurge in the state’s seismic activity during 2006 through 2015. Also, a reduction in the number of earthquakes per year, in years 2016 and 2017, reflect either the mitigation policies dictated by OCC or the drop in oil and gas prices or both. Second, a cluster analysis reveals a correlated migration pattern between earthquake occurrences and </w:t>
      </w:r>
      <w:r w:rsidR="00BA115E" w:rsidRPr="00943A75">
        <w:t>saltwater</w:t>
      </w:r>
      <w:r w:rsidRPr="00943A75">
        <w:t xml:space="preserve"> injection activity. Following the migration of the weighted wastewater injection </w:t>
      </w:r>
      <w:r w:rsidRPr="00943A75">
        <w:lastRenderedPageBreak/>
        <w:t xml:space="preserve">ellipses, weighed epicenters show a predominant northwest direction pattern during the 2007–2017 period. Third, a lagged cross-correlation analysis shows that the number of induced earthquakes in a subsequent month is strongly associated with the previous 25-month cumulative wastewater injection volume and a power law can be fitted between number of quakes and weighted average monthly injection volumes as predictive tool with a coefficient of determination of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=0.77</m:t>
        </m:r>
      </m:oMath>
      <w:r w:rsidRPr="00943A75">
        <w:t xml:space="preserve">. Using such a relation, several sustainable extraction limits are explored and compared with historic means. Results from these analyses coincide and expand on previously sustainable limits of 5 to 6 million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month</m:t>
            </m:r>
          </m:den>
        </m:f>
      </m:oMath>
      <w:r w:rsidRPr="00943A75">
        <w:t xml:space="preserve"> to potential combinations that could </w:t>
      </w:r>
      <w:r w:rsidR="00BA115E">
        <w:t>be associated with</w:t>
      </w:r>
      <w:r w:rsidRPr="00943A75">
        <w:t xml:space="preserve"> the same number </w:t>
      </w:r>
      <w:r w:rsidR="00BA115E">
        <w:t xml:space="preserve">of earthquakes </w:t>
      </w:r>
      <w:r w:rsidRPr="00943A75">
        <w:t>within the 25 previous months. A model intercomparison of our parsimonious model, a hydromechanical model, and a seismogenic model reveals a satisfactory performance of the proposed approach and similitude to the hydromechanical model outputs. Nonetheless monthly sharp changes in seismicity could only be more appropriately represented by the seismogenic model. The approach proposed in this manuscript could potentially be regionalized according to the geology of each zone and results could potentially be used as a tool for further model intercomparison experiments and decision making on spatially varied permission distribution and regional industry development to minimize negative consequences of induced earthquakes.</w:t>
      </w:r>
    </w:p>
    <w:p w14:paraId="4260D252" w14:textId="532B3E04" w:rsidR="00BF2CA6" w:rsidRDefault="5E4FB5CC" w:rsidP="00C519A3">
      <w:r>
        <w:t xml:space="preserve">Chapter 3 conducted a cross-evaluation of the accuracy and error characteristics of the most commonly used, yet independent, satellite, model-based, and in situ soil moisture products. Specifically, the assessment of the SMAP L3_SM_P_E (i.e., SMAP), NLDAS_NOAH0125_H (i.e. Noah), and interpolated Oklahoma Mesonet (i.e., Mesonet) soil moisture products at daily and seasonal timescales was conducted over Oklahoma using the triple collocation method. Moreover, their performances were evaluated over different land cover types. The results of this study can potentially provide a new perspective for comparatively assessing multi-source soil moisture </w:t>
      </w:r>
      <w:r>
        <w:lastRenderedPageBreak/>
        <w:t>products and a basis for objective data merging to capitalize the strengths of the multi-sensor soil moisture products for the State of Oklahoma and beyond.</w:t>
      </w:r>
    </w:p>
    <w:p w14:paraId="6BFF4ABC" w14:textId="17C6E79F" w:rsidR="002278AD" w:rsidRDefault="00106251" w:rsidP="00C519A3">
      <w:r w:rsidRPr="00106251">
        <w:t xml:space="preserve">Built on the knowledge from Chapter </w:t>
      </w:r>
      <w:r>
        <w:t xml:space="preserve">3, Chapter 4 </w:t>
      </w:r>
      <w:bookmarkStart w:id="212" w:name="_Hlk75376980"/>
      <w:r>
        <w:t>adopted</w:t>
      </w:r>
      <w:r w:rsidRPr="00106251">
        <w:t xml:space="preserve"> the </w:t>
      </w:r>
      <w:bookmarkStart w:id="213" w:name="_Hlk75380047"/>
      <w:r w:rsidRPr="00106251">
        <w:t xml:space="preserve">TC based least square weighting method to </w:t>
      </w:r>
      <w:bookmarkEnd w:id="213"/>
      <w:r w:rsidR="00451E89">
        <w:t>merge s</w:t>
      </w:r>
      <w:r w:rsidR="00451E89" w:rsidRPr="00451E89">
        <w:t xml:space="preserve">oil moisture information from multiple sources, including satellite (SMAP_L3), land surface model (NLDAS-2 Noah), and in-situ measurements (interpolated Oklahoma Mesonet values), </w:t>
      </w:r>
      <w:r w:rsidR="00451E89">
        <w:t xml:space="preserve">and </w:t>
      </w:r>
      <w:r w:rsidR="00451E89" w:rsidRPr="00451E89">
        <w:t>generate</w:t>
      </w:r>
      <w:r w:rsidR="00451E89">
        <w:t>d</w:t>
      </w:r>
      <w:r w:rsidR="00451E89" w:rsidRPr="00451E89">
        <w:t xml:space="preserve"> blended soil moisture products at a 9-km spatial resolution and daily temporal resolution in Oklahoma. The merged product is validated against an in-situ-based soil moisture product data and shows better performance than both the equal weighting merged and SMAP Level 4 soil moisture products. </w:t>
      </w:r>
      <w:bookmarkStart w:id="214" w:name="_Hlk75363011"/>
      <w:bookmarkEnd w:id="212"/>
      <w:r w:rsidR="00451E89" w:rsidRPr="00451E89">
        <w:t>The resulting combined soil moisture estimate is an improvement over currently available soil moisture products due to its reduced uncertainty and can be used as a standalone soil moisture product with available uncertainty estimates</w:t>
      </w:r>
      <w:r w:rsidR="00451E89">
        <w:t xml:space="preserve">, which </w:t>
      </w:r>
      <w:r w:rsidRPr="00106251">
        <w:t xml:space="preserve">will be beneficial for </w:t>
      </w:r>
      <w:r w:rsidR="00AA7547">
        <w:t xml:space="preserve">multiple applications in </w:t>
      </w:r>
      <w:r w:rsidRPr="00106251">
        <w:t>water resources</w:t>
      </w:r>
      <w:r w:rsidR="00AA7547">
        <w:t xml:space="preserve"> management</w:t>
      </w:r>
      <w:r w:rsidRPr="00106251">
        <w:t>, agriculture</w:t>
      </w:r>
      <w:r w:rsidR="00AA7547">
        <w:t xml:space="preserve"> and </w:t>
      </w:r>
      <w:r w:rsidRPr="00106251">
        <w:t>natural hazards.</w:t>
      </w:r>
    </w:p>
    <w:p w14:paraId="628D9178" w14:textId="77777777" w:rsidR="008006D6" w:rsidRDefault="008006D6" w:rsidP="00C519A3"/>
    <w:p w14:paraId="4EC32DEB" w14:textId="2FAD54B3" w:rsidR="00106251" w:rsidRDefault="00820464" w:rsidP="00820464">
      <w:pPr>
        <w:pStyle w:val="2"/>
      </w:pPr>
      <w:bookmarkStart w:id="215" w:name="_Toc75939883"/>
      <w:bookmarkEnd w:id="214"/>
      <w:r>
        <w:t>5.2 Future Research</w:t>
      </w:r>
      <w:bookmarkEnd w:id="215"/>
    </w:p>
    <w:p w14:paraId="27972601" w14:textId="1E4BEE32" w:rsidR="00820464" w:rsidRDefault="00E0229F" w:rsidP="00C613AC">
      <w:r>
        <w:t>To</w:t>
      </w:r>
      <w:r w:rsidR="00343CFB">
        <w:t xml:space="preserve"> study</w:t>
      </w:r>
      <w:r w:rsidR="00343CFB" w:rsidRPr="00117A87">
        <w:t xml:space="preserve"> the effects of deep underground waste-water injection on triggering regional seismicity</w:t>
      </w:r>
      <w:r w:rsidR="00343CFB">
        <w:t>, the study in Chapter 2</w:t>
      </w:r>
      <w:r w:rsidR="00AE1A51">
        <w:t xml:space="preserve"> </w:t>
      </w:r>
      <w:r w:rsidR="00117A87" w:rsidRPr="00117A87">
        <w:t>gathered comprehensive datasets of oil and gas industry-related wastewater injection volumes and earthquakes number with associated event magnitudes from 2006 to 2017 over the entire state of Oklahoma.</w:t>
      </w:r>
      <w:r w:rsidR="00D960D4">
        <w:t xml:space="preserve"> </w:t>
      </w:r>
      <w:r w:rsidR="008E3CBD">
        <w:t>The conducted spatiotemporal analyses and proposed parsimonious model represent a novel contribution for prediction, model intercomparison and decision making.</w:t>
      </w:r>
      <w:r w:rsidR="009A05E7">
        <w:t xml:space="preserve"> </w:t>
      </w:r>
      <w:r w:rsidR="00AE34BB" w:rsidRPr="00AE34BB">
        <w:t xml:space="preserve">Further attention can be devoted to </w:t>
      </w:r>
      <w:r w:rsidR="009F5411" w:rsidRPr="009F5411">
        <w:t xml:space="preserve">the transferability of the models developed in this </w:t>
      </w:r>
      <w:r w:rsidR="009F5411">
        <w:t>study</w:t>
      </w:r>
      <w:r w:rsidR="009F5411" w:rsidRPr="009F5411">
        <w:t xml:space="preserve"> beyond the </w:t>
      </w:r>
      <w:r w:rsidR="009F5411">
        <w:t>state of Oklahoma</w:t>
      </w:r>
      <w:r w:rsidR="009F5411" w:rsidRPr="009F5411">
        <w:t>. The generation and validation of the</w:t>
      </w:r>
      <w:r w:rsidR="00C26359" w:rsidRPr="00C26359">
        <w:t xml:space="preserve"> statistical relationships </w:t>
      </w:r>
      <w:r w:rsidR="00C26359">
        <w:t xml:space="preserve">between industry-related wastewater injection volumes and induced </w:t>
      </w:r>
      <w:r w:rsidR="00C26359">
        <w:lastRenderedPageBreak/>
        <w:t xml:space="preserve">earthquakes </w:t>
      </w:r>
      <w:r w:rsidR="009F5411" w:rsidRPr="009F5411">
        <w:t xml:space="preserve">over the </w:t>
      </w:r>
      <w:r w:rsidR="00C26359">
        <w:t xml:space="preserve">other parts of the </w:t>
      </w:r>
      <w:r w:rsidR="009F5411" w:rsidRPr="009F5411">
        <w:t>contiguous United States</w:t>
      </w:r>
      <w:r w:rsidR="009136C7">
        <w:t xml:space="preserve"> </w:t>
      </w:r>
      <w:r w:rsidR="009F5411" w:rsidRPr="009F5411">
        <w:t>are worth exploring.</w:t>
      </w:r>
      <w:r w:rsidR="0056356E">
        <w:t xml:space="preserve"> </w:t>
      </w:r>
      <w:r w:rsidR="00FC7E05">
        <w:t xml:space="preserve">For example, </w:t>
      </w:r>
      <w:r w:rsidR="00AE1A51">
        <w:t>t</w:t>
      </w:r>
      <w:r w:rsidR="00FC7E05">
        <w:t xml:space="preserve">he 2008–2009 sequence of earthquakes with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FC7E05">
        <w:t xml:space="preserve">smaller than 3.3 at the Dallas/Fort Worth Airport area were potentially induced by brine disposal associated with the production of natural gas </w:t>
      </w:r>
      <w:r w:rsidR="00E82A68">
        <w:fldChar w:fldCharType="begin"/>
      </w:r>
      <w:r w:rsidR="00E82A68">
        <w:instrText xml:space="preserve"> ADDIN ZOTERO_ITEM CSL_CITATION {"citationID":"egLon7wX","properties":{"formattedCitation":"(Frohlich et al., 2011)","plainCitation":"(Frohlich et al., 2011)","noteIndex":0},"citationItems":[{"id":222,"uris":["http://zotero.org/users/7782726/items/T32L7QNL"],"uri":["http://zotero.org/users/7782726/items/T32L7QNL"],"itemData":{"id":222,"type":"article-journal","container-title":"Bulletin of the Seismological Society of America","issue":"1","note":"ISBN: 1943-3573\npublisher: Seismological Society of America","page":"327-340","title":"The Dallas–Fort Worth earthquake sequence: October 2008 through May 2009","volume":"101","author":[{"family":"Frohlich","given":"Cliff"},{"family":"Hayward","given":"Chris"},{"family":"Stump","given":"Brian"},{"family":"Potter","given":"Eric"}],"issued":{"date-parts":[["2011"]]}}}],"schema":"https://github.com/citation-style-language/schema/raw/master/csl-citation.json"} </w:instrText>
      </w:r>
      <w:r w:rsidR="00E82A68">
        <w:fldChar w:fldCharType="separate"/>
      </w:r>
      <w:r w:rsidR="00E82A68" w:rsidRPr="00E82A68">
        <w:t>(Frohlich et al., 2011)</w:t>
      </w:r>
      <w:r w:rsidR="00E82A68">
        <w:fldChar w:fldCharType="end"/>
      </w:r>
      <w:r w:rsidR="00FC7E05">
        <w:t>.</w:t>
      </w:r>
      <w:r w:rsidR="00FC7E05" w:rsidRPr="00260E45">
        <w:t xml:space="preserve"> </w:t>
      </w:r>
      <w:r w:rsidR="00260E45" w:rsidRPr="00260E45">
        <w:t xml:space="preserve">Another important area for future research </w:t>
      </w:r>
      <w:r w:rsidR="00AE1A51">
        <w:t>would be</w:t>
      </w:r>
      <w:r w:rsidR="00260E45" w:rsidRPr="00260E45">
        <w:t xml:space="preserve"> to investigate some of the potential limitations of th</w:t>
      </w:r>
      <w:r w:rsidR="00260E45">
        <w:t xml:space="preserve">is </w:t>
      </w:r>
      <w:r w:rsidR="00260E45" w:rsidRPr="00260E45">
        <w:t>research.</w:t>
      </w:r>
      <w:r w:rsidR="00260E45">
        <w:t xml:space="preserve"> </w:t>
      </w:r>
      <w:r w:rsidR="00456F26">
        <w:t>For example, results mainly focus on statistical spatiotemporal relationships between wastewater injection volumes and earthquakes number and magnitude.</w:t>
      </w:r>
      <w:r w:rsidR="003B23BF">
        <w:t xml:space="preserve"> </w:t>
      </w:r>
      <w:r w:rsidR="00C613AC">
        <w:t xml:space="preserve">However, some studies connect the induced seismic activity with not only the wastewater injection volumes (IW), but also their depth and injection rates </w:t>
      </w:r>
      <w:r w:rsidR="00265DC9">
        <w:rPr>
          <w:lang w:eastAsia="zh-CN"/>
        </w:rPr>
        <w:t>(Keranen et al., 2013; Holland, 2013; Walsh and Zoback, 2015; Hough and Page, 2015; Barbour et al., 2017; Chen et al., 2017; Hincks, Aspinall, Cooke, and Gernon, 2018)</w:t>
      </w:r>
      <w:r w:rsidR="00C613AC">
        <w:t>.</w:t>
      </w:r>
      <w:r w:rsidR="00834285" w:rsidRPr="00834285">
        <w:t xml:space="preserve"> Future research can be conducted</w:t>
      </w:r>
      <w:r w:rsidR="00834285">
        <w:t xml:space="preserve"> </w:t>
      </w:r>
      <w:r w:rsidR="00834285" w:rsidRPr="00834285">
        <w:t>to improve the model</w:t>
      </w:r>
      <w:r w:rsidR="003F5BB7">
        <w:t xml:space="preserve"> by including the wastewater injection depth and rates. </w:t>
      </w:r>
    </w:p>
    <w:p w14:paraId="67484470" w14:textId="61FDAC49" w:rsidR="00BF2CA6" w:rsidRDefault="74CFCC90" w:rsidP="00BD169B">
      <w:r>
        <w:t xml:space="preserve">The second contribution of this dissertation is to provide a multi-sensor soil moisture product for Oklahoma to capitalize the strengths of three soil moisture products from different sources. Further attention can be devoted to the use this multi-sensor soil moisture product as a new tool for multiple applications in reservoir management, water resources, agriculture, natural hazards, water management. For example, the soil moisture products can be used to develop new agricultural drought indices and validate the soil moisture product either from remote sensing or hydrological models. Additional research should focus on the transferability of the TC based least square weighting method used in this dissertation beyond the State of Oklahoma especially the regions lack of high spatial temporal multi-sensor soil moisture product. Another important area for future research is to investigate some of the potential limitations of the doctoral research. For example, one limitation of this study is that the Mesonet product used in our TC intercomparison is interpolated from point-scaled Oklahoma Mesonet to spatial resolution of SMAP (9 km) using </w:t>
      </w:r>
      <w:r>
        <w:lastRenderedPageBreak/>
        <w:t xml:space="preserve">the ordinary kriging method. Future work could use regression kriging approaches and including independent predictors such as soil properties, land cover, topography and precipitation to increase the accuracy of the interpolated Mesonet product. </w:t>
      </w:r>
    </w:p>
    <w:p w14:paraId="6490ADFF" w14:textId="70515077" w:rsidR="74CFCC90" w:rsidRDefault="74CFCC90" w:rsidP="74CFCC90">
      <w:r w:rsidRPr="74CFCC90">
        <w:t xml:space="preserve">In general, this dissertation paves the way for further regional adoptions of both the seismic and soil moisture models with the inclusion of new data for robustness of the relationships proposed here. In general the methodological approaches that proved to work </w:t>
      </w:r>
      <w:r w:rsidR="00B24409">
        <w:t xml:space="preserve">in </w:t>
      </w:r>
      <w:r w:rsidRPr="74CFCC90">
        <w:t>Oklahoma could fundamentally be applied to develop new mathematical and matricial expressions to both earthquake prediction and soil moisture tracking, specially where and when the environmental conditions are similar to those found in Oklahoma between years 2015 and 2019.</w:t>
      </w:r>
    </w:p>
    <w:p w14:paraId="0B43AF4D" w14:textId="3EA8D8B1" w:rsidR="00BF2CA6" w:rsidRDefault="00BF2CA6" w:rsidP="00105A86"/>
    <w:p w14:paraId="6E8DCF39" w14:textId="51539E24" w:rsidR="00BF2CA6" w:rsidRDefault="00BF2CA6" w:rsidP="00105A86"/>
    <w:p w14:paraId="0FE69C3B" w14:textId="1D042C0C" w:rsidR="00BF2CA6" w:rsidRDefault="00BF2CA6" w:rsidP="00105A86"/>
    <w:p w14:paraId="441A8D12" w14:textId="49A2B4AB" w:rsidR="00BF2CA6" w:rsidRDefault="00BF2CA6" w:rsidP="00105A86"/>
    <w:p w14:paraId="01F9E8C1" w14:textId="6B62E56A" w:rsidR="00BF2CA6" w:rsidRDefault="00BF2CA6" w:rsidP="00105A86"/>
    <w:p w14:paraId="4C080148" w14:textId="6A25F59B" w:rsidR="00BF2CA6" w:rsidRDefault="00BF2CA6" w:rsidP="00105A86"/>
    <w:p w14:paraId="4D4C1BF7" w14:textId="7BD9B8B4" w:rsidR="00BF2CA6" w:rsidRDefault="00BF2CA6" w:rsidP="00105A86"/>
    <w:p w14:paraId="6A8FD9C2" w14:textId="2BA1D7CC" w:rsidR="00BF2CA6" w:rsidRDefault="00BF2CA6" w:rsidP="00105A86"/>
    <w:p w14:paraId="7AE06B4C" w14:textId="0E8139AC" w:rsidR="00BF2CA6" w:rsidRDefault="00BF2CA6" w:rsidP="00105A86"/>
    <w:p w14:paraId="775C9B5A" w14:textId="459A7C01" w:rsidR="00BF2CA6" w:rsidRPr="00105A86" w:rsidRDefault="00BF2CA6" w:rsidP="002E1305">
      <w:pPr>
        <w:pStyle w:val="a4"/>
        <w:ind w:left="0" w:firstLine="0"/>
      </w:pPr>
    </w:p>
    <w:sectPr w:rsidR="00BF2CA6" w:rsidRPr="00105A86" w:rsidSect="00D553F6">
      <w:footerReference w:type="default" r:id="rId81"/>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7F95D" w14:textId="77777777" w:rsidR="00143C6C" w:rsidRDefault="00143C6C" w:rsidP="00FE21C6">
      <w:r>
        <w:separator/>
      </w:r>
    </w:p>
  </w:endnote>
  <w:endnote w:type="continuationSeparator" w:id="0">
    <w:p w14:paraId="1FB4F8A7" w14:textId="77777777" w:rsidR="00143C6C" w:rsidRDefault="00143C6C" w:rsidP="00FE21C6">
      <w:r>
        <w:continuationSeparator/>
      </w:r>
    </w:p>
  </w:endnote>
  <w:endnote w:type="continuationNotice" w:id="1">
    <w:p w14:paraId="1D7CD9FB" w14:textId="77777777" w:rsidR="00143C6C" w:rsidRDefault="00143C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B188" w14:textId="77777777" w:rsidR="001A4C0E" w:rsidRDefault="001A4C0E" w:rsidP="00251F96">
    <w:pPr>
      <w:pStyle w:val="afa"/>
      <w:jc w:val="center"/>
    </w:pPr>
    <w:r>
      <w:fldChar w:fldCharType="begin"/>
    </w:r>
    <w:r>
      <w:instrText xml:space="preserve"> PAGE   \* MERGEFORMAT </w:instrText>
    </w:r>
    <w:r>
      <w:fldChar w:fldCharType="separate"/>
    </w:r>
    <w:r w:rsidR="004671D6">
      <w:rPr>
        <w:noProof/>
      </w:rPr>
      <w:t>iv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3251" w14:textId="77777777" w:rsidR="001A4C0E" w:rsidRDefault="001A4C0E" w:rsidP="004765B8">
    <w:pPr>
      <w:pStyle w:val="afa"/>
      <w:jc w:val="center"/>
    </w:pPr>
    <w:r>
      <w:fldChar w:fldCharType="begin"/>
    </w:r>
    <w:r>
      <w:instrText xml:space="preserve"> PAGE   \* MERGEFORMAT </w:instrText>
    </w:r>
    <w:r>
      <w:fldChar w:fldCharType="separate"/>
    </w:r>
    <w:r w:rsidR="004671D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539BA" w14:textId="77777777" w:rsidR="00143C6C" w:rsidRDefault="00143C6C" w:rsidP="00FE21C6">
      <w:r>
        <w:separator/>
      </w:r>
    </w:p>
  </w:footnote>
  <w:footnote w:type="continuationSeparator" w:id="0">
    <w:p w14:paraId="31480DB4" w14:textId="77777777" w:rsidR="00143C6C" w:rsidRDefault="00143C6C" w:rsidP="00FE21C6">
      <w:r>
        <w:continuationSeparator/>
      </w:r>
    </w:p>
  </w:footnote>
  <w:footnote w:type="continuationNotice" w:id="1">
    <w:p w14:paraId="75D9FE52" w14:textId="77777777" w:rsidR="00143C6C" w:rsidRDefault="00143C6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93734"/>
    <w:multiLevelType w:val="multilevel"/>
    <w:tmpl w:val="44D4EB3C"/>
    <w:lvl w:ilvl="0">
      <w:start w:val="1"/>
      <w:numFmt w:val="decimal"/>
      <w:suff w:val="space"/>
      <w:lvlText w:val="Chapter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161EB7"/>
    <w:multiLevelType w:val="multilevel"/>
    <w:tmpl w:val="928434E4"/>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193D7826"/>
    <w:multiLevelType w:val="multilevel"/>
    <w:tmpl w:val="5AD2AC78"/>
    <w:lvl w:ilvl="0">
      <w:start w:val="1"/>
      <w:numFmt w:val="decimal"/>
      <w:suff w:val="space"/>
      <w:lvlText w:val="第 %1 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F3325DD"/>
    <w:multiLevelType w:val="hybridMultilevel"/>
    <w:tmpl w:val="A43E809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 w15:restartNumberingAfterBreak="0">
    <w:nsid w:val="204821E9"/>
    <w:multiLevelType w:val="hybridMultilevel"/>
    <w:tmpl w:val="D11E2B26"/>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2814BB"/>
    <w:multiLevelType w:val="multilevel"/>
    <w:tmpl w:val="0C40796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7A04FB3"/>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A8C0327"/>
    <w:multiLevelType w:val="multilevel"/>
    <w:tmpl w:val="E47E74C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AD57B66"/>
    <w:multiLevelType w:val="hybridMultilevel"/>
    <w:tmpl w:val="BC3E3BEE"/>
    <w:lvl w:ilvl="0" w:tplc="2F703550">
      <w:start w:val="1"/>
      <w:numFmt w:val="decimal"/>
      <w:lvlText w:val="(%1)"/>
      <w:lvlJc w:val="left"/>
      <w:pPr>
        <w:ind w:left="1152" w:hanging="360"/>
      </w:pPr>
      <w:rPr>
        <w:rFonts w:eastAsia="Times New Roman"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2EB045A4"/>
    <w:multiLevelType w:val="multilevel"/>
    <w:tmpl w:val="D75220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EF17D2"/>
    <w:multiLevelType w:val="multilevel"/>
    <w:tmpl w:val="DE8AFC9A"/>
    <w:lvl w:ilvl="0">
      <w:start w:val="1"/>
      <w:numFmt w:val="decimal"/>
      <w:suff w:val="nothing"/>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2E2352E"/>
    <w:multiLevelType w:val="multilevel"/>
    <w:tmpl w:val="C99E7140"/>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38A69E6"/>
    <w:multiLevelType w:val="hybridMultilevel"/>
    <w:tmpl w:val="E20A16E4"/>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7"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6B1AD7"/>
    <w:multiLevelType w:val="hybridMultilevel"/>
    <w:tmpl w:val="BC9AD02A"/>
    <w:lvl w:ilvl="0" w:tplc="2F703550">
      <w:start w:val="1"/>
      <w:numFmt w:val="decimal"/>
      <w:lvlText w:val="(%1)"/>
      <w:lvlJc w:val="left"/>
      <w:pPr>
        <w:ind w:left="785" w:hanging="360"/>
      </w:pPr>
      <w:rPr>
        <w:rFonts w:eastAsia="Times New Roman"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9" w15:restartNumberingAfterBreak="0">
    <w:nsid w:val="397330F4"/>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396142"/>
    <w:multiLevelType w:val="hybridMultilevel"/>
    <w:tmpl w:val="C4CA14F6"/>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44D14CED"/>
    <w:multiLevelType w:val="multilevel"/>
    <w:tmpl w:val="8EA86054"/>
    <w:lvl w:ilvl="0">
      <w:start w:val="1"/>
      <w:numFmt w:val="decimal"/>
      <w:lvlText w:val="%1."/>
      <w:lvlJc w:val="left"/>
      <w:pPr>
        <w:ind w:left="1152" w:hanging="360"/>
      </w:pPr>
    </w:lvl>
    <w:lvl w:ilvl="1">
      <w:start w:val="1"/>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23" w15:restartNumberingAfterBreak="0">
    <w:nsid w:val="4AD63C98"/>
    <w:multiLevelType w:val="multilevel"/>
    <w:tmpl w:val="12CA0E30"/>
    <w:lvl w:ilvl="0">
      <w:start w:val="1"/>
      <w:numFmt w:val="decimal"/>
      <w:suff w:val="nothing"/>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2757C"/>
    <w:multiLevelType w:val="multilevel"/>
    <w:tmpl w:val="B412C20A"/>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A5055"/>
    <w:multiLevelType w:val="multilevel"/>
    <w:tmpl w:val="0D58532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0776CB"/>
    <w:multiLevelType w:val="multilevel"/>
    <w:tmpl w:val="3848A54C"/>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1767969"/>
    <w:multiLevelType w:val="multilevel"/>
    <w:tmpl w:val="DCB49E18"/>
    <w:lvl w:ilvl="0">
      <w:start w:val="1"/>
      <w:numFmt w:val="decimal"/>
      <w:suff w:val="nothing"/>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74105BFB"/>
    <w:multiLevelType w:val="multilevel"/>
    <w:tmpl w:val="5E30E456"/>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75F50B15"/>
    <w:multiLevelType w:val="multilevel"/>
    <w:tmpl w:val="AE4E7AEA"/>
    <w:lvl w:ilvl="0">
      <w:start w:val="4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8662AB1"/>
    <w:multiLevelType w:val="multilevel"/>
    <w:tmpl w:val="DCCAAAA6"/>
    <w:lvl w:ilvl="0">
      <w:start w:val="1"/>
      <w:numFmt w:val="decimal"/>
      <w:suff w:val="space"/>
      <w:lvlText w:val="第 %1 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37" w15:restartNumberingAfterBreak="0">
    <w:nsid w:val="7B1B0857"/>
    <w:multiLevelType w:val="multilevel"/>
    <w:tmpl w:val="3848A54C"/>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C0E6FB9"/>
    <w:multiLevelType w:val="hybridMultilevel"/>
    <w:tmpl w:val="AF8C2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0"/>
  </w:num>
  <w:num w:numId="3">
    <w:abstractNumId w:val="17"/>
  </w:num>
  <w:num w:numId="4">
    <w:abstractNumId w:val="25"/>
  </w:num>
  <w:num w:numId="5">
    <w:abstractNumId w:val="24"/>
  </w:num>
  <w:num w:numId="6">
    <w:abstractNumId w:val="26"/>
  </w:num>
  <w:num w:numId="7">
    <w:abstractNumId w:val="34"/>
  </w:num>
  <w:num w:numId="8">
    <w:abstractNumId w:val="20"/>
  </w:num>
  <w:num w:numId="9">
    <w:abstractNumId w:val="28"/>
  </w:num>
  <w:num w:numId="10">
    <w:abstractNumId w:val="29"/>
  </w:num>
  <w:num w:numId="11">
    <w:abstractNumId w:val="37"/>
  </w:num>
  <w:num w:numId="12">
    <w:abstractNumId w:val="30"/>
  </w:num>
  <w:num w:numId="13">
    <w:abstractNumId w:val="12"/>
  </w:num>
  <w:num w:numId="14">
    <w:abstractNumId w:val="21"/>
  </w:num>
  <w:num w:numId="15">
    <w:abstractNumId w:val="22"/>
  </w:num>
  <w:num w:numId="16">
    <w:abstractNumId w:val="14"/>
  </w:num>
  <w:num w:numId="17">
    <w:abstractNumId w:val="27"/>
  </w:num>
  <w:num w:numId="18">
    <w:abstractNumId w:val="7"/>
  </w:num>
  <w:num w:numId="19">
    <w:abstractNumId w:val="31"/>
  </w:num>
  <w:num w:numId="20">
    <w:abstractNumId w:val="8"/>
  </w:num>
  <w:num w:numId="21">
    <w:abstractNumId w:val="13"/>
  </w:num>
  <w:num w:numId="22">
    <w:abstractNumId w:val="23"/>
  </w:num>
  <w:num w:numId="23">
    <w:abstractNumId w:val="19"/>
  </w:num>
  <w:num w:numId="24">
    <w:abstractNumId w:val="10"/>
  </w:num>
  <w:num w:numId="25">
    <w:abstractNumId w:val="3"/>
  </w:num>
  <w:num w:numId="26">
    <w:abstractNumId w:val="3"/>
    <w:lvlOverride w:ilvl="0">
      <w:lvl w:ilvl="0">
        <w:start w:val="1"/>
        <w:numFmt w:val="decimal"/>
        <w:suff w:val="space"/>
        <w:lvlText w:val="Chapter %1"/>
        <w:lvlJc w:val="left"/>
        <w:pPr>
          <w:ind w:left="0" w:firstLine="0"/>
        </w:pPr>
        <w:rPr>
          <w:rFonts w:hint="default"/>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7">
    <w:abstractNumId w:val="36"/>
  </w:num>
  <w:num w:numId="28">
    <w:abstractNumId w:val="2"/>
  </w:num>
  <w:num w:numId="29">
    <w:abstractNumId w:val="32"/>
  </w:num>
  <w:num w:numId="30">
    <w:abstractNumId w:val="1"/>
  </w:num>
  <w:num w:numId="31">
    <w:abstractNumId w:val="9"/>
  </w:num>
  <w:num w:numId="32">
    <w:abstractNumId w:val="16"/>
  </w:num>
  <w:num w:numId="33">
    <w:abstractNumId w:val="6"/>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38"/>
  </w:num>
  <w:num w:numId="37">
    <w:abstractNumId w:val="33"/>
  </w:num>
  <w:num w:numId="38">
    <w:abstractNumId w:val="4"/>
  </w:num>
  <w:num w:numId="39">
    <w:abstractNumId w:val="18"/>
  </w:num>
  <w:num w:numId="40">
    <w:abstractNumId w:val="15"/>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0D"/>
    <w:rsid w:val="000009E2"/>
    <w:rsid w:val="00002A32"/>
    <w:rsid w:val="00004749"/>
    <w:rsid w:val="00005DA5"/>
    <w:rsid w:val="000104A8"/>
    <w:rsid w:val="00010D5A"/>
    <w:rsid w:val="00013D90"/>
    <w:rsid w:val="00014E11"/>
    <w:rsid w:val="0001560F"/>
    <w:rsid w:val="00015BD9"/>
    <w:rsid w:val="00017E01"/>
    <w:rsid w:val="00020F8C"/>
    <w:rsid w:val="0002155C"/>
    <w:rsid w:val="000251DA"/>
    <w:rsid w:val="00025638"/>
    <w:rsid w:val="0002578F"/>
    <w:rsid w:val="00025A12"/>
    <w:rsid w:val="00025D49"/>
    <w:rsid w:val="00025D5B"/>
    <w:rsid w:val="00032B06"/>
    <w:rsid w:val="00032F75"/>
    <w:rsid w:val="0003429B"/>
    <w:rsid w:val="00034561"/>
    <w:rsid w:val="0003481B"/>
    <w:rsid w:val="000359A5"/>
    <w:rsid w:val="00037C79"/>
    <w:rsid w:val="000404D5"/>
    <w:rsid w:val="00041638"/>
    <w:rsid w:val="00041B92"/>
    <w:rsid w:val="00044910"/>
    <w:rsid w:val="00045339"/>
    <w:rsid w:val="00045F4A"/>
    <w:rsid w:val="0004685F"/>
    <w:rsid w:val="00046863"/>
    <w:rsid w:val="00047905"/>
    <w:rsid w:val="00047C2F"/>
    <w:rsid w:val="000523A4"/>
    <w:rsid w:val="00052569"/>
    <w:rsid w:val="00053129"/>
    <w:rsid w:val="00053975"/>
    <w:rsid w:val="00054454"/>
    <w:rsid w:val="000563A2"/>
    <w:rsid w:val="000566E4"/>
    <w:rsid w:val="00057938"/>
    <w:rsid w:val="0006041E"/>
    <w:rsid w:val="000617D6"/>
    <w:rsid w:val="00061B3D"/>
    <w:rsid w:val="00061E27"/>
    <w:rsid w:val="00063044"/>
    <w:rsid w:val="0006564C"/>
    <w:rsid w:val="000661CC"/>
    <w:rsid w:val="0007009E"/>
    <w:rsid w:val="000700E1"/>
    <w:rsid w:val="0007025F"/>
    <w:rsid w:val="000718F5"/>
    <w:rsid w:val="00073614"/>
    <w:rsid w:val="000750D5"/>
    <w:rsid w:val="00075A8D"/>
    <w:rsid w:val="00076B36"/>
    <w:rsid w:val="00077E88"/>
    <w:rsid w:val="00077F0A"/>
    <w:rsid w:val="0008176F"/>
    <w:rsid w:val="00081C9F"/>
    <w:rsid w:val="000844F6"/>
    <w:rsid w:val="00086563"/>
    <w:rsid w:val="00086814"/>
    <w:rsid w:val="00086F52"/>
    <w:rsid w:val="0009293D"/>
    <w:rsid w:val="00093287"/>
    <w:rsid w:val="000935FC"/>
    <w:rsid w:val="000945B4"/>
    <w:rsid w:val="00094977"/>
    <w:rsid w:val="000973B9"/>
    <w:rsid w:val="000A3803"/>
    <w:rsid w:val="000A3854"/>
    <w:rsid w:val="000A5AD7"/>
    <w:rsid w:val="000A6AEF"/>
    <w:rsid w:val="000A6F56"/>
    <w:rsid w:val="000A73B2"/>
    <w:rsid w:val="000B2B1B"/>
    <w:rsid w:val="000B2CE8"/>
    <w:rsid w:val="000B44C3"/>
    <w:rsid w:val="000C0CFA"/>
    <w:rsid w:val="000C18E6"/>
    <w:rsid w:val="000C1B6C"/>
    <w:rsid w:val="000C1EE1"/>
    <w:rsid w:val="000C24B8"/>
    <w:rsid w:val="000C4457"/>
    <w:rsid w:val="000C47A2"/>
    <w:rsid w:val="000C49F2"/>
    <w:rsid w:val="000C5A4F"/>
    <w:rsid w:val="000C6106"/>
    <w:rsid w:val="000C7D16"/>
    <w:rsid w:val="000C7D97"/>
    <w:rsid w:val="000D0CE4"/>
    <w:rsid w:val="000D1448"/>
    <w:rsid w:val="000D1898"/>
    <w:rsid w:val="000D3220"/>
    <w:rsid w:val="000D4B61"/>
    <w:rsid w:val="000D4D51"/>
    <w:rsid w:val="000D52E4"/>
    <w:rsid w:val="000D624D"/>
    <w:rsid w:val="000E1BFF"/>
    <w:rsid w:val="000E2130"/>
    <w:rsid w:val="000E3567"/>
    <w:rsid w:val="000E41C6"/>
    <w:rsid w:val="000E5688"/>
    <w:rsid w:val="000E5738"/>
    <w:rsid w:val="000E5886"/>
    <w:rsid w:val="000E6977"/>
    <w:rsid w:val="000E796E"/>
    <w:rsid w:val="000F0A4C"/>
    <w:rsid w:val="000F22D1"/>
    <w:rsid w:val="000F2771"/>
    <w:rsid w:val="000F331E"/>
    <w:rsid w:val="000F380E"/>
    <w:rsid w:val="000F56FF"/>
    <w:rsid w:val="000F61C8"/>
    <w:rsid w:val="000F7209"/>
    <w:rsid w:val="001001EE"/>
    <w:rsid w:val="00103A3D"/>
    <w:rsid w:val="00105867"/>
    <w:rsid w:val="00105A86"/>
    <w:rsid w:val="00105B42"/>
    <w:rsid w:val="00105BBB"/>
    <w:rsid w:val="00105EF4"/>
    <w:rsid w:val="00106251"/>
    <w:rsid w:val="00106799"/>
    <w:rsid w:val="00106C83"/>
    <w:rsid w:val="00111915"/>
    <w:rsid w:val="00114202"/>
    <w:rsid w:val="0011487A"/>
    <w:rsid w:val="0011504D"/>
    <w:rsid w:val="00115EE7"/>
    <w:rsid w:val="00116874"/>
    <w:rsid w:val="00116B22"/>
    <w:rsid w:val="00117A87"/>
    <w:rsid w:val="00117AD5"/>
    <w:rsid w:val="00117BBC"/>
    <w:rsid w:val="00120B3D"/>
    <w:rsid w:val="0012136E"/>
    <w:rsid w:val="00123FB3"/>
    <w:rsid w:val="00125F42"/>
    <w:rsid w:val="001315CA"/>
    <w:rsid w:val="001327E2"/>
    <w:rsid w:val="001330F6"/>
    <w:rsid w:val="001336E9"/>
    <w:rsid w:val="00134880"/>
    <w:rsid w:val="0013570F"/>
    <w:rsid w:val="00135B67"/>
    <w:rsid w:val="00136CE4"/>
    <w:rsid w:val="00137AE5"/>
    <w:rsid w:val="00137D55"/>
    <w:rsid w:val="001411EF"/>
    <w:rsid w:val="0014132A"/>
    <w:rsid w:val="00141449"/>
    <w:rsid w:val="00143C6C"/>
    <w:rsid w:val="001443A3"/>
    <w:rsid w:val="001447F1"/>
    <w:rsid w:val="00144905"/>
    <w:rsid w:val="00144B35"/>
    <w:rsid w:val="001455FF"/>
    <w:rsid w:val="00146E45"/>
    <w:rsid w:val="001476A5"/>
    <w:rsid w:val="00147F76"/>
    <w:rsid w:val="001523F2"/>
    <w:rsid w:val="00153A0D"/>
    <w:rsid w:val="00154004"/>
    <w:rsid w:val="0015485C"/>
    <w:rsid w:val="00155C16"/>
    <w:rsid w:val="00155C3B"/>
    <w:rsid w:val="0015655E"/>
    <w:rsid w:val="00157E92"/>
    <w:rsid w:val="00157F5F"/>
    <w:rsid w:val="00160331"/>
    <w:rsid w:val="001603EA"/>
    <w:rsid w:val="001608F6"/>
    <w:rsid w:val="00160C50"/>
    <w:rsid w:val="00162C0B"/>
    <w:rsid w:val="001635C2"/>
    <w:rsid w:val="0016585E"/>
    <w:rsid w:val="00165B45"/>
    <w:rsid w:val="00171362"/>
    <w:rsid w:val="0017208A"/>
    <w:rsid w:val="00172240"/>
    <w:rsid w:val="00172871"/>
    <w:rsid w:val="00174266"/>
    <w:rsid w:val="001756E2"/>
    <w:rsid w:val="00175F84"/>
    <w:rsid w:val="00176EF1"/>
    <w:rsid w:val="001776B6"/>
    <w:rsid w:val="00177AF1"/>
    <w:rsid w:val="00177E36"/>
    <w:rsid w:val="00180428"/>
    <w:rsid w:val="00181639"/>
    <w:rsid w:val="0018191B"/>
    <w:rsid w:val="00185C44"/>
    <w:rsid w:val="00185E04"/>
    <w:rsid w:val="001866BD"/>
    <w:rsid w:val="001874C5"/>
    <w:rsid w:val="00187691"/>
    <w:rsid w:val="00191307"/>
    <w:rsid w:val="00192AD8"/>
    <w:rsid w:val="00192ED1"/>
    <w:rsid w:val="001935DA"/>
    <w:rsid w:val="00193B0A"/>
    <w:rsid w:val="001941F3"/>
    <w:rsid w:val="00194D3A"/>
    <w:rsid w:val="00194D3C"/>
    <w:rsid w:val="00196919"/>
    <w:rsid w:val="001A0D7A"/>
    <w:rsid w:val="001A236F"/>
    <w:rsid w:val="001A2A29"/>
    <w:rsid w:val="001A3C81"/>
    <w:rsid w:val="001A4274"/>
    <w:rsid w:val="001A4C0E"/>
    <w:rsid w:val="001A6B76"/>
    <w:rsid w:val="001A6F83"/>
    <w:rsid w:val="001A71D9"/>
    <w:rsid w:val="001B0B1F"/>
    <w:rsid w:val="001B12EF"/>
    <w:rsid w:val="001B255C"/>
    <w:rsid w:val="001B2BD1"/>
    <w:rsid w:val="001B2EDC"/>
    <w:rsid w:val="001B355E"/>
    <w:rsid w:val="001B395C"/>
    <w:rsid w:val="001B69F3"/>
    <w:rsid w:val="001B6A39"/>
    <w:rsid w:val="001B7BC5"/>
    <w:rsid w:val="001C2030"/>
    <w:rsid w:val="001C21AC"/>
    <w:rsid w:val="001C2455"/>
    <w:rsid w:val="001C3386"/>
    <w:rsid w:val="001C3B63"/>
    <w:rsid w:val="001C459D"/>
    <w:rsid w:val="001C52E6"/>
    <w:rsid w:val="001C73EF"/>
    <w:rsid w:val="001D10CB"/>
    <w:rsid w:val="001D2218"/>
    <w:rsid w:val="001D3180"/>
    <w:rsid w:val="001D349D"/>
    <w:rsid w:val="001D41B4"/>
    <w:rsid w:val="001D4580"/>
    <w:rsid w:val="001D55DC"/>
    <w:rsid w:val="001E0CAE"/>
    <w:rsid w:val="001E2404"/>
    <w:rsid w:val="001E5AD4"/>
    <w:rsid w:val="001E5E99"/>
    <w:rsid w:val="001E72A6"/>
    <w:rsid w:val="001F144C"/>
    <w:rsid w:val="001F227C"/>
    <w:rsid w:val="001F2CAB"/>
    <w:rsid w:val="001F5858"/>
    <w:rsid w:val="001F609B"/>
    <w:rsid w:val="001F6D33"/>
    <w:rsid w:val="001F7963"/>
    <w:rsid w:val="001F7D47"/>
    <w:rsid w:val="002024A5"/>
    <w:rsid w:val="00203498"/>
    <w:rsid w:val="002043CB"/>
    <w:rsid w:val="00204AAD"/>
    <w:rsid w:val="00204DF2"/>
    <w:rsid w:val="00205DFA"/>
    <w:rsid w:val="00206370"/>
    <w:rsid w:val="00207164"/>
    <w:rsid w:val="00210868"/>
    <w:rsid w:val="002119B1"/>
    <w:rsid w:val="00211F4E"/>
    <w:rsid w:val="00212DC0"/>
    <w:rsid w:val="002147D8"/>
    <w:rsid w:val="002166F5"/>
    <w:rsid w:val="002179B2"/>
    <w:rsid w:val="00220640"/>
    <w:rsid w:val="002214A7"/>
    <w:rsid w:val="002226F6"/>
    <w:rsid w:val="0022278A"/>
    <w:rsid w:val="00224373"/>
    <w:rsid w:val="00226CE0"/>
    <w:rsid w:val="002278AD"/>
    <w:rsid w:val="00227AC4"/>
    <w:rsid w:val="00227CC9"/>
    <w:rsid w:val="00227D80"/>
    <w:rsid w:val="0023044A"/>
    <w:rsid w:val="00231AD1"/>
    <w:rsid w:val="00231F3E"/>
    <w:rsid w:val="00232841"/>
    <w:rsid w:val="0023375C"/>
    <w:rsid w:val="0023541A"/>
    <w:rsid w:val="00235864"/>
    <w:rsid w:val="002367BA"/>
    <w:rsid w:val="002408AD"/>
    <w:rsid w:val="00241884"/>
    <w:rsid w:val="00243E22"/>
    <w:rsid w:val="002442FC"/>
    <w:rsid w:val="00244E8B"/>
    <w:rsid w:val="00251F96"/>
    <w:rsid w:val="002567DD"/>
    <w:rsid w:val="00256FD6"/>
    <w:rsid w:val="002571E8"/>
    <w:rsid w:val="0025792D"/>
    <w:rsid w:val="00260E45"/>
    <w:rsid w:val="00260F9A"/>
    <w:rsid w:val="00264495"/>
    <w:rsid w:val="00264AA3"/>
    <w:rsid w:val="00265CB6"/>
    <w:rsid w:val="00265DC9"/>
    <w:rsid w:val="0026617A"/>
    <w:rsid w:val="00266AEA"/>
    <w:rsid w:val="00266AEE"/>
    <w:rsid w:val="00270443"/>
    <w:rsid w:val="00271ED6"/>
    <w:rsid w:val="002725DF"/>
    <w:rsid w:val="00272CAD"/>
    <w:rsid w:val="00273EBB"/>
    <w:rsid w:val="00274D15"/>
    <w:rsid w:val="00277484"/>
    <w:rsid w:val="0027788B"/>
    <w:rsid w:val="002813DE"/>
    <w:rsid w:val="002817F1"/>
    <w:rsid w:val="00281C40"/>
    <w:rsid w:val="002851B0"/>
    <w:rsid w:val="002859D4"/>
    <w:rsid w:val="00285DCF"/>
    <w:rsid w:val="0028664E"/>
    <w:rsid w:val="002902A7"/>
    <w:rsid w:val="00290C61"/>
    <w:rsid w:val="002921B0"/>
    <w:rsid w:val="00293BC8"/>
    <w:rsid w:val="00294256"/>
    <w:rsid w:val="002945DD"/>
    <w:rsid w:val="002971AD"/>
    <w:rsid w:val="00297599"/>
    <w:rsid w:val="002A03D7"/>
    <w:rsid w:val="002A130B"/>
    <w:rsid w:val="002A1342"/>
    <w:rsid w:val="002A2793"/>
    <w:rsid w:val="002A4746"/>
    <w:rsid w:val="002A5EF0"/>
    <w:rsid w:val="002A738C"/>
    <w:rsid w:val="002B0651"/>
    <w:rsid w:val="002B093C"/>
    <w:rsid w:val="002B0E9A"/>
    <w:rsid w:val="002B19A5"/>
    <w:rsid w:val="002B56AC"/>
    <w:rsid w:val="002C03E8"/>
    <w:rsid w:val="002C0D99"/>
    <w:rsid w:val="002C12D2"/>
    <w:rsid w:val="002C1C2A"/>
    <w:rsid w:val="002C20EA"/>
    <w:rsid w:val="002C2F2B"/>
    <w:rsid w:val="002C5368"/>
    <w:rsid w:val="002C5621"/>
    <w:rsid w:val="002C609F"/>
    <w:rsid w:val="002C64F2"/>
    <w:rsid w:val="002C6769"/>
    <w:rsid w:val="002C788D"/>
    <w:rsid w:val="002C7B1E"/>
    <w:rsid w:val="002D3C91"/>
    <w:rsid w:val="002D3D45"/>
    <w:rsid w:val="002D4DF6"/>
    <w:rsid w:val="002D5394"/>
    <w:rsid w:val="002D5866"/>
    <w:rsid w:val="002D6E20"/>
    <w:rsid w:val="002E0B28"/>
    <w:rsid w:val="002E1305"/>
    <w:rsid w:val="002E157F"/>
    <w:rsid w:val="002E1623"/>
    <w:rsid w:val="002E2004"/>
    <w:rsid w:val="002E3AA1"/>
    <w:rsid w:val="002E4EF7"/>
    <w:rsid w:val="002E65E7"/>
    <w:rsid w:val="002E7E0A"/>
    <w:rsid w:val="002F0421"/>
    <w:rsid w:val="002F14EC"/>
    <w:rsid w:val="002F1C88"/>
    <w:rsid w:val="002F1DF0"/>
    <w:rsid w:val="002F21D3"/>
    <w:rsid w:val="002F2EF9"/>
    <w:rsid w:val="002F408D"/>
    <w:rsid w:val="002F44FD"/>
    <w:rsid w:val="002F4E2D"/>
    <w:rsid w:val="002F575A"/>
    <w:rsid w:val="003013FA"/>
    <w:rsid w:val="00301A5F"/>
    <w:rsid w:val="00303962"/>
    <w:rsid w:val="00303A54"/>
    <w:rsid w:val="003059A8"/>
    <w:rsid w:val="0030639F"/>
    <w:rsid w:val="00306949"/>
    <w:rsid w:val="00306A8A"/>
    <w:rsid w:val="00306FF7"/>
    <w:rsid w:val="0030767B"/>
    <w:rsid w:val="003112D3"/>
    <w:rsid w:val="00312377"/>
    <w:rsid w:val="00312927"/>
    <w:rsid w:val="003141E5"/>
    <w:rsid w:val="00314F3F"/>
    <w:rsid w:val="00315D96"/>
    <w:rsid w:val="00320E8C"/>
    <w:rsid w:val="00321087"/>
    <w:rsid w:val="0032188A"/>
    <w:rsid w:val="003218D0"/>
    <w:rsid w:val="0032390F"/>
    <w:rsid w:val="00323C2F"/>
    <w:rsid w:val="003240AA"/>
    <w:rsid w:val="00324108"/>
    <w:rsid w:val="003246B3"/>
    <w:rsid w:val="00326204"/>
    <w:rsid w:val="00331781"/>
    <w:rsid w:val="0033187D"/>
    <w:rsid w:val="00332F07"/>
    <w:rsid w:val="00334F06"/>
    <w:rsid w:val="00335BBB"/>
    <w:rsid w:val="00336205"/>
    <w:rsid w:val="00336D63"/>
    <w:rsid w:val="003373EF"/>
    <w:rsid w:val="00340D45"/>
    <w:rsid w:val="00342E61"/>
    <w:rsid w:val="00343673"/>
    <w:rsid w:val="00343CFB"/>
    <w:rsid w:val="00344408"/>
    <w:rsid w:val="003446E8"/>
    <w:rsid w:val="00344F98"/>
    <w:rsid w:val="003450B1"/>
    <w:rsid w:val="003453C8"/>
    <w:rsid w:val="0034565F"/>
    <w:rsid w:val="00345AB9"/>
    <w:rsid w:val="00347854"/>
    <w:rsid w:val="003500BB"/>
    <w:rsid w:val="003514C7"/>
    <w:rsid w:val="00352B11"/>
    <w:rsid w:val="00354730"/>
    <w:rsid w:val="00354C7A"/>
    <w:rsid w:val="003570AF"/>
    <w:rsid w:val="00357FA4"/>
    <w:rsid w:val="00360B4C"/>
    <w:rsid w:val="00360FA9"/>
    <w:rsid w:val="00361669"/>
    <w:rsid w:val="0036184A"/>
    <w:rsid w:val="00361F35"/>
    <w:rsid w:val="00362338"/>
    <w:rsid w:val="003633A0"/>
    <w:rsid w:val="003635D6"/>
    <w:rsid w:val="00363A32"/>
    <w:rsid w:val="00363F76"/>
    <w:rsid w:val="003642E6"/>
    <w:rsid w:val="00364BD7"/>
    <w:rsid w:val="00364F32"/>
    <w:rsid w:val="00365CCD"/>
    <w:rsid w:val="00367716"/>
    <w:rsid w:val="00372A6C"/>
    <w:rsid w:val="00372F74"/>
    <w:rsid w:val="0037312E"/>
    <w:rsid w:val="00374A48"/>
    <w:rsid w:val="00377590"/>
    <w:rsid w:val="00377F2E"/>
    <w:rsid w:val="003809E2"/>
    <w:rsid w:val="00381184"/>
    <w:rsid w:val="00381FA0"/>
    <w:rsid w:val="003841EF"/>
    <w:rsid w:val="003844DE"/>
    <w:rsid w:val="00385DA9"/>
    <w:rsid w:val="00385E9D"/>
    <w:rsid w:val="00386A16"/>
    <w:rsid w:val="00386AF1"/>
    <w:rsid w:val="00386E26"/>
    <w:rsid w:val="003909D6"/>
    <w:rsid w:val="00393159"/>
    <w:rsid w:val="003940D3"/>
    <w:rsid w:val="00394D9E"/>
    <w:rsid w:val="003955B1"/>
    <w:rsid w:val="00396207"/>
    <w:rsid w:val="00397ACF"/>
    <w:rsid w:val="003A060D"/>
    <w:rsid w:val="003A067C"/>
    <w:rsid w:val="003A0731"/>
    <w:rsid w:val="003A1996"/>
    <w:rsid w:val="003A3C02"/>
    <w:rsid w:val="003A522F"/>
    <w:rsid w:val="003A6225"/>
    <w:rsid w:val="003A7E50"/>
    <w:rsid w:val="003B1506"/>
    <w:rsid w:val="003B23BF"/>
    <w:rsid w:val="003B27B6"/>
    <w:rsid w:val="003B2888"/>
    <w:rsid w:val="003B2F99"/>
    <w:rsid w:val="003B349D"/>
    <w:rsid w:val="003B3758"/>
    <w:rsid w:val="003B441B"/>
    <w:rsid w:val="003B489D"/>
    <w:rsid w:val="003B4A0C"/>
    <w:rsid w:val="003B66A6"/>
    <w:rsid w:val="003B73A8"/>
    <w:rsid w:val="003B763D"/>
    <w:rsid w:val="003B7F39"/>
    <w:rsid w:val="003C17F4"/>
    <w:rsid w:val="003C2536"/>
    <w:rsid w:val="003C3711"/>
    <w:rsid w:val="003C4735"/>
    <w:rsid w:val="003D1F2B"/>
    <w:rsid w:val="003D4889"/>
    <w:rsid w:val="003D4AA9"/>
    <w:rsid w:val="003D7712"/>
    <w:rsid w:val="003E0A46"/>
    <w:rsid w:val="003E1774"/>
    <w:rsid w:val="003E1B4E"/>
    <w:rsid w:val="003E22B5"/>
    <w:rsid w:val="003E274B"/>
    <w:rsid w:val="003E3569"/>
    <w:rsid w:val="003E4AD7"/>
    <w:rsid w:val="003E4C51"/>
    <w:rsid w:val="003F14F5"/>
    <w:rsid w:val="003F1757"/>
    <w:rsid w:val="003F40EC"/>
    <w:rsid w:val="003F4A69"/>
    <w:rsid w:val="003F4DA8"/>
    <w:rsid w:val="003F5BB7"/>
    <w:rsid w:val="003F7969"/>
    <w:rsid w:val="00400B5B"/>
    <w:rsid w:val="004032D5"/>
    <w:rsid w:val="0040345E"/>
    <w:rsid w:val="00404E6B"/>
    <w:rsid w:val="004054E7"/>
    <w:rsid w:val="00406BD4"/>
    <w:rsid w:val="004077D0"/>
    <w:rsid w:val="004104BE"/>
    <w:rsid w:val="004108E1"/>
    <w:rsid w:val="0041229A"/>
    <w:rsid w:val="0041267B"/>
    <w:rsid w:val="0041389B"/>
    <w:rsid w:val="004140CB"/>
    <w:rsid w:val="004145FF"/>
    <w:rsid w:val="004151BE"/>
    <w:rsid w:val="00415E07"/>
    <w:rsid w:val="00415EAB"/>
    <w:rsid w:val="0041769D"/>
    <w:rsid w:val="0042089D"/>
    <w:rsid w:val="00421DE0"/>
    <w:rsid w:val="00421FC0"/>
    <w:rsid w:val="00422810"/>
    <w:rsid w:val="004236EB"/>
    <w:rsid w:val="004245AD"/>
    <w:rsid w:val="004277A7"/>
    <w:rsid w:val="00430252"/>
    <w:rsid w:val="00430304"/>
    <w:rsid w:val="00431280"/>
    <w:rsid w:val="004324EE"/>
    <w:rsid w:val="004332B2"/>
    <w:rsid w:val="00434355"/>
    <w:rsid w:val="004344AB"/>
    <w:rsid w:val="00434BFB"/>
    <w:rsid w:val="00435358"/>
    <w:rsid w:val="004361F4"/>
    <w:rsid w:val="00436221"/>
    <w:rsid w:val="004364AB"/>
    <w:rsid w:val="004417B8"/>
    <w:rsid w:val="00442302"/>
    <w:rsid w:val="004431F8"/>
    <w:rsid w:val="0044449B"/>
    <w:rsid w:val="00444A49"/>
    <w:rsid w:val="00444FEE"/>
    <w:rsid w:val="00445F04"/>
    <w:rsid w:val="00446261"/>
    <w:rsid w:val="004509A1"/>
    <w:rsid w:val="004510AB"/>
    <w:rsid w:val="00451637"/>
    <w:rsid w:val="00451E89"/>
    <w:rsid w:val="0045317F"/>
    <w:rsid w:val="004539AA"/>
    <w:rsid w:val="00453E31"/>
    <w:rsid w:val="00454CC4"/>
    <w:rsid w:val="004552D1"/>
    <w:rsid w:val="00456A90"/>
    <w:rsid w:val="00456F26"/>
    <w:rsid w:val="00457CA3"/>
    <w:rsid w:val="00460A64"/>
    <w:rsid w:val="00460D35"/>
    <w:rsid w:val="00461AA9"/>
    <w:rsid w:val="00461FCC"/>
    <w:rsid w:val="004627A1"/>
    <w:rsid w:val="004643B8"/>
    <w:rsid w:val="004643B9"/>
    <w:rsid w:val="00465240"/>
    <w:rsid w:val="00465285"/>
    <w:rsid w:val="00465971"/>
    <w:rsid w:val="004671D6"/>
    <w:rsid w:val="00467FF1"/>
    <w:rsid w:val="00470C58"/>
    <w:rsid w:val="00470D14"/>
    <w:rsid w:val="00472B7F"/>
    <w:rsid w:val="00475B44"/>
    <w:rsid w:val="004760E6"/>
    <w:rsid w:val="004765B8"/>
    <w:rsid w:val="004801C9"/>
    <w:rsid w:val="00482191"/>
    <w:rsid w:val="00482E05"/>
    <w:rsid w:val="00482E48"/>
    <w:rsid w:val="00484B4A"/>
    <w:rsid w:val="004852AA"/>
    <w:rsid w:val="0048680D"/>
    <w:rsid w:val="00490B52"/>
    <w:rsid w:val="00492676"/>
    <w:rsid w:val="00492B2F"/>
    <w:rsid w:val="0049619D"/>
    <w:rsid w:val="004961D5"/>
    <w:rsid w:val="00497EC3"/>
    <w:rsid w:val="004A0B40"/>
    <w:rsid w:val="004A3B2A"/>
    <w:rsid w:val="004A59F6"/>
    <w:rsid w:val="004A6B66"/>
    <w:rsid w:val="004B11B5"/>
    <w:rsid w:val="004B198B"/>
    <w:rsid w:val="004B55DC"/>
    <w:rsid w:val="004B58D2"/>
    <w:rsid w:val="004B5F31"/>
    <w:rsid w:val="004B6177"/>
    <w:rsid w:val="004B675E"/>
    <w:rsid w:val="004B715B"/>
    <w:rsid w:val="004C15EC"/>
    <w:rsid w:val="004C1FA8"/>
    <w:rsid w:val="004C3CF0"/>
    <w:rsid w:val="004C49C6"/>
    <w:rsid w:val="004D037E"/>
    <w:rsid w:val="004D0489"/>
    <w:rsid w:val="004D0852"/>
    <w:rsid w:val="004D29E6"/>
    <w:rsid w:val="004D409B"/>
    <w:rsid w:val="004D4A1B"/>
    <w:rsid w:val="004E07B0"/>
    <w:rsid w:val="004E17F2"/>
    <w:rsid w:val="004E38C1"/>
    <w:rsid w:val="004E3B30"/>
    <w:rsid w:val="004E3C3C"/>
    <w:rsid w:val="004E475A"/>
    <w:rsid w:val="004E4BD5"/>
    <w:rsid w:val="004E5089"/>
    <w:rsid w:val="004E6AB9"/>
    <w:rsid w:val="004E70BA"/>
    <w:rsid w:val="004E7A84"/>
    <w:rsid w:val="004F0C08"/>
    <w:rsid w:val="004F10F8"/>
    <w:rsid w:val="004F5468"/>
    <w:rsid w:val="00502CF5"/>
    <w:rsid w:val="00504ED8"/>
    <w:rsid w:val="00506F0A"/>
    <w:rsid w:val="00507302"/>
    <w:rsid w:val="00507F55"/>
    <w:rsid w:val="00510C87"/>
    <w:rsid w:val="00511CCF"/>
    <w:rsid w:val="005136C2"/>
    <w:rsid w:val="00513926"/>
    <w:rsid w:val="00513A33"/>
    <w:rsid w:val="00514A0B"/>
    <w:rsid w:val="00516210"/>
    <w:rsid w:val="00516FBC"/>
    <w:rsid w:val="005170FC"/>
    <w:rsid w:val="00517908"/>
    <w:rsid w:val="00520F5D"/>
    <w:rsid w:val="005220FA"/>
    <w:rsid w:val="00523DBC"/>
    <w:rsid w:val="00523FCE"/>
    <w:rsid w:val="00524D72"/>
    <w:rsid w:val="00525321"/>
    <w:rsid w:val="00526181"/>
    <w:rsid w:val="0053028C"/>
    <w:rsid w:val="00532646"/>
    <w:rsid w:val="00532BCF"/>
    <w:rsid w:val="005354E8"/>
    <w:rsid w:val="005356AD"/>
    <w:rsid w:val="005411B8"/>
    <w:rsid w:val="00546217"/>
    <w:rsid w:val="0054655A"/>
    <w:rsid w:val="0054659B"/>
    <w:rsid w:val="005465A3"/>
    <w:rsid w:val="005470C5"/>
    <w:rsid w:val="00547218"/>
    <w:rsid w:val="005507AF"/>
    <w:rsid w:val="0055220C"/>
    <w:rsid w:val="00552A9B"/>
    <w:rsid w:val="00552B11"/>
    <w:rsid w:val="00552C6B"/>
    <w:rsid w:val="00554378"/>
    <w:rsid w:val="00560EF8"/>
    <w:rsid w:val="005619E2"/>
    <w:rsid w:val="00561AFC"/>
    <w:rsid w:val="00562BBC"/>
    <w:rsid w:val="0056356E"/>
    <w:rsid w:val="00564EAD"/>
    <w:rsid w:val="00572AB3"/>
    <w:rsid w:val="005736FA"/>
    <w:rsid w:val="00574787"/>
    <w:rsid w:val="005747CD"/>
    <w:rsid w:val="00574E22"/>
    <w:rsid w:val="00574ED9"/>
    <w:rsid w:val="00575656"/>
    <w:rsid w:val="00575943"/>
    <w:rsid w:val="00575C03"/>
    <w:rsid w:val="005763DE"/>
    <w:rsid w:val="005773D9"/>
    <w:rsid w:val="0057769C"/>
    <w:rsid w:val="0057775C"/>
    <w:rsid w:val="00580F2D"/>
    <w:rsid w:val="00582EBC"/>
    <w:rsid w:val="0058453F"/>
    <w:rsid w:val="00587521"/>
    <w:rsid w:val="005878F2"/>
    <w:rsid w:val="005879D3"/>
    <w:rsid w:val="00587D56"/>
    <w:rsid w:val="00587F70"/>
    <w:rsid w:val="00592146"/>
    <w:rsid w:val="00593588"/>
    <w:rsid w:val="00595295"/>
    <w:rsid w:val="00595BA7"/>
    <w:rsid w:val="00596316"/>
    <w:rsid w:val="00596960"/>
    <w:rsid w:val="00596A71"/>
    <w:rsid w:val="00596F67"/>
    <w:rsid w:val="00597391"/>
    <w:rsid w:val="00597C03"/>
    <w:rsid w:val="005A1339"/>
    <w:rsid w:val="005A2B79"/>
    <w:rsid w:val="005A3B02"/>
    <w:rsid w:val="005A4150"/>
    <w:rsid w:val="005A450F"/>
    <w:rsid w:val="005A5CF1"/>
    <w:rsid w:val="005A6236"/>
    <w:rsid w:val="005A72D3"/>
    <w:rsid w:val="005B04A9"/>
    <w:rsid w:val="005B0705"/>
    <w:rsid w:val="005B13B0"/>
    <w:rsid w:val="005B2296"/>
    <w:rsid w:val="005B2ACC"/>
    <w:rsid w:val="005B2DFA"/>
    <w:rsid w:val="005B3E3A"/>
    <w:rsid w:val="005B6A1D"/>
    <w:rsid w:val="005C1CD4"/>
    <w:rsid w:val="005C28B4"/>
    <w:rsid w:val="005C382E"/>
    <w:rsid w:val="005C3ADB"/>
    <w:rsid w:val="005C5447"/>
    <w:rsid w:val="005C641C"/>
    <w:rsid w:val="005C67D8"/>
    <w:rsid w:val="005C6B44"/>
    <w:rsid w:val="005C6F74"/>
    <w:rsid w:val="005C7A41"/>
    <w:rsid w:val="005C7C7B"/>
    <w:rsid w:val="005D0C69"/>
    <w:rsid w:val="005D2DB8"/>
    <w:rsid w:val="005D493D"/>
    <w:rsid w:val="005D603F"/>
    <w:rsid w:val="005D75A9"/>
    <w:rsid w:val="005D7AA6"/>
    <w:rsid w:val="005E0BDB"/>
    <w:rsid w:val="005E2041"/>
    <w:rsid w:val="005E347A"/>
    <w:rsid w:val="005E3A03"/>
    <w:rsid w:val="005E69C1"/>
    <w:rsid w:val="005E7BA6"/>
    <w:rsid w:val="005E7BC1"/>
    <w:rsid w:val="005F15D5"/>
    <w:rsid w:val="005F21C6"/>
    <w:rsid w:val="005F3184"/>
    <w:rsid w:val="005F430A"/>
    <w:rsid w:val="005F44CD"/>
    <w:rsid w:val="005F4EE0"/>
    <w:rsid w:val="005F54FD"/>
    <w:rsid w:val="005F76DE"/>
    <w:rsid w:val="006014D1"/>
    <w:rsid w:val="00601769"/>
    <w:rsid w:val="00601C71"/>
    <w:rsid w:val="00601CCB"/>
    <w:rsid w:val="006060C0"/>
    <w:rsid w:val="006064AE"/>
    <w:rsid w:val="00612C72"/>
    <w:rsid w:val="00614C26"/>
    <w:rsid w:val="00614CC7"/>
    <w:rsid w:val="0061525C"/>
    <w:rsid w:val="00616A57"/>
    <w:rsid w:val="00617232"/>
    <w:rsid w:val="006173A6"/>
    <w:rsid w:val="006214B0"/>
    <w:rsid w:val="00621AC7"/>
    <w:rsid w:val="006252DE"/>
    <w:rsid w:val="006260C5"/>
    <w:rsid w:val="006264A0"/>
    <w:rsid w:val="006273C0"/>
    <w:rsid w:val="006318B9"/>
    <w:rsid w:val="00632733"/>
    <w:rsid w:val="00633C74"/>
    <w:rsid w:val="006342FA"/>
    <w:rsid w:val="00635F3A"/>
    <w:rsid w:val="00636AA5"/>
    <w:rsid w:val="00637993"/>
    <w:rsid w:val="0064031E"/>
    <w:rsid w:val="00642B88"/>
    <w:rsid w:val="00644757"/>
    <w:rsid w:val="0064546C"/>
    <w:rsid w:val="0064561F"/>
    <w:rsid w:val="006459A1"/>
    <w:rsid w:val="00645A8F"/>
    <w:rsid w:val="0064676F"/>
    <w:rsid w:val="00646978"/>
    <w:rsid w:val="006469D5"/>
    <w:rsid w:val="0064785F"/>
    <w:rsid w:val="00653054"/>
    <w:rsid w:val="00653C73"/>
    <w:rsid w:val="0065459D"/>
    <w:rsid w:val="00654889"/>
    <w:rsid w:val="00655884"/>
    <w:rsid w:val="00657C04"/>
    <w:rsid w:val="0066061A"/>
    <w:rsid w:val="00660B74"/>
    <w:rsid w:val="00660F99"/>
    <w:rsid w:val="00661C13"/>
    <w:rsid w:val="006622AE"/>
    <w:rsid w:val="00670801"/>
    <w:rsid w:val="00671AAA"/>
    <w:rsid w:val="006770C3"/>
    <w:rsid w:val="00684015"/>
    <w:rsid w:val="0068466E"/>
    <w:rsid w:val="0068531F"/>
    <w:rsid w:val="00685D63"/>
    <w:rsid w:val="00685F41"/>
    <w:rsid w:val="00686CE3"/>
    <w:rsid w:val="006908FD"/>
    <w:rsid w:val="00691AB2"/>
    <w:rsid w:val="00691F90"/>
    <w:rsid w:val="006922A9"/>
    <w:rsid w:val="006937AF"/>
    <w:rsid w:val="0069415A"/>
    <w:rsid w:val="00694514"/>
    <w:rsid w:val="0069539B"/>
    <w:rsid w:val="006953CB"/>
    <w:rsid w:val="00696F9B"/>
    <w:rsid w:val="00697ABF"/>
    <w:rsid w:val="006A03F4"/>
    <w:rsid w:val="006A140C"/>
    <w:rsid w:val="006A16BA"/>
    <w:rsid w:val="006A4A77"/>
    <w:rsid w:val="006A4D25"/>
    <w:rsid w:val="006A5BE8"/>
    <w:rsid w:val="006A5BF4"/>
    <w:rsid w:val="006A6340"/>
    <w:rsid w:val="006A76F5"/>
    <w:rsid w:val="006A7CF7"/>
    <w:rsid w:val="006B0833"/>
    <w:rsid w:val="006B1346"/>
    <w:rsid w:val="006B1D41"/>
    <w:rsid w:val="006B2693"/>
    <w:rsid w:val="006B2ACE"/>
    <w:rsid w:val="006B3DEF"/>
    <w:rsid w:val="006B5145"/>
    <w:rsid w:val="006B52A1"/>
    <w:rsid w:val="006B5C7A"/>
    <w:rsid w:val="006B68D7"/>
    <w:rsid w:val="006B72F6"/>
    <w:rsid w:val="006B7486"/>
    <w:rsid w:val="006B76C0"/>
    <w:rsid w:val="006C09DB"/>
    <w:rsid w:val="006C1A76"/>
    <w:rsid w:val="006C2392"/>
    <w:rsid w:val="006C3271"/>
    <w:rsid w:val="006C3CA0"/>
    <w:rsid w:val="006C6855"/>
    <w:rsid w:val="006D1EE5"/>
    <w:rsid w:val="006D2931"/>
    <w:rsid w:val="006D2B24"/>
    <w:rsid w:val="006D7120"/>
    <w:rsid w:val="006D77D0"/>
    <w:rsid w:val="006E09BE"/>
    <w:rsid w:val="006E0E2D"/>
    <w:rsid w:val="006E1AE9"/>
    <w:rsid w:val="006E2D62"/>
    <w:rsid w:val="006E3332"/>
    <w:rsid w:val="006E3CE2"/>
    <w:rsid w:val="006E43E0"/>
    <w:rsid w:val="006E632C"/>
    <w:rsid w:val="006E736F"/>
    <w:rsid w:val="006E7884"/>
    <w:rsid w:val="006F0450"/>
    <w:rsid w:val="006F10CE"/>
    <w:rsid w:val="006F2D23"/>
    <w:rsid w:val="006F36A7"/>
    <w:rsid w:val="006F7454"/>
    <w:rsid w:val="006F7E97"/>
    <w:rsid w:val="0070017B"/>
    <w:rsid w:val="00700994"/>
    <w:rsid w:val="00700D9A"/>
    <w:rsid w:val="007018D0"/>
    <w:rsid w:val="007026EE"/>
    <w:rsid w:val="00702B91"/>
    <w:rsid w:val="00702DAF"/>
    <w:rsid w:val="00702F4B"/>
    <w:rsid w:val="00705086"/>
    <w:rsid w:val="0070575E"/>
    <w:rsid w:val="00705F2A"/>
    <w:rsid w:val="00707858"/>
    <w:rsid w:val="00710EFA"/>
    <w:rsid w:val="0071714C"/>
    <w:rsid w:val="0071746C"/>
    <w:rsid w:val="0072243F"/>
    <w:rsid w:val="00725E9B"/>
    <w:rsid w:val="00725ED5"/>
    <w:rsid w:val="00726058"/>
    <w:rsid w:val="0072794B"/>
    <w:rsid w:val="00730884"/>
    <w:rsid w:val="00730F0A"/>
    <w:rsid w:val="00731982"/>
    <w:rsid w:val="0073400F"/>
    <w:rsid w:val="007349FA"/>
    <w:rsid w:val="00744C41"/>
    <w:rsid w:val="00746275"/>
    <w:rsid w:val="00746347"/>
    <w:rsid w:val="00746E16"/>
    <w:rsid w:val="007478E4"/>
    <w:rsid w:val="00747F52"/>
    <w:rsid w:val="00750314"/>
    <w:rsid w:val="0075063B"/>
    <w:rsid w:val="00752FC9"/>
    <w:rsid w:val="00754579"/>
    <w:rsid w:val="0075552F"/>
    <w:rsid w:val="007559B1"/>
    <w:rsid w:val="007570E8"/>
    <w:rsid w:val="00757684"/>
    <w:rsid w:val="00760426"/>
    <w:rsid w:val="007606A3"/>
    <w:rsid w:val="00760EE4"/>
    <w:rsid w:val="00761616"/>
    <w:rsid w:val="00761A79"/>
    <w:rsid w:val="00761FDB"/>
    <w:rsid w:val="007621CB"/>
    <w:rsid w:val="00763D18"/>
    <w:rsid w:val="00764D25"/>
    <w:rsid w:val="00764E2A"/>
    <w:rsid w:val="007654CA"/>
    <w:rsid w:val="007657E9"/>
    <w:rsid w:val="0076647A"/>
    <w:rsid w:val="007670B7"/>
    <w:rsid w:val="0077079C"/>
    <w:rsid w:val="007724BA"/>
    <w:rsid w:val="00773218"/>
    <w:rsid w:val="007739FB"/>
    <w:rsid w:val="00775701"/>
    <w:rsid w:val="00775C01"/>
    <w:rsid w:val="007767E4"/>
    <w:rsid w:val="00777798"/>
    <w:rsid w:val="00777E64"/>
    <w:rsid w:val="007809D1"/>
    <w:rsid w:val="00780ECC"/>
    <w:rsid w:val="0078161B"/>
    <w:rsid w:val="00781876"/>
    <w:rsid w:val="0078238B"/>
    <w:rsid w:val="007832DD"/>
    <w:rsid w:val="00783FC5"/>
    <w:rsid w:val="007844BA"/>
    <w:rsid w:val="0078580B"/>
    <w:rsid w:val="007864A4"/>
    <w:rsid w:val="0078679A"/>
    <w:rsid w:val="00786B0B"/>
    <w:rsid w:val="00786D6A"/>
    <w:rsid w:val="00790899"/>
    <w:rsid w:val="00791780"/>
    <w:rsid w:val="00792234"/>
    <w:rsid w:val="007922D1"/>
    <w:rsid w:val="007937D2"/>
    <w:rsid w:val="007939C4"/>
    <w:rsid w:val="00794553"/>
    <w:rsid w:val="0079467D"/>
    <w:rsid w:val="00794A08"/>
    <w:rsid w:val="007956CA"/>
    <w:rsid w:val="00796A7E"/>
    <w:rsid w:val="0079706C"/>
    <w:rsid w:val="007976DA"/>
    <w:rsid w:val="007A0C3F"/>
    <w:rsid w:val="007A1AFA"/>
    <w:rsid w:val="007A1D94"/>
    <w:rsid w:val="007A29D5"/>
    <w:rsid w:val="007A2A42"/>
    <w:rsid w:val="007A34C1"/>
    <w:rsid w:val="007A37E9"/>
    <w:rsid w:val="007A3C32"/>
    <w:rsid w:val="007A46F8"/>
    <w:rsid w:val="007A64C6"/>
    <w:rsid w:val="007A717B"/>
    <w:rsid w:val="007A73EC"/>
    <w:rsid w:val="007A7D40"/>
    <w:rsid w:val="007B17D1"/>
    <w:rsid w:val="007B3298"/>
    <w:rsid w:val="007B3BA7"/>
    <w:rsid w:val="007B529E"/>
    <w:rsid w:val="007B5B20"/>
    <w:rsid w:val="007B654B"/>
    <w:rsid w:val="007B6B2F"/>
    <w:rsid w:val="007B7FDD"/>
    <w:rsid w:val="007C04CE"/>
    <w:rsid w:val="007C0886"/>
    <w:rsid w:val="007C437E"/>
    <w:rsid w:val="007C79C3"/>
    <w:rsid w:val="007C7B16"/>
    <w:rsid w:val="007D0268"/>
    <w:rsid w:val="007D06D7"/>
    <w:rsid w:val="007D3F22"/>
    <w:rsid w:val="007D41D1"/>
    <w:rsid w:val="007D48F7"/>
    <w:rsid w:val="007D70AB"/>
    <w:rsid w:val="007D7D9E"/>
    <w:rsid w:val="007E1D44"/>
    <w:rsid w:val="007E1F23"/>
    <w:rsid w:val="007E2083"/>
    <w:rsid w:val="007E2292"/>
    <w:rsid w:val="007E273F"/>
    <w:rsid w:val="007E2AE3"/>
    <w:rsid w:val="007E3A65"/>
    <w:rsid w:val="007E3AC9"/>
    <w:rsid w:val="007E3E23"/>
    <w:rsid w:val="007E4EBF"/>
    <w:rsid w:val="007E5847"/>
    <w:rsid w:val="007F0023"/>
    <w:rsid w:val="007F0076"/>
    <w:rsid w:val="007F2648"/>
    <w:rsid w:val="007F3B01"/>
    <w:rsid w:val="007F5697"/>
    <w:rsid w:val="007F5FA4"/>
    <w:rsid w:val="007F7A84"/>
    <w:rsid w:val="008006D6"/>
    <w:rsid w:val="00800D56"/>
    <w:rsid w:val="00801E19"/>
    <w:rsid w:val="00803E92"/>
    <w:rsid w:val="00804900"/>
    <w:rsid w:val="0080784A"/>
    <w:rsid w:val="00807F53"/>
    <w:rsid w:val="008100BB"/>
    <w:rsid w:val="00812904"/>
    <w:rsid w:val="00812C4B"/>
    <w:rsid w:val="008140F6"/>
    <w:rsid w:val="00814FCB"/>
    <w:rsid w:val="0081550D"/>
    <w:rsid w:val="008158CC"/>
    <w:rsid w:val="0081736A"/>
    <w:rsid w:val="00820020"/>
    <w:rsid w:val="00820464"/>
    <w:rsid w:val="008212C2"/>
    <w:rsid w:val="008215D2"/>
    <w:rsid w:val="00823681"/>
    <w:rsid w:val="00823E03"/>
    <w:rsid w:val="00823F5D"/>
    <w:rsid w:val="0082428F"/>
    <w:rsid w:val="0082477C"/>
    <w:rsid w:val="00825066"/>
    <w:rsid w:val="00827275"/>
    <w:rsid w:val="008272F4"/>
    <w:rsid w:val="00834285"/>
    <w:rsid w:val="0083565A"/>
    <w:rsid w:val="008369FC"/>
    <w:rsid w:val="00837128"/>
    <w:rsid w:val="0083758E"/>
    <w:rsid w:val="008410E9"/>
    <w:rsid w:val="00841877"/>
    <w:rsid w:val="00841B86"/>
    <w:rsid w:val="00842132"/>
    <w:rsid w:val="008440EE"/>
    <w:rsid w:val="00844477"/>
    <w:rsid w:val="0084589F"/>
    <w:rsid w:val="0084593B"/>
    <w:rsid w:val="0084754B"/>
    <w:rsid w:val="00851C56"/>
    <w:rsid w:val="008545D0"/>
    <w:rsid w:val="00860C7F"/>
    <w:rsid w:val="00864195"/>
    <w:rsid w:val="0086523C"/>
    <w:rsid w:val="0086591F"/>
    <w:rsid w:val="00867717"/>
    <w:rsid w:val="0087113F"/>
    <w:rsid w:val="00871DF4"/>
    <w:rsid w:val="0087291B"/>
    <w:rsid w:val="00872F4B"/>
    <w:rsid w:val="0087659B"/>
    <w:rsid w:val="00876FA6"/>
    <w:rsid w:val="00883461"/>
    <w:rsid w:val="0088639C"/>
    <w:rsid w:val="0088668D"/>
    <w:rsid w:val="008907A3"/>
    <w:rsid w:val="00891CB1"/>
    <w:rsid w:val="00892140"/>
    <w:rsid w:val="00892DA9"/>
    <w:rsid w:val="00893EA8"/>
    <w:rsid w:val="00894341"/>
    <w:rsid w:val="00896D61"/>
    <w:rsid w:val="00897C98"/>
    <w:rsid w:val="00897DF4"/>
    <w:rsid w:val="008A173F"/>
    <w:rsid w:val="008A2CE3"/>
    <w:rsid w:val="008A347B"/>
    <w:rsid w:val="008A359D"/>
    <w:rsid w:val="008A3E07"/>
    <w:rsid w:val="008A4233"/>
    <w:rsid w:val="008A4F22"/>
    <w:rsid w:val="008A5F95"/>
    <w:rsid w:val="008A6E71"/>
    <w:rsid w:val="008B087A"/>
    <w:rsid w:val="008B5612"/>
    <w:rsid w:val="008B70AE"/>
    <w:rsid w:val="008B7998"/>
    <w:rsid w:val="008B7AB2"/>
    <w:rsid w:val="008C0805"/>
    <w:rsid w:val="008C1CB2"/>
    <w:rsid w:val="008C1D9C"/>
    <w:rsid w:val="008C4B9A"/>
    <w:rsid w:val="008C6DB9"/>
    <w:rsid w:val="008C748F"/>
    <w:rsid w:val="008D1575"/>
    <w:rsid w:val="008D16DD"/>
    <w:rsid w:val="008D2535"/>
    <w:rsid w:val="008D5F61"/>
    <w:rsid w:val="008D68BA"/>
    <w:rsid w:val="008D6C4D"/>
    <w:rsid w:val="008E0F2C"/>
    <w:rsid w:val="008E1C26"/>
    <w:rsid w:val="008E1CF0"/>
    <w:rsid w:val="008E3CBD"/>
    <w:rsid w:val="008E4623"/>
    <w:rsid w:val="008E532C"/>
    <w:rsid w:val="008E5B9C"/>
    <w:rsid w:val="008E5C6E"/>
    <w:rsid w:val="008E623D"/>
    <w:rsid w:val="008E6F97"/>
    <w:rsid w:val="008E72CA"/>
    <w:rsid w:val="008E7AD9"/>
    <w:rsid w:val="008E7DD7"/>
    <w:rsid w:val="008F0C2E"/>
    <w:rsid w:val="008F15CE"/>
    <w:rsid w:val="008F1822"/>
    <w:rsid w:val="008F21B7"/>
    <w:rsid w:val="008F3FE5"/>
    <w:rsid w:val="008F45E8"/>
    <w:rsid w:val="008F4C09"/>
    <w:rsid w:val="008F5690"/>
    <w:rsid w:val="008F73DB"/>
    <w:rsid w:val="00900C80"/>
    <w:rsid w:val="00900C9A"/>
    <w:rsid w:val="00902494"/>
    <w:rsid w:val="009037AD"/>
    <w:rsid w:val="00904E52"/>
    <w:rsid w:val="00906A4F"/>
    <w:rsid w:val="00907045"/>
    <w:rsid w:val="009078A5"/>
    <w:rsid w:val="00907A9E"/>
    <w:rsid w:val="009134A4"/>
    <w:rsid w:val="009136C7"/>
    <w:rsid w:val="00913C68"/>
    <w:rsid w:val="0091541D"/>
    <w:rsid w:val="00917D6C"/>
    <w:rsid w:val="00917E40"/>
    <w:rsid w:val="00922FBE"/>
    <w:rsid w:val="009236EA"/>
    <w:rsid w:val="009245C5"/>
    <w:rsid w:val="00924773"/>
    <w:rsid w:val="00924813"/>
    <w:rsid w:val="00924865"/>
    <w:rsid w:val="00925ADE"/>
    <w:rsid w:val="00925D26"/>
    <w:rsid w:val="009260E8"/>
    <w:rsid w:val="009265FE"/>
    <w:rsid w:val="00927233"/>
    <w:rsid w:val="00927442"/>
    <w:rsid w:val="00935324"/>
    <w:rsid w:val="00935495"/>
    <w:rsid w:val="00937325"/>
    <w:rsid w:val="009375CF"/>
    <w:rsid w:val="0094075E"/>
    <w:rsid w:val="00941234"/>
    <w:rsid w:val="00941CCD"/>
    <w:rsid w:val="00942FC9"/>
    <w:rsid w:val="00943A75"/>
    <w:rsid w:val="00944DB4"/>
    <w:rsid w:val="0094630F"/>
    <w:rsid w:val="00946602"/>
    <w:rsid w:val="009478A5"/>
    <w:rsid w:val="009501BE"/>
    <w:rsid w:val="00953B95"/>
    <w:rsid w:val="00953D9B"/>
    <w:rsid w:val="0095689D"/>
    <w:rsid w:val="0095772F"/>
    <w:rsid w:val="00961775"/>
    <w:rsid w:val="0096261A"/>
    <w:rsid w:val="00962781"/>
    <w:rsid w:val="00965954"/>
    <w:rsid w:val="00966227"/>
    <w:rsid w:val="00967028"/>
    <w:rsid w:val="009671ED"/>
    <w:rsid w:val="00967852"/>
    <w:rsid w:val="00970DF1"/>
    <w:rsid w:val="00970F93"/>
    <w:rsid w:val="009715B4"/>
    <w:rsid w:val="00971CE0"/>
    <w:rsid w:val="0097287D"/>
    <w:rsid w:val="00972AAA"/>
    <w:rsid w:val="00973469"/>
    <w:rsid w:val="00974F53"/>
    <w:rsid w:val="00975577"/>
    <w:rsid w:val="00975D46"/>
    <w:rsid w:val="009768CB"/>
    <w:rsid w:val="0097738B"/>
    <w:rsid w:val="00980956"/>
    <w:rsid w:val="00981B1B"/>
    <w:rsid w:val="00981D83"/>
    <w:rsid w:val="00982BF8"/>
    <w:rsid w:val="00983B51"/>
    <w:rsid w:val="00984C18"/>
    <w:rsid w:val="009873D7"/>
    <w:rsid w:val="0099027C"/>
    <w:rsid w:val="009906BC"/>
    <w:rsid w:val="0099127E"/>
    <w:rsid w:val="00992879"/>
    <w:rsid w:val="00992C28"/>
    <w:rsid w:val="009940EA"/>
    <w:rsid w:val="00995B4E"/>
    <w:rsid w:val="009A05E7"/>
    <w:rsid w:val="009A1204"/>
    <w:rsid w:val="009A1C4F"/>
    <w:rsid w:val="009A356D"/>
    <w:rsid w:val="009A38A7"/>
    <w:rsid w:val="009A67EA"/>
    <w:rsid w:val="009A701B"/>
    <w:rsid w:val="009A76B0"/>
    <w:rsid w:val="009A78FF"/>
    <w:rsid w:val="009A7FEA"/>
    <w:rsid w:val="009B15CF"/>
    <w:rsid w:val="009B164B"/>
    <w:rsid w:val="009B1BB1"/>
    <w:rsid w:val="009B1BBE"/>
    <w:rsid w:val="009B3B86"/>
    <w:rsid w:val="009B49FC"/>
    <w:rsid w:val="009B4DC5"/>
    <w:rsid w:val="009B6AA7"/>
    <w:rsid w:val="009B6B1E"/>
    <w:rsid w:val="009B712E"/>
    <w:rsid w:val="009C0C88"/>
    <w:rsid w:val="009C4766"/>
    <w:rsid w:val="009C4FEF"/>
    <w:rsid w:val="009C6223"/>
    <w:rsid w:val="009D0B8C"/>
    <w:rsid w:val="009D4C02"/>
    <w:rsid w:val="009D4DB4"/>
    <w:rsid w:val="009D5FDE"/>
    <w:rsid w:val="009E01EE"/>
    <w:rsid w:val="009E0C7D"/>
    <w:rsid w:val="009E16A9"/>
    <w:rsid w:val="009E2614"/>
    <w:rsid w:val="009E399A"/>
    <w:rsid w:val="009E48FE"/>
    <w:rsid w:val="009E62D0"/>
    <w:rsid w:val="009E7373"/>
    <w:rsid w:val="009F01E2"/>
    <w:rsid w:val="009F0765"/>
    <w:rsid w:val="009F413E"/>
    <w:rsid w:val="009F419E"/>
    <w:rsid w:val="009F4603"/>
    <w:rsid w:val="009F5411"/>
    <w:rsid w:val="009F6DA5"/>
    <w:rsid w:val="009F7184"/>
    <w:rsid w:val="009F7366"/>
    <w:rsid w:val="009F79D0"/>
    <w:rsid w:val="00A0094B"/>
    <w:rsid w:val="00A01675"/>
    <w:rsid w:val="00A02854"/>
    <w:rsid w:val="00A029CC"/>
    <w:rsid w:val="00A02CE0"/>
    <w:rsid w:val="00A0353F"/>
    <w:rsid w:val="00A0369D"/>
    <w:rsid w:val="00A0483C"/>
    <w:rsid w:val="00A07999"/>
    <w:rsid w:val="00A07FBA"/>
    <w:rsid w:val="00A12F70"/>
    <w:rsid w:val="00A15325"/>
    <w:rsid w:val="00A158BD"/>
    <w:rsid w:val="00A1765E"/>
    <w:rsid w:val="00A22673"/>
    <w:rsid w:val="00A2389C"/>
    <w:rsid w:val="00A23C36"/>
    <w:rsid w:val="00A2528D"/>
    <w:rsid w:val="00A254E7"/>
    <w:rsid w:val="00A263E8"/>
    <w:rsid w:val="00A26B27"/>
    <w:rsid w:val="00A26B41"/>
    <w:rsid w:val="00A26C53"/>
    <w:rsid w:val="00A27B39"/>
    <w:rsid w:val="00A30197"/>
    <w:rsid w:val="00A3063A"/>
    <w:rsid w:val="00A32281"/>
    <w:rsid w:val="00A32822"/>
    <w:rsid w:val="00A337D5"/>
    <w:rsid w:val="00A3453E"/>
    <w:rsid w:val="00A34F26"/>
    <w:rsid w:val="00A376A5"/>
    <w:rsid w:val="00A40126"/>
    <w:rsid w:val="00A41315"/>
    <w:rsid w:val="00A41C5F"/>
    <w:rsid w:val="00A42CA2"/>
    <w:rsid w:val="00A42FDC"/>
    <w:rsid w:val="00A431B4"/>
    <w:rsid w:val="00A44C8C"/>
    <w:rsid w:val="00A44FE1"/>
    <w:rsid w:val="00A45AD4"/>
    <w:rsid w:val="00A460F3"/>
    <w:rsid w:val="00A4629B"/>
    <w:rsid w:val="00A50007"/>
    <w:rsid w:val="00A511EC"/>
    <w:rsid w:val="00A52689"/>
    <w:rsid w:val="00A5368F"/>
    <w:rsid w:val="00A537AB"/>
    <w:rsid w:val="00A53CD2"/>
    <w:rsid w:val="00A543E6"/>
    <w:rsid w:val="00A5588D"/>
    <w:rsid w:val="00A55BDD"/>
    <w:rsid w:val="00A5601C"/>
    <w:rsid w:val="00A5626C"/>
    <w:rsid w:val="00A601D0"/>
    <w:rsid w:val="00A61B90"/>
    <w:rsid w:val="00A61C7A"/>
    <w:rsid w:val="00A629AE"/>
    <w:rsid w:val="00A67A5A"/>
    <w:rsid w:val="00A70935"/>
    <w:rsid w:val="00A71B81"/>
    <w:rsid w:val="00A71DD7"/>
    <w:rsid w:val="00A73B33"/>
    <w:rsid w:val="00A73FA4"/>
    <w:rsid w:val="00A75A9C"/>
    <w:rsid w:val="00A75D9B"/>
    <w:rsid w:val="00A7683C"/>
    <w:rsid w:val="00A76CF2"/>
    <w:rsid w:val="00A76D67"/>
    <w:rsid w:val="00A770B0"/>
    <w:rsid w:val="00A77312"/>
    <w:rsid w:val="00A773AA"/>
    <w:rsid w:val="00A814A0"/>
    <w:rsid w:val="00A81FF6"/>
    <w:rsid w:val="00A8211B"/>
    <w:rsid w:val="00A827FE"/>
    <w:rsid w:val="00A82891"/>
    <w:rsid w:val="00A87375"/>
    <w:rsid w:val="00A875A7"/>
    <w:rsid w:val="00A875F3"/>
    <w:rsid w:val="00A90647"/>
    <w:rsid w:val="00A914C6"/>
    <w:rsid w:val="00A916B8"/>
    <w:rsid w:val="00A926A3"/>
    <w:rsid w:val="00A929E3"/>
    <w:rsid w:val="00A9340C"/>
    <w:rsid w:val="00A96E74"/>
    <w:rsid w:val="00A97E17"/>
    <w:rsid w:val="00AA0419"/>
    <w:rsid w:val="00AA0B13"/>
    <w:rsid w:val="00AA1B3B"/>
    <w:rsid w:val="00AA1D25"/>
    <w:rsid w:val="00AA48BF"/>
    <w:rsid w:val="00AA4A18"/>
    <w:rsid w:val="00AA4AED"/>
    <w:rsid w:val="00AA7547"/>
    <w:rsid w:val="00AB0CE5"/>
    <w:rsid w:val="00AB4FD4"/>
    <w:rsid w:val="00AB5CDF"/>
    <w:rsid w:val="00AB669F"/>
    <w:rsid w:val="00AC0AA8"/>
    <w:rsid w:val="00AC1364"/>
    <w:rsid w:val="00AC2063"/>
    <w:rsid w:val="00AC2371"/>
    <w:rsid w:val="00AC347B"/>
    <w:rsid w:val="00AC3C21"/>
    <w:rsid w:val="00AC3DC0"/>
    <w:rsid w:val="00AC4018"/>
    <w:rsid w:val="00AC4F32"/>
    <w:rsid w:val="00AC5E50"/>
    <w:rsid w:val="00AC620A"/>
    <w:rsid w:val="00AD4711"/>
    <w:rsid w:val="00AD5E2D"/>
    <w:rsid w:val="00AD6733"/>
    <w:rsid w:val="00AD67BE"/>
    <w:rsid w:val="00AD6835"/>
    <w:rsid w:val="00AE01CA"/>
    <w:rsid w:val="00AE1063"/>
    <w:rsid w:val="00AE1A51"/>
    <w:rsid w:val="00AE34BB"/>
    <w:rsid w:val="00AE3DCE"/>
    <w:rsid w:val="00AE5029"/>
    <w:rsid w:val="00AE5884"/>
    <w:rsid w:val="00AE6782"/>
    <w:rsid w:val="00AE7C72"/>
    <w:rsid w:val="00AF082A"/>
    <w:rsid w:val="00AF0B04"/>
    <w:rsid w:val="00AF0BB2"/>
    <w:rsid w:val="00AF155C"/>
    <w:rsid w:val="00AF3E62"/>
    <w:rsid w:val="00AF7622"/>
    <w:rsid w:val="00AF793D"/>
    <w:rsid w:val="00AF7A4B"/>
    <w:rsid w:val="00B00B8F"/>
    <w:rsid w:val="00B00B9C"/>
    <w:rsid w:val="00B00D7E"/>
    <w:rsid w:val="00B015B3"/>
    <w:rsid w:val="00B026D1"/>
    <w:rsid w:val="00B0356C"/>
    <w:rsid w:val="00B03D85"/>
    <w:rsid w:val="00B03ED7"/>
    <w:rsid w:val="00B041BC"/>
    <w:rsid w:val="00B042BB"/>
    <w:rsid w:val="00B04F2E"/>
    <w:rsid w:val="00B0526F"/>
    <w:rsid w:val="00B05556"/>
    <w:rsid w:val="00B05596"/>
    <w:rsid w:val="00B05F53"/>
    <w:rsid w:val="00B0610F"/>
    <w:rsid w:val="00B07158"/>
    <w:rsid w:val="00B12118"/>
    <w:rsid w:val="00B12441"/>
    <w:rsid w:val="00B13449"/>
    <w:rsid w:val="00B13AC0"/>
    <w:rsid w:val="00B13C1B"/>
    <w:rsid w:val="00B1449F"/>
    <w:rsid w:val="00B1760C"/>
    <w:rsid w:val="00B2206E"/>
    <w:rsid w:val="00B23C83"/>
    <w:rsid w:val="00B242CA"/>
    <w:rsid w:val="00B24409"/>
    <w:rsid w:val="00B24F96"/>
    <w:rsid w:val="00B250B7"/>
    <w:rsid w:val="00B25E8E"/>
    <w:rsid w:val="00B26394"/>
    <w:rsid w:val="00B26FCC"/>
    <w:rsid w:val="00B304D4"/>
    <w:rsid w:val="00B30B76"/>
    <w:rsid w:val="00B33036"/>
    <w:rsid w:val="00B33F35"/>
    <w:rsid w:val="00B361CE"/>
    <w:rsid w:val="00B36426"/>
    <w:rsid w:val="00B422C3"/>
    <w:rsid w:val="00B42A38"/>
    <w:rsid w:val="00B45F1D"/>
    <w:rsid w:val="00B463FB"/>
    <w:rsid w:val="00B50498"/>
    <w:rsid w:val="00B5255C"/>
    <w:rsid w:val="00B52806"/>
    <w:rsid w:val="00B52BB6"/>
    <w:rsid w:val="00B55AD9"/>
    <w:rsid w:val="00B55F25"/>
    <w:rsid w:val="00B607F4"/>
    <w:rsid w:val="00B61107"/>
    <w:rsid w:val="00B611F1"/>
    <w:rsid w:val="00B61BE0"/>
    <w:rsid w:val="00B63FFC"/>
    <w:rsid w:val="00B64535"/>
    <w:rsid w:val="00B659A1"/>
    <w:rsid w:val="00B663A8"/>
    <w:rsid w:val="00B67399"/>
    <w:rsid w:val="00B67A08"/>
    <w:rsid w:val="00B702DF"/>
    <w:rsid w:val="00B70D4D"/>
    <w:rsid w:val="00B70EC5"/>
    <w:rsid w:val="00B71091"/>
    <w:rsid w:val="00B7205F"/>
    <w:rsid w:val="00B727A4"/>
    <w:rsid w:val="00B72952"/>
    <w:rsid w:val="00B74BA1"/>
    <w:rsid w:val="00B838FE"/>
    <w:rsid w:val="00B83F90"/>
    <w:rsid w:val="00B841E2"/>
    <w:rsid w:val="00B85193"/>
    <w:rsid w:val="00B86256"/>
    <w:rsid w:val="00B87386"/>
    <w:rsid w:val="00B87B7D"/>
    <w:rsid w:val="00B87F9F"/>
    <w:rsid w:val="00B91282"/>
    <w:rsid w:val="00B91842"/>
    <w:rsid w:val="00B91E22"/>
    <w:rsid w:val="00B92EFC"/>
    <w:rsid w:val="00B95557"/>
    <w:rsid w:val="00B958EA"/>
    <w:rsid w:val="00B95919"/>
    <w:rsid w:val="00B96135"/>
    <w:rsid w:val="00B97682"/>
    <w:rsid w:val="00BA0160"/>
    <w:rsid w:val="00BA115E"/>
    <w:rsid w:val="00BA1A3A"/>
    <w:rsid w:val="00BA1C3F"/>
    <w:rsid w:val="00BA6348"/>
    <w:rsid w:val="00BA6795"/>
    <w:rsid w:val="00BA6CFE"/>
    <w:rsid w:val="00BA6D14"/>
    <w:rsid w:val="00BA742E"/>
    <w:rsid w:val="00BA74B5"/>
    <w:rsid w:val="00BA77EE"/>
    <w:rsid w:val="00BB0549"/>
    <w:rsid w:val="00BB178F"/>
    <w:rsid w:val="00BB221E"/>
    <w:rsid w:val="00BB2C3E"/>
    <w:rsid w:val="00BB2DDE"/>
    <w:rsid w:val="00BB310D"/>
    <w:rsid w:val="00BB3F72"/>
    <w:rsid w:val="00BB4671"/>
    <w:rsid w:val="00BB5125"/>
    <w:rsid w:val="00BB678C"/>
    <w:rsid w:val="00BB764A"/>
    <w:rsid w:val="00BB7D40"/>
    <w:rsid w:val="00BC0D06"/>
    <w:rsid w:val="00BC133A"/>
    <w:rsid w:val="00BC1B31"/>
    <w:rsid w:val="00BC28F0"/>
    <w:rsid w:val="00BC3323"/>
    <w:rsid w:val="00BC4364"/>
    <w:rsid w:val="00BC46AD"/>
    <w:rsid w:val="00BC5E6C"/>
    <w:rsid w:val="00BD1142"/>
    <w:rsid w:val="00BD169B"/>
    <w:rsid w:val="00BD2769"/>
    <w:rsid w:val="00BD45C8"/>
    <w:rsid w:val="00BD5C0B"/>
    <w:rsid w:val="00BD6740"/>
    <w:rsid w:val="00BD6CA1"/>
    <w:rsid w:val="00BE000F"/>
    <w:rsid w:val="00BE0111"/>
    <w:rsid w:val="00BE0A45"/>
    <w:rsid w:val="00BE0F83"/>
    <w:rsid w:val="00BF1326"/>
    <w:rsid w:val="00BF2B99"/>
    <w:rsid w:val="00BF2CA6"/>
    <w:rsid w:val="00BF2DE9"/>
    <w:rsid w:val="00BF4737"/>
    <w:rsid w:val="00BF7482"/>
    <w:rsid w:val="00BF7765"/>
    <w:rsid w:val="00BF7D35"/>
    <w:rsid w:val="00C01CE0"/>
    <w:rsid w:val="00C02621"/>
    <w:rsid w:val="00C046C3"/>
    <w:rsid w:val="00C04811"/>
    <w:rsid w:val="00C04B01"/>
    <w:rsid w:val="00C056C4"/>
    <w:rsid w:val="00C076D2"/>
    <w:rsid w:val="00C100C0"/>
    <w:rsid w:val="00C1405E"/>
    <w:rsid w:val="00C145CC"/>
    <w:rsid w:val="00C15D54"/>
    <w:rsid w:val="00C16488"/>
    <w:rsid w:val="00C16C66"/>
    <w:rsid w:val="00C1705E"/>
    <w:rsid w:val="00C1752D"/>
    <w:rsid w:val="00C2057D"/>
    <w:rsid w:val="00C26359"/>
    <w:rsid w:val="00C26E32"/>
    <w:rsid w:val="00C30CCE"/>
    <w:rsid w:val="00C32ACD"/>
    <w:rsid w:val="00C32CE0"/>
    <w:rsid w:val="00C36A73"/>
    <w:rsid w:val="00C36E17"/>
    <w:rsid w:val="00C3745C"/>
    <w:rsid w:val="00C378FA"/>
    <w:rsid w:val="00C4062A"/>
    <w:rsid w:val="00C409B9"/>
    <w:rsid w:val="00C4187B"/>
    <w:rsid w:val="00C443F6"/>
    <w:rsid w:val="00C4480F"/>
    <w:rsid w:val="00C449DF"/>
    <w:rsid w:val="00C46E03"/>
    <w:rsid w:val="00C46F0B"/>
    <w:rsid w:val="00C4702A"/>
    <w:rsid w:val="00C47370"/>
    <w:rsid w:val="00C473C5"/>
    <w:rsid w:val="00C5016E"/>
    <w:rsid w:val="00C519A3"/>
    <w:rsid w:val="00C52704"/>
    <w:rsid w:val="00C52901"/>
    <w:rsid w:val="00C52D82"/>
    <w:rsid w:val="00C53DB8"/>
    <w:rsid w:val="00C545FB"/>
    <w:rsid w:val="00C556C8"/>
    <w:rsid w:val="00C5586A"/>
    <w:rsid w:val="00C613AC"/>
    <w:rsid w:val="00C63A65"/>
    <w:rsid w:val="00C63C23"/>
    <w:rsid w:val="00C656B0"/>
    <w:rsid w:val="00C65B07"/>
    <w:rsid w:val="00C66E47"/>
    <w:rsid w:val="00C6710D"/>
    <w:rsid w:val="00C675D3"/>
    <w:rsid w:val="00C70ADF"/>
    <w:rsid w:val="00C70F0D"/>
    <w:rsid w:val="00C723A8"/>
    <w:rsid w:val="00C7389F"/>
    <w:rsid w:val="00C73955"/>
    <w:rsid w:val="00C73CFC"/>
    <w:rsid w:val="00C754D1"/>
    <w:rsid w:val="00C758D0"/>
    <w:rsid w:val="00C80A4C"/>
    <w:rsid w:val="00C81F6B"/>
    <w:rsid w:val="00C827CD"/>
    <w:rsid w:val="00C8326D"/>
    <w:rsid w:val="00C83DD8"/>
    <w:rsid w:val="00C8472F"/>
    <w:rsid w:val="00C902CF"/>
    <w:rsid w:val="00C92079"/>
    <w:rsid w:val="00C92BC8"/>
    <w:rsid w:val="00C936C2"/>
    <w:rsid w:val="00C93A97"/>
    <w:rsid w:val="00C96D1F"/>
    <w:rsid w:val="00CA003C"/>
    <w:rsid w:val="00CA3098"/>
    <w:rsid w:val="00CA4886"/>
    <w:rsid w:val="00CA5B4B"/>
    <w:rsid w:val="00CA679C"/>
    <w:rsid w:val="00CA6C66"/>
    <w:rsid w:val="00CA771B"/>
    <w:rsid w:val="00CA7C19"/>
    <w:rsid w:val="00CB0925"/>
    <w:rsid w:val="00CB3C62"/>
    <w:rsid w:val="00CB4D9A"/>
    <w:rsid w:val="00CB54C4"/>
    <w:rsid w:val="00CB5CE6"/>
    <w:rsid w:val="00CC1569"/>
    <w:rsid w:val="00CC1683"/>
    <w:rsid w:val="00CC189C"/>
    <w:rsid w:val="00CC1C98"/>
    <w:rsid w:val="00CC47F7"/>
    <w:rsid w:val="00CC4A7F"/>
    <w:rsid w:val="00CC51B2"/>
    <w:rsid w:val="00CC6128"/>
    <w:rsid w:val="00CC63F1"/>
    <w:rsid w:val="00CC6D5B"/>
    <w:rsid w:val="00CC73D2"/>
    <w:rsid w:val="00CC7F08"/>
    <w:rsid w:val="00CD0846"/>
    <w:rsid w:val="00CD12B4"/>
    <w:rsid w:val="00CD1FA4"/>
    <w:rsid w:val="00CD289C"/>
    <w:rsid w:val="00CD3B62"/>
    <w:rsid w:val="00CD4671"/>
    <w:rsid w:val="00CD53CC"/>
    <w:rsid w:val="00CE1629"/>
    <w:rsid w:val="00CE30D5"/>
    <w:rsid w:val="00CE38CB"/>
    <w:rsid w:val="00CE4381"/>
    <w:rsid w:val="00CE43CE"/>
    <w:rsid w:val="00CE5A2D"/>
    <w:rsid w:val="00CE61A6"/>
    <w:rsid w:val="00CE6741"/>
    <w:rsid w:val="00CF04A3"/>
    <w:rsid w:val="00CF2CAB"/>
    <w:rsid w:val="00CF363A"/>
    <w:rsid w:val="00CF5FEC"/>
    <w:rsid w:val="00CF6D51"/>
    <w:rsid w:val="00D00AB4"/>
    <w:rsid w:val="00D02475"/>
    <w:rsid w:val="00D045E8"/>
    <w:rsid w:val="00D0676F"/>
    <w:rsid w:val="00D06A16"/>
    <w:rsid w:val="00D06F49"/>
    <w:rsid w:val="00D07828"/>
    <w:rsid w:val="00D079A9"/>
    <w:rsid w:val="00D10AC5"/>
    <w:rsid w:val="00D112C9"/>
    <w:rsid w:val="00D11E00"/>
    <w:rsid w:val="00D12917"/>
    <w:rsid w:val="00D13D6A"/>
    <w:rsid w:val="00D1473B"/>
    <w:rsid w:val="00D14BAE"/>
    <w:rsid w:val="00D158F6"/>
    <w:rsid w:val="00D1596C"/>
    <w:rsid w:val="00D15C53"/>
    <w:rsid w:val="00D16814"/>
    <w:rsid w:val="00D1743E"/>
    <w:rsid w:val="00D2035D"/>
    <w:rsid w:val="00D20401"/>
    <w:rsid w:val="00D21560"/>
    <w:rsid w:val="00D23514"/>
    <w:rsid w:val="00D23D8D"/>
    <w:rsid w:val="00D23D8F"/>
    <w:rsid w:val="00D245C9"/>
    <w:rsid w:val="00D25005"/>
    <w:rsid w:val="00D27443"/>
    <w:rsid w:val="00D312DA"/>
    <w:rsid w:val="00D332B1"/>
    <w:rsid w:val="00D357BD"/>
    <w:rsid w:val="00D35F56"/>
    <w:rsid w:val="00D368AB"/>
    <w:rsid w:val="00D36AB0"/>
    <w:rsid w:val="00D417E2"/>
    <w:rsid w:val="00D418C5"/>
    <w:rsid w:val="00D41B7C"/>
    <w:rsid w:val="00D442A4"/>
    <w:rsid w:val="00D4437A"/>
    <w:rsid w:val="00D44534"/>
    <w:rsid w:val="00D44F6E"/>
    <w:rsid w:val="00D46BDE"/>
    <w:rsid w:val="00D50E33"/>
    <w:rsid w:val="00D50E4D"/>
    <w:rsid w:val="00D51507"/>
    <w:rsid w:val="00D54451"/>
    <w:rsid w:val="00D54F3B"/>
    <w:rsid w:val="00D553F6"/>
    <w:rsid w:val="00D55869"/>
    <w:rsid w:val="00D56602"/>
    <w:rsid w:val="00D5748C"/>
    <w:rsid w:val="00D61ADC"/>
    <w:rsid w:val="00D63699"/>
    <w:rsid w:val="00D7100A"/>
    <w:rsid w:val="00D7112C"/>
    <w:rsid w:val="00D71836"/>
    <w:rsid w:val="00D72088"/>
    <w:rsid w:val="00D7247B"/>
    <w:rsid w:val="00D72793"/>
    <w:rsid w:val="00D73186"/>
    <w:rsid w:val="00D74C2C"/>
    <w:rsid w:val="00D76391"/>
    <w:rsid w:val="00D81EB0"/>
    <w:rsid w:val="00D82F1D"/>
    <w:rsid w:val="00D83CE3"/>
    <w:rsid w:val="00D844EA"/>
    <w:rsid w:val="00D84CF2"/>
    <w:rsid w:val="00D855D0"/>
    <w:rsid w:val="00D85963"/>
    <w:rsid w:val="00D912C0"/>
    <w:rsid w:val="00D92776"/>
    <w:rsid w:val="00D940F4"/>
    <w:rsid w:val="00D94826"/>
    <w:rsid w:val="00D95057"/>
    <w:rsid w:val="00D95161"/>
    <w:rsid w:val="00D958FF"/>
    <w:rsid w:val="00D960D4"/>
    <w:rsid w:val="00D9643D"/>
    <w:rsid w:val="00D96A7A"/>
    <w:rsid w:val="00D970B2"/>
    <w:rsid w:val="00DA0169"/>
    <w:rsid w:val="00DA10D5"/>
    <w:rsid w:val="00DA1971"/>
    <w:rsid w:val="00DA2C1C"/>
    <w:rsid w:val="00DA6525"/>
    <w:rsid w:val="00DA686F"/>
    <w:rsid w:val="00DA6AF8"/>
    <w:rsid w:val="00DA6BB1"/>
    <w:rsid w:val="00DB0409"/>
    <w:rsid w:val="00DB12C2"/>
    <w:rsid w:val="00DB1A9E"/>
    <w:rsid w:val="00DB213B"/>
    <w:rsid w:val="00DB3F1A"/>
    <w:rsid w:val="00DB506B"/>
    <w:rsid w:val="00DB664C"/>
    <w:rsid w:val="00DB6E2D"/>
    <w:rsid w:val="00DC061C"/>
    <w:rsid w:val="00DC2BA1"/>
    <w:rsid w:val="00DC3027"/>
    <w:rsid w:val="00DC4F30"/>
    <w:rsid w:val="00DC5E20"/>
    <w:rsid w:val="00DD3DB5"/>
    <w:rsid w:val="00DD4AE1"/>
    <w:rsid w:val="00DD6AF3"/>
    <w:rsid w:val="00DD711E"/>
    <w:rsid w:val="00DE081D"/>
    <w:rsid w:val="00DE1C47"/>
    <w:rsid w:val="00DE1EF7"/>
    <w:rsid w:val="00DE2B8C"/>
    <w:rsid w:val="00DE2E4A"/>
    <w:rsid w:val="00DE3346"/>
    <w:rsid w:val="00DE48FA"/>
    <w:rsid w:val="00DE509C"/>
    <w:rsid w:val="00DE50F8"/>
    <w:rsid w:val="00DE5D75"/>
    <w:rsid w:val="00DE63C0"/>
    <w:rsid w:val="00DE69FD"/>
    <w:rsid w:val="00DF1B5D"/>
    <w:rsid w:val="00DF67FA"/>
    <w:rsid w:val="00DF6936"/>
    <w:rsid w:val="00DF7037"/>
    <w:rsid w:val="00DF7412"/>
    <w:rsid w:val="00DF7BE7"/>
    <w:rsid w:val="00E012CA"/>
    <w:rsid w:val="00E01DB8"/>
    <w:rsid w:val="00E0229F"/>
    <w:rsid w:val="00E02483"/>
    <w:rsid w:val="00E044E7"/>
    <w:rsid w:val="00E045EE"/>
    <w:rsid w:val="00E0501B"/>
    <w:rsid w:val="00E057B1"/>
    <w:rsid w:val="00E05E73"/>
    <w:rsid w:val="00E07F7C"/>
    <w:rsid w:val="00E10713"/>
    <w:rsid w:val="00E1189A"/>
    <w:rsid w:val="00E11FFA"/>
    <w:rsid w:val="00E12FD4"/>
    <w:rsid w:val="00E13792"/>
    <w:rsid w:val="00E20B9A"/>
    <w:rsid w:val="00E213DD"/>
    <w:rsid w:val="00E21570"/>
    <w:rsid w:val="00E223B1"/>
    <w:rsid w:val="00E22A5A"/>
    <w:rsid w:val="00E252B0"/>
    <w:rsid w:val="00E258A4"/>
    <w:rsid w:val="00E2705C"/>
    <w:rsid w:val="00E27DAB"/>
    <w:rsid w:val="00E3407A"/>
    <w:rsid w:val="00E35848"/>
    <w:rsid w:val="00E35BB9"/>
    <w:rsid w:val="00E4512A"/>
    <w:rsid w:val="00E453E8"/>
    <w:rsid w:val="00E45D53"/>
    <w:rsid w:val="00E50C64"/>
    <w:rsid w:val="00E51F05"/>
    <w:rsid w:val="00E533CF"/>
    <w:rsid w:val="00E53D7E"/>
    <w:rsid w:val="00E54293"/>
    <w:rsid w:val="00E56A72"/>
    <w:rsid w:val="00E57A55"/>
    <w:rsid w:val="00E60552"/>
    <w:rsid w:val="00E6062A"/>
    <w:rsid w:val="00E616FB"/>
    <w:rsid w:val="00E6221C"/>
    <w:rsid w:val="00E62DFF"/>
    <w:rsid w:val="00E637B1"/>
    <w:rsid w:val="00E646D6"/>
    <w:rsid w:val="00E65370"/>
    <w:rsid w:val="00E6664B"/>
    <w:rsid w:val="00E66B34"/>
    <w:rsid w:val="00E70076"/>
    <w:rsid w:val="00E70581"/>
    <w:rsid w:val="00E70B93"/>
    <w:rsid w:val="00E75052"/>
    <w:rsid w:val="00E77477"/>
    <w:rsid w:val="00E77DD9"/>
    <w:rsid w:val="00E81E22"/>
    <w:rsid w:val="00E82976"/>
    <w:rsid w:val="00E82A68"/>
    <w:rsid w:val="00E832DA"/>
    <w:rsid w:val="00E83A7E"/>
    <w:rsid w:val="00E85005"/>
    <w:rsid w:val="00E85D89"/>
    <w:rsid w:val="00E87BB8"/>
    <w:rsid w:val="00E87FA4"/>
    <w:rsid w:val="00E915E0"/>
    <w:rsid w:val="00E929BF"/>
    <w:rsid w:val="00E941BE"/>
    <w:rsid w:val="00E9463D"/>
    <w:rsid w:val="00E948D0"/>
    <w:rsid w:val="00E94A31"/>
    <w:rsid w:val="00E961DA"/>
    <w:rsid w:val="00E96658"/>
    <w:rsid w:val="00E968B6"/>
    <w:rsid w:val="00EA05D4"/>
    <w:rsid w:val="00EA23CB"/>
    <w:rsid w:val="00EA2568"/>
    <w:rsid w:val="00EA37D7"/>
    <w:rsid w:val="00EA3ED6"/>
    <w:rsid w:val="00EA7E4F"/>
    <w:rsid w:val="00EA7EEA"/>
    <w:rsid w:val="00EB0098"/>
    <w:rsid w:val="00EB07BB"/>
    <w:rsid w:val="00EB0813"/>
    <w:rsid w:val="00EB141A"/>
    <w:rsid w:val="00EB14DB"/>
    <w:rsid w:val="00EB1E3D"/>
    <w:rsid w:val="00EB28F5"/>
    <w:rsid w:val="00EB3F31"/>
    <w:rsid w:val="00EB4874"/>
    <w:rsid w:val="00EB6A0C"/>
    <w:rsid w:val="00EB6EA6"/>
    <w:rsid w:val="00EB7F82"/>
    <w:rsid w:val="00EC078B"/>
    <w:rsid w:val="00EC3827"/>
    <w:rsid w:val="00EC40A7"/>
    <w:rsid w:val="00EC4D51"/>
    <w:rsid w:val="00EC584A"/>
    <w:rsid w:val="00ED0074"/>
    <w:rsid w:val="00ED0459"/>
    <w:rsid w:val="00ED0D6A"/>
    <w:rsid w:val="00ED4842"/>
    <w:rsid w:val="00ED58D6"/>
    <w:rsid w:val="00EE0747"/>
    <w:rsid w:val="00EE0F58"/>
    <w:rsid w:val="00EE1735"/>
    <w:rsid w:val="00EE2D39"/>
    <w:rsid w:val="00EE328C"/>
    <w:rsid w:val="00EE346B"/>
    <w:rsid w:val="00EE352C"/>
    <w:rsid w:val="00EE3797"/>
    <w:rsid w:val="00EE37F1"/>
    <w:rsid w:val="00EE40FB"/>
    <w:rsid w:val="00EE5B03"/>
    <w:rsid w:val="00EE7AF6"/>
    <w:rsid w:val="00EF23C9"/>
    <w:rsid w:val="00EF24DC"/>
    <w:rsid w:val="00EF4247"/>
    <w:rsid w:val="00EF6717"/>
    <w:rsid w:val="00EF6CDB"/>
    <w:rsid w:val="00EF6CF1"/>
    <w:rsid w:val="00EF7A0F"/>
    <w:rsid w:val="00F00C13"/>
    <w:rsid w:val="00F0118D"/>
    <w:rsid w:val="00F013F6"/>
    <w:rsid w:val="00F01E70"/>
    <w:rsid w:val="00F01F6D"/>
    <w:rsid w:val="00F061D4"/>
    <w:rsid w:val="00F06769"/>
    <w:rsid w:val="00F06820"/>
    <w:rsid w:val="00F072D5"/>
    <w:rsid w:val="00F1240F"/>
    <w:rsid w:val="00F12553"/>
    <w:rsid w:val="00F14DB4"/>
    <w:rsid w:val="00F14E7C"/>
    <w:rsid w:val="00F15B42"/>
    <w:rsid w:val="00F20995"/>
    <w:rsid w:val="00F2121E"/>
    <w:rsid w:val="00F21850"/>
    <w:rsid w:val="00F238EA"/>
    <w:rsid w:val="00F23B30"/>
    <w:rsid w:val="00F2459E"/>
    <w:rsid w:val="00F2553E"/>
    <w:rsid w:val="00F259A9"/>
    <w:rsid w:val="00F2610C"/>
    <w:rsid w:val="00F26FFF"/>
    <w:rsid w:val="00F27248"/>
    <w:rsid w:val="00F278B2"/>
    <w:rsid w:val="00F3125A"/>
    <w:rsid w:val="00F32FBA"/>
    <w:rsid w:val="00F32FF7"/>
    <w:rsid w:val="00F3475B"/>
    <w:rsid w:val="00F415A1"/>
    <w:rsid w:val="00F4517B"/>
    <w:rsid w:val="00F455B6"/>
    <w:rsid w:val="00F45781"/>
    <w:rsid w:val="00F46A49"/>
    <w:rsid w:val="00F5039A"/>
    <w:rsid w:val="00F51943"/>
    <w:rsid w:val="00F52DCE"/>
    <w:rsid w:val="00F53995"/>
    <w:rsid w:val="00F544CF"/>
    <w:rsid w:val="00F577DB"/>
    <w:rsid w:val="00F6021C"/>
    <w:rsid w:val="00F60F30"/>
    <w:rsid w:val="00F621AF"/>
    <w:rsid w:val="00F633F5"/>
    <w:rsid w:val="00F64CC0"/>
    <w:rsid w:val="00F662B9"/>
    <w:rsid w:val="00F666EF"/>
    <w:rsid w:val="00F66D44"/>
    <w:rsid w:val="00F66DBA"/>
    <w:rsid w:val="00F70EA8"/>
    <w:rsid w:val="00F7168B"/>
    <w:rsid w:val="00F726C7"/>
    <w:rsid w:val="00F746BB"/>
    <w:rsid w:val="00F7494E"/>
    <w:rsid w:val="00F757C1"/>
    <w:rsid w:val="00F80311"/>
    <w:rsid w:val="00F803BD"/>
    <w:rsid w:val="00F80A90"/>
    <w:rsid w:val="00F81116"/>
    <w:rsid w:val="00F81191"/>
    <w:rsid w:val="00F82751"/>
    <w:rsid w:val="00F829A2"/>
    <w:rsid w:val="00F837AF"/>
    <w:rsid w:val="00F8394E"/>
    <w:rsid w:val="00F86038"/>
    <w:rsid w:val="00F90065"/>
    <w:rsid w:val="00F906F6"/>
    <w:rsid w:val="00F90A21"/>
    <w:rsid w:val="00F90C5B"/>
    <w:rsid w:val="00F90CE8"/>
    <w:rsid w:val="00F90CFA"/>
    <w:rsid w:val="00F91574"/>
    <w:rsid w:val="00F91F35"/>
    <w:rsid w:val="00F93093"/>
    <w:rsid w:val="00F9320F"/>
    <w:rsid w:val="00F94F37"/>
    <w:rsid w:val="00F96D07"/>
    <w:rsid w:val="00F9714B"/>
    <w:rsid w:val="00FA0AE8"/>
    <w:rsid w:val="00FA1B64"/>
    <w:rsid w:val="00FA2425"/>
    <w:rsid w:val="00FA31FB"/>
    <w:rsid w:val="00FA3D5D"/>
    <w:rsid w:val="00FA3E69"/>
    <w:rsid w:val="00FA6A20"/>
    <w:rsid w:val="00FB048A"/>
    <w:rsid w:val="00FB0789"/>
    <w:rsid w:val="00FB2092"/>
    <w:rsid w:val="00FB37C9"/>
    <w:rsid w:val="00FC4232"/>
    <w:rsid w:val="00FC4622"/>
    <w:rsid w:val="00FC5B0E"/>
    <w:rsid w:val="00FC5D6F"/>
    <w:rsid w:val="00FC60C9"/>
    <w:rsid w:val="00FC69CC"/>
    <w:rsid w:val="00FC6A58"/>
    <w:rsid w:val="00FC6C1C"/>
    <w:rsid w:val="00FC7E05"/>
    <w:rsid w:val="00FD1A3E"/>
    <w:rsid w:val="00FD2A1D"/>
    <w:rsid w:val="00FD47F4"/>
    <w:rsid w:val="00FE0C9C"/>
    <w:rsid w:val="00FE21C6"/>
    <w:rsid w:val="00FE23CF"/>
    <w:rsid w:val="00FE3535"/>
    <w:rsid w:val="00FE3A04"/>
    <w:rsid w:val="00FE6409"/>
    <w:rsid w:val="00FF2199"/>
    <w:rsid w:val="00FF2E3E"/>
    <w:rsid w:val="00FF3ABC"/>
    <w:rsid w:val="00FF41D0"/>
    <w:rsid w:val="00FF425C"/>
    <w:rsid w:val="00FF55E8"/>
    <w:rsid w:val="00FF6F00"/>
    <w:rsid w:val="00FF7592"/>
    <w:rsid w:val="5E4FB5CC"/>
    <w:rsid w:val="6AA6F864"/>
    <w:rsid w:val="74CFCC90"/>
    <w:rsid w:val="74DC7EED"/>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620315"/>
  <w15:docId w15:val="{ECB835AB-A1C3-4B71-9A80-A2D0E4436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4" w:uiPriority="44"/>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806"/>
    <w:pPr>
      <w:spacing w:line="480" w:lineRule="auto"/>
      <w:ind w:firstLine="432"/>
      <w:jc w:val="both"/>
    </w:pPr>
    <w:rPr>
      <w:sz w:val="24"/>
      <w:szCs w:val="24"/>
      <w:lang w:bidi="en-US"/>
    </w:rPr>
  </w:style>
  <w:style w:type="paragraph" w:styleId="1">
    <w:name w:val="heading 1"/>
    <w:next w:val="a"/>
    <w:link w:val="10"/>
    <w:autoRedefine/>
    <w:uiPriority w:val="9"/>
    <w:qFormat/>
    <w:rsid w:val="00C409B9"/>
    <w:pPr>
      <w:spacing w:line="480" w:lineRule="auto"/>
      <w:jc w:val="center"/>
      <w:outlineLvl w:val="0"/>
    </w:pPr>
    <w:rPr>
      <w:b/>
      <w:bCs/>
      <w:sz w:val="28"/>
      <w:szCs w:val="28"/>
      <w:lang w:bidi="en-US"/>
    </w:rPr>
  </w:style>
  <w:style w:type="paragraph" w:styleId="2">
    <w:name w:val="heading 2"/>
    <w:next w:val="a"/>
    <w:link w:val="20"/>
    <w:autoRedefine/>
    <w:uiPriority w:val="9"/>
    <w:unhideWhenUsed/>
    <w:qFormat/>
    <w:rsid w:val="00502CF5"/>
    <w:pPr>
      <w:keepNext/>
      <w:numPr>
        <w:ilvl w:val="1"/>
        <w:numId w:val="30"/>
      </w:numPr>
      <w:spacing w:line="480" w:lineRule="auto"/>
      <w:outlineLvl w:val="1"/>
    </w:pPr>
    <w:rPr>
      <w:b/>
      <w:bCs/>
      <w:iCs/>
      <w:sz w:val="24"/>
      <w:szCs w:val="28"/>
      <w:lang w:bidi="en-US"/>
    </w:rPr>
  </w:style>
  <w:style w:type="paragraph" w:styleId="3">
    <w:name w:val="heading 3"/>
    <w:next w:val="a"/>
    <w:link w:val="30"/>
    <w:autoRedefine/>
    <w:uiPriority w:val="9"/>
    <w:unhideWhenUsed/>
    <w:qFormat/>
    <w:rsid w:val="00502CF5"/>
    <w:pPr>
      <w:keepNext/>
      <w:numPr>
        <w:ilvl w:val="2"/>
        <w:numId w:val="30"/>
      </w:numPr>
      <w:spacing w:line="480" w:lineRule="auto"/>
      <w:outlineLvl w:val="2"/>
    </w:pPr>
    <w:rPr>
      <w:bCs/>
      <w:i/>
      <w:sz w:val="24"/>
      <w:szCs w:val="24"/>
      <w:lang w:bidi="en-US"/>
    </w:rPr>
  </w:style>
  <w:style w:type="paragraph" w:styleId="4">
    <w:name w:val="heading 4"/>
    <w:basedOn w:val="a"/>
    <w:next w:val="a"/>
    <w:link w:val="40"/>
    <w:uiPriority w:val="9"/>
    <w:unhideWhenUsed/>
    <w:rsid w:val="00117AD5"/>
    <w:pPr>
      <w:keepNext/>
      <w:numPr>
        <w:ilvl w:val="3"/>
        <w:numId w:val="27"/>
      </w:numPr>
      <w:spacing w:before="240" w:after="60"/>
      <w:outlineLvl w:val="3"/>
    </w:pPr>
    <w:rPr>
      <w:bCs/>
      <w:szCs w:val="28"/>
    </w:rPr>
  </w:style>
  <w:style w:type="paragraph" w:styleId="5">
    <w:name w:val="heading 5"/>
    <w:basedOn w:val="a"/>
    <w:next w:val="a"/>
    <w:link w:val="50"/>
    <w:uiPriority w:val="9"/>
    <w:semiHidden/>
    <w:unhideWhenUsed/>
    <w:qFormat/>
    <w:rsid w:val="003A060D"/>
    <w:pPr>
      <w:numPr>
        <w:ilvl w:val="4"/>
        <w:numId w:val="27"/>
      </w:numPr>
      <w:spacing w:before="240" w:after="60"/>
      <w:outlineLvl w:val="4"/>
    </w:pPr>
    <w:rPr>
      <w:b/>
      <w:bCs/>
      <w:i/>
      <w:iCs/>
      <w:sz w:val="26"/>
      <w:szCs w:val="26"/>
    </w:rPr>
  </w:style>
  <w:style w:type="paragraph" w:styleId="6">
    <w:name w:val="heading 6"/>
    <w:basedOn w:val="a"/>
    <w:next w:val="a"/>
    <w:link w:val="60"/>
    <w:uiPriority w:val="9"/>
    <w:semiHidden/>
    <w:unhideWhenUsed/>
    <w:qFormat/>
    <w:rsid w:val="003A060D"/>
    <w:pPr>
      <w:numPr>
        <w:ilvl w:val="5"/>
        <w:numId w:val="27"/>
      </w:numPr>
      <w:spacing w:before="240" w:after="60"/>
      <w:outlineLvl w:val="5"/>
    </w:pPr>
    <w:rPr>
      <w:b/>
      <w:bCs/>
      <w:sz w:val="22"/>
      <w:szCs w:val="22"/>
    </w:rPr>
  </w:style>
  <w:style w:type="paragraph" w:styleId="7">
    <w:name w:val="heading 7"/>
    <w:basedOn w:val="a"/>
    <w:next w:val="a"/>
    <w:link w:val="70"/>
    <w:uiPriority w:val="9"/>
    <w:semiHidden/>
    <w:unhideWhenUsed/>
    <w:qFormat/>
    <w:rsid w:val="003A060D"/>
    <w:pPr>
      <w:numPr>
        <w:ilvl w:val="6"/>
        <w:numId w:val="27"/>
      </w:numPr>
      <w:spacing w:before="240" w:after="60"/>
      <w:outlineLvl w:val="6"/>
    </w:pPr>
  </w:style>
  <w:style w:type="paragraph" w:styleId="8">
    <w:name w:val="heading 8"/>
    <w:basedOn w:val="a"/>
    <w:next w:val="a"/>
    <w:link w:val="80"/>
    <w:uiPriority w:val="9"/>
    <w:semiHidden/>
    <w:unhideWhenUsed/>
    <w:qFormat/>
    <w:rsid w:val="003A060D"/>
    <w:pPr>
      <w:numPr>
        <w:ilvl w:val="7"/>
        <w:numId w:val="27"/>
      </w:numPr>
      <w:spacing w:before="240" w:after="60"/>
      <w:outlineLvl w:val="7"/>
    </w:pPr>
    <w:rPr>
      <w:i/>
      <w:iCs/>
    </w:rPr>
  </w:style>
  <w:style w:type="paragraph" w:styleId="9">
    <w:name w:val="heading 9"/>
    <w:basedOn w:val="a"/>
    <w:next w:val="a"/>
    <w:link w:val="90"/>
    <w:uiPriority w:val="9"/>
    <w:semiHidden/>
    <w:unhideWhenUsed/>
    <w:qFormat/>
    <w:rsid w:val="003A060D"/>
    <w:pPr>
      <w:numPr>
        <w:ilvl w:val="8"/>
        <w:numId w:val="27"/>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C409B9"/>
    <w:rPr>
      <w:b/>
      <w:bCs/>
      <w:sz w:val="28"/>
      <w:szCs w:val="28"/>
      <w:lang w:bidi="en-US"/>
    </w:rPr>
  </w:style>
  <w:style w:type="character" w:customStyle="1" w:styleId="20">
    <w:name w:val="标题 2 字符"/>
    <w:link w:val="2"/>
    <w:uiPriority w:val="9"/>
    <w:rsid w:val="00502CF5"/>
    <w:rPr>
      <w:b/>
      <w:bCs/>
      <w:iCs/>
      <w:sz w:val="24"/>
      <w:szCs w:val="28"/>
      <w:lang w:bidi="en-US"/>
    </w:rPr>
  </w:style>
  <w:style w:type="character" w:customStyle="1" w:styleId="30">
    <w:name w:val="标题 3 字符"/>
    <w:link w:val="3"/>
    <w:uiPriority w:val="9"/>
    <w:rsid w:val="00502CF5"/>
    <w:rPr>
      <w:bCs/>
      <w:i/>
      <w:sz w:val="24"/>
      <w:szCs w:val="24"/>
      <w:lang w:bidi="en-US"/>
    </w:rPr>
  </w:style>
  <w:style w:type="character" w:customStyle="1" w:styleId="40">
    <w:name w:val="标题 4 字符"/>
    <w:link w:val="4"/>
    <w:uiPriority w:val="9"/>
    <w:rsid w:val="00117AD5"/>
    <w:rPr>
      <w:bCs/>
      <w:sz w:val="24"/>
      <w:szCs w:val="28"/>
      <w:lang w:bidi="en-US"/>
    </w:rPr>
  </w:style>
  <w:style w:type="character" w:customStyle="1" w:styleId="50">
    <w:name w:val="标题 5 字符"/>
    <w:link w:val="5"/>
    <w:uiPriority w:val="9"/>
    <w:semiHidden/>
    <w:rsid w:val="003A060D"/>
    <w:rPr>
      <w:rFonts w:cs="Times New Roman"/>
      <w:b/>
      <w:bCs/>
      <w:i/>
      <w:iCs/>
      <w:sz w:val="26"/>
      <w:szCs w:val="26"/>
    </w:rPr>
  </w:style>
  <w:style w:type="character" w:customStyle="1" w:styleId="60">
    <w:name w:val="标题 6 字符"/>
    <w:link w:val="6"/>
    <w:uiPriority w:val="9"/>
    <w:semiHidden/>
    <w:rsid w:val="003A060D"/>
    <w:rPr>
      <w:rFonts w:cs="Times New Roman"/>
      <w:b/>
      <w:bCs/>
    </w:rPr>
  </w:style>
  <w:style w:type="character" w:customStyle="1" w:styleId="70">
    <w:name w:val="标题 7 字符"/>
    <w:link w:val="7"/>
    <w:uiPriority w:val="9"/>
    <w:semiHidden/>
    <w:rsid w:val="003A060D"/>
    <w:rPr>
      <w:rFonts w:cs="Times New Roman"/>
      <w:sz w:val="24"/>
      <w:szCs w:val="24"/>
    </w:rPr>
  </w:style>
  <w:style w:type="character" w:customStyle="1" w:styleId="80">
    <w:name w:val="标题 8 字符"/>
    <w:link w:val="8"/>
    <w:uiPriority w:val="9"/>
    <w:semiHidden/>
    <w:rsid w:val="003A060D"/>
    <w:rPr>
      <w:rFonts w:cs="Times New Roman"/>
      <w:i/>
      <w:iCs/>
      <w:sz w:val="24"/>
      <w:szCs w:val="24"/>
    </w:rPr>
  </w:style>
  <w:style w:type="character" w:customStyle="1" w:styleId="90">
    <w:name w:val="标题 9 字符"/>
    <w:link w:val="9"/>
    <w:uiPriority w:val="9"/>
    <w:semiHidden/>
    <w:rsid w:val="003A060D"/>
    <w:rPr>
      <w:rFonts w:ascii="Times New Roman" w:eastAsia="Times New Roman" w:hAnsi="Times New Roman" w:cs="Times New Roman"/>
    </w:rPr>
  </w:style>
  <w:style w:type="paragraph" w:styleId="a3">
    <w:name w:val="caption"/>
    <w:basedOn w:val="a"/>
    <w:next w:val="a"/>
    <w:uiPriority w:val="35"/>
    <w:unhideWhenUsed/>
    <w:qFormat/>
    <w:rsid w:val="00E948D0"/>
    <w:pPr>
      <w:spacing w:line="240" w:lineRule="auto"/>
    </w:pPr>
    <w:rPr>
      <w:b/>
      <w:bCs/>
      <w:szCs w:val="18"/>
    </w:rPr>
  </w:style>
  <w:style w:type="paragraph" w:styleId="a4">
    <w:name w:val="Title"/>
    <w:aliases w:val="reference"/>
    <w:next w:val="a"/>
    <w:link w:val="a5"/>
    <w:autoRedefine/>
    <w:uiPriority w:val="10"/>
    <w:qFormat/>
    <w:rsid w:val="00892140"/>
    <w:pPr>
      <w:keepNext/>
      <w:ind w:left="720" w:hanging="720"/>
    </w:pPr>
    <w:rPr>
      <w:sz w:val="24"/>
      <w:szCs w:val="28"/>
      <w:lang w:bidi="en-US"/>
    </w:rPr>
  </w:style>
  <w:style w:type="character" w:customStyle="1" w:styleId="a5">
    <w:name w:val="标题 字符"/>
    <w:aliases w:val="reference 字符"/>
    <w:link w:val="a4"/>
    <w:uiPriority w:val="10"/>
    <w:rsid w:val="00892140"/>
    <w:rPr>
      <w:sz w:val="24"/>
      <w:szCs w:val="28"/>
      <w:lang w:bidi="en-US"/>
    </w:rPr>
  </w:style>
  <w:style w:type="paragraph" w:styleId="a6">
    <w:name w:val="Subtitle"/>
    <w:basedOn w:val="a"/>
    <w:next w:val="a"/>
    <w:link w:val="a7"/>
    <w:uiPriority w:val="11"/>
    <w:semiHidden/>
    <w:unhideWhenUsed/>
    <w:qFormat/>
    <w:rsid w:val="003A060D"/>
    <w:pPr>
      <w:spacing w:after="60"/>
      <w:jc w:val="center"/>
      <w:outlineLvl w:val="1"/>
    </w:pPr>
  </w:style>
  <w:style w:type="character" w:customStyle="1" w:styleId="a7">
    <w:name w:val="副标题 字符"/>
    <w:link w:val="a6"/>
    <w:uiPriority w:val="11"/>
    <w:semiHidden/>
    <w:rsid w:val="00077F0A"/>
    <w:rPr>
      <w:sz w:val="24"/>
      <w:szCs w:val="24"/>
      <w:lang w:bidi="en-US"/>
    </w:rPr>
  </w:style>
  <w:style w:type="character" w:styleId="a8">
    <w:name w:val="Strong"/>
    <w:uiPriority w:val="22"/>
    <w:semiHidden/>
    <w:unhideWhenUsed/>
    <w:qFormat/>
    <w:rsid w:val="003A060D"/>
    <w:rPr>
      <w:b/>
      <w:bCs/>
    </w:rPr>
  </w:style>
  <w:style w:type="character" w:styleId="a9">
    <w:name w:val="Emphasis"/>
    <w:uiPriority w:val="20"/>
    <w:semiHidden/>
    <w:unhideWhenUsed/>
    <w:qFormat/>
    <w:rsid w:val="003A060D"/>
    <w:rPr>
      <w:rFonts w:ascii="Times New Roman" w:hAnsi="Times New Roman"/>
      <w:b/>
      <w:i/>
      <w:iCs/>
    </w:rPr>
  </w:style>
  <w:style w:type="paragraph" w:styleId="aa">
    <w:name w:val="No Spacing"/>
    <w:basedOn w:val="a"/>
    <w:link w:val="ab"/>
    <w:uiPriority w:val="1"/>
    <w:semiHidden/>
    <w:qFormat/>
    <w:rsid w:val="0070017B"/>
    <w:pPr>
      <w:spacing w:line="240" w:lineRule="auto"/>
    </w:pPr>
    <w:rPr>
      <w:szCs w:val="32"/>
    </w:rPr>
  </w:style>
  <w:style w:type="paragraph" w:styleId="ac">
    <w:name w:val="table of figures"/>
    <w:basedOn w:val="a"/>
    <w:next w:val="a"/>
    <w:uiPriority w:val="99"/>
    <w:unhideWhenUsed/>
    <w:rsid w:val="00E948D0"/>
  </w:style>
  <w:style w:type="paragraph" w:styleId="ad">
    <w:name w:val="Quote"/>
    <w:basedOn w:val="a"/>
    <w:next w:val="a"/>
    <w:link w:val="ae"/>
    <w:uiPriority w:val="29"/>
    <w:semiHidden/>
    <w:unhideWhenUsed/>
    <w:qFormat/>
    <w:rsid w:val="003A060D"/>
    <w:rPr>
      <w:i/>
    </w:rPr>
  </w:style>
  <w:style w:type="character" w:customStyle="1" w:styleId="ae">
    <w:name w:val="引用 字符"/>
    <w:link w:val="ad"/>
    <w:uiPriority w:val="29"/>
    <w:semiHidden/>
    <w:rsid w:val="00077F0A"/>
    <w:rPr>
      <w:i/>
      <w:sz w:val="24"/>
      <w:szCs w:val="24"/>
      <w:lang w:bidi="en-US"/>
    </w:rPr>
  </w:style>
  <w:style w:type="paragraph" w:styleId="af">
    <w:name w:val="Intense Quote"/>
    <w:basedOn w:val="a"/>
    <w:next w:val="a"/>
    <w:link w:val="af0"/>
    <w:uiPriority w:val="30"/>
    <w:semiHidden/>
    <w:unhideWhenUsed/>
    <w:qFormat/>
    <w:rsid w:val="003A060D"/>
    <w:pPr>
      <w:ind w:left="720" w:right="720"/>
    </w:pPr>
    <w:rPr>
      <w:b/>
      <w:i/>
      <w:szCs w:val="22"/>
    </w:rPr>
  </w:style>
  <w:style w:type="character" w:customStyle="1" w:styleId="af0">
    <w:name w:val="明显引用 字符"/>
    <w:link w:val="af"/>
    <w:uiPriority w:val="30"/>
    <w:semiHidden/>
    <w:rsid w:val="00077F0A"/>
    <w:rPr>
      <w:b/>
      <w:i/>
      <w:sz w:val="24"/>
      <w:szCs w:val="22"/>
      <w:lang w:bidi="en-US"/>
    </w:rPr>
  </w:style>
  <w:style w:type="character" w:styleId="af1">
    <w:name w:val="Subtle Emphasis"/>
    <w:uiPriority w:val="19"/>
    <w:semiHidden/>
    <w:unhideWhenUsed/>
    <w:qFormat/>
    <w:rsid w:val="003A060D"/>
    <w:rPr>
      <w:i/>
      <w:color w:val="5A5A5A"/>
    </w:rPr>
  </w:style>
  <w:style w:type="character" w:styleId="af2">
    <w:name w:val="Intense Emphasis"/>
    <w:uiPriority w:val="21"/>
    <w:semiHidden/>
    <w:unhideWhenUsed/>
    <w:qFormat/>
    <w:rsid w:val="003A060D"/>
    <w:rPr>
      <w:b/>
      <w:i/>
      <w:sz w:val="24"/>
      <w:szCs w:val="24"/>
      <w:u w:val="single"/>
    </w:rPr>
  </w:style>
  <w:style w:type="character" w:styleId="af3">
    <w:name w:val="Subtle Reference"/>
    <w:uiPriority w:val="31"/>
    <w:semiHidden/>
    <w:unhideWhenUsed/>
    <w:qFormat/>
    <w:rsid w:val="003A060D"/>
    <w:rPr>
      <w:sz w:val="24"/>
      <w:szCs w:val="24"/>
      <w:u w:val="single"/>
    </w:rPr>
  </w:style>
  <w:style w:type="character" w:styleId="af4">
    <w:name w:val="Intense Reference"/>
    <w:uiPriority w:val="32"/>
    <w:semiHidden/>
    <w:unhideWhenUsed/>
    <w:qFormat/>
    <w:rsid w:val="003A060D"/>
    <w:rPr>
      <w:b/>
      <w:sz w:val="24"/>
      <w:u w:val="single"/>
    </w:rPr>
  </w:style>
  <w:style w:type="character" w:styleId="af5">
    <w:name w:val="Book Title"/>
    <w:uiPriority w:val="33"/>
    <w:semiHidden/>
    <w:unhideWhenUsed/>
    <w:qFormat/>
    <w:rsid w:val="003A060D"/>
    <w:rPr>
      <w:rFonts w:ascii="Times New Roman" w:eastAsia="Times New Roman" w:hAnsi="Times New Roman"/>
      <w:b/>
      <w:i/>
      <w:sz w:val="24"/>
      <w:szCs w:val="24"/>
    </w:rPr>
  </w:style>
  <w:style w:type="paragraph" w:styleId="TOC">
    <w:name w:val="TOC Heading"/>
    <w:basedOn w:val="1"/>
    <w:next w:val="a"/>
    <w:uiPriority w:val="39"/>
    <w:semiHidden/>
    <w:unhideWhenUsed/>
    <w:qFormat/>
    <w:rsid w:val="003A060D"/>
    <w:pPr>
      <w:outlineLvl w:val="9"/>
    </w:pPr>
  </w:style>
  <w:style w:type="character" w:customStyle="1" w:styleId="ab">
    <w:name w:val="无间隔 字符"/>
    <w:link w:val="aa"/>
    <w:uiPriority w:val="1"/>
    <w:semiHidden/>
    <w:rsid w:val="00844477"/>
    <w:rPr>
      <w:rFonts w:ascii="Times New Roman" w:hAnsi="Times New Roman"/>
      <w:sz w:val="24"/>
      <w:szCs w:val="32"/>
      <w:lang w:bidi="en-US"/>
    </w:rPr>
  </w:style>
  <w:style w:type="paragraph" w:styleId="af6">
    <w:name w:val="Balloon Text"/>
    <w:basedOn w:val="a"/>
    <w:link w:val="af7"/>
    <w:uiPriority w:val="99"/>
    <w:semiHidden/>
    <w:unhideWhenUsed/>
    <w:rsid w:val="00730F0A"/>
    <w:rPr>
      <w:rFonts w:ascii="Tahoma" w:hAnsi="Tahoma" w:cs="Tahoma"/>
      <w:sz w:val="16"/>
      <w:szCs w:val="16"/>
    </w:rPr>
  </w:style>
  <w:style w:type="character" w:customStyle="1" w:styleId="af7">
    <w:name w:val="批注框文本 字符"/>
    <w:link w:val="af6"/>
    <w:uiPriority w:val="99"/>
    <w:semiHidden/>
    <w:rsid w:val="00730F0A"/>
    <w:rPr>
      <w:rFonts w:ascii="Tahoma" w:hAnsi="Tahoma" w:cs="Tahoma"/>
      <w:sz w:val="16"/>
      <w:szCs w:val="16"/>
      <w:lang w:bidi="en-US"/>
    </w:rPr>
  </w:style>
  <w:style w:type="paragraph" w:styleId="af8">
    <w:name w:val="header"/>
    <w:basedOn w:val="a"/>
    <w:link w:val="af9"/>
    <w:uiPriority w:val="99"/>
    <w:unhideWhenUsed/>
    <w:rsid w:val="008E1C26"/>
    <w:pPr>
      <w:tabs>
        <w:tab w:val="center" w:pos="4680"/>
        <w:tab w:val="right" w:pos="9360"/>
      </w:tabs>
    </w:pPr>
  </w:style>
  <w:style w:type="character" w:customStyle="1" w:styleId="af9">
    <w:name w:val="页眉 字符"/>
    <w:link w:val="af8"/>
    <w:uiPriority w:val="99"/>
    <w:rsid w:val="008E1C26"/>
    <w:rPr>
      <w:sz w:val="24"/>
      <w:szCs w:val="24"/>
      <w:lang w:bidi="en-US"/>
    </w:rPr>
  </w:style>
  <w:style w:type="paragraph" w:styleId="afa">
    <w:name w:val="footer"/>
    <w:basedOn w:val="a"/>
    <w:link w:val="afb"/>
    <w:uiPriority w:val="99"/>
    <w:unhideWhenUsed/>
    <w:rsid w:val="008E1C26"/>
    <w:pPr>
      <w:tabs>
        <w:tab w:val="center" w:pos="4680"/>
        <w:tab w:val="right" w:pos="9360"/>
      </w:tabs>
    </w:pPr>
  </w:style>
  <w:style w:type="character" w:customStyle="1" w:styleId="afb">
    <w:name w:val="页脚 字符"/>
    <w:link w:val="afa"/>
    <w:uiPriority w:val="99"/>
    <w:rsid w:val="008E1C26"/>
    <w:rPr>
      <w:sz w:val="24"/>
      <w:szCs w:val="24"/>
      <w:lang w:bidi="en-US"/>
    </w:rPr>
  </w:style>
  <w:style w:type="character" w:styleId="afc">
    <w:name w:val="Hyperlink"/>
    <w:uiPriority w:val="99"/>
    <w:unhideWhenUsed/>
    <w:rsid w:val="00DA1971"/>
    <w:rPr>
      <w:color w:val="0000FF"/>
      <w:u w:val="single"/>
    </w:rPr>
  </w:style>
  <w:style w:type="paragraph" w:styleId="TOC1">
    <w:name w:val="toc 1"/>
    <w:basedOn w:val="a"/>
    <w:next w:val="a"/>
    <w:autoRedefine/>
    <w:uiPriority w:val="39"/>
    <w:unhideWhenUsed/>
    <w:rsid w:val="007670B7"/>
    <w:pPr>
      <w:tabs>
        <w:tab w:val="right" w:leader="dot" w:pos="8486"/>
      </w:tabs>
      <w:ind w:left="720" w:hanging="720"/>
    </w:pPr>
    <w:rPr>
      <w:b/>
      <w:bCs/>
      <w:noProof/>
    </w:rPr>
  </w:style>
  <w:style w:type="paragraph" w:styleId="TOC2">
    <w:name w:val="toc 2"/>
    <w:basedOn w:val="a"/>
    <w:next w:val="a"/>
    <w:autoRedefine/>
    <w:uiPriority w:val="39"/>
    <w:unhideWhenUsed/>
    <w:rsid w:val="008F4C09"/>
    <w:pPr>
      <w:tabs>
        <w:tab w:val="right" w:leader="dot" w:pos="8054"/>
      </w:tabs>
      <w:ind w:left="1008" w:hanging="720"/>
    </w:pPr>
  </w:style>
  <w:style w:type="table" w:styleId="afd">
    <w:name w:val="Table Grid"/>
    <w:basedOn w:val="a1"/>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
    <w:next w:val="a"/>
    <w:autoRedefine/>
    <w:uiPriority w:val="39"/>
    <w:unhideWhenUsed/>
    <w:rsid w:val="003B1506"/>
    <w:pPr>
      <w:tabs>
        <w:tab w:val="right" w:leader="dot" w:pos="8054"/>
      </w:tabs>
      <w:ind w:left="1440" w:hanging="720"/>
      <w:jc w:val="left"/>
    </w:pPr>
  </w:style>
  <w:style w:type="paragraph" w:customStyle="1" w:styleId="BlockQuotation">
    <w:name w:val="Block Quotation"/>
    <w:next w:val="a"/>
    <w:link w:val="BlockQuotationChar"/>
    <w:qFormat/>
    <w:rsid w:val="0070017B"/>
    <w:pPr>
      <w:spacing w:after="240"/>
      <w:ind w:left="720"/>
    </w:pPr>
    <w:rPr>
      <w:sz w:val="24"/>
      <w:szCs w:val="24"/>
      <w:lang w:bidi="en-US"/>
    </w:rPr>
  </w:style>
  <w:style w:type="character" w:styleId="afe">
    <w:name w:val="Placeholder Text"/>
    <w:uiPriority w:val="99"/>
    <w:semiHidden/>
    <w:rsid w:val="00746E16"/>
    <w:rPr>
      <w:color w:val="808080"/>
    </w:rPr>
  </w:style>
  <w:style w:type="character" w:customStyle="1" w:styleId="BlockQuotationChar">
    <w:name w:val="Block Quotation Char"/>
    <w:link w:val="BlockQuotation"/>
    <w:rsid w:val="0070017B"/>
    <w:rPr>
      <w:rFonts w:ascii="Times New Roman" w:hAnsi="Times New Roman"/>
      <w:sz w:val="24"/>
      <w:szCs w:val="24"/>
      <w:lang w:bidi="en-US"/>
    </w:rPr>
  </w:style>
  <w:style w:type="paragraph" w:styleId="aff">
    <w:name w:val="Bibliography"/>
    <w:basedOn w:val="a"/>
    <w:next w:val="a"/>
    <w:uiPriority w:val="37"/>
    <w:rsid w:val="0070017B"/>
    <w:pPr>
      <w:ind w:left="720" w:hanging="720"/>
    </w:pPr>
  </w:style>
  <w:style w:type="paragraph" w:customStyle="1" w:styleId="Chapter">
    <w:name w:val="Chapter"/>
    <w:next w:val="11"/>
    <w:link w:val="Chapter0"/>
    <w:autoRedefine/>
    <w:qFormat/>
    <w:rsid w:val="00BC3323"/>
    <w:pPr>
      <w:keepNext/>
      <w:spacing w:after="240" w:line="480" w:lineRule="auto"/>
      <w:ind w:firstLine="720"/>
      <w:jc w:val="center"/>
    </w:pPr>
    <w:rPr>
      <w:b/>
      <w:bCs/>
      <w:sz w:val="28"/>
      <w:szCs w:val="32"/>
      <w:lang w:bidi="en-US"/>
    </w:rPr>
  </w:style>
  <w:style w:type="paragraph" w:styleId="aff0">
    <w:name w:val="List Paragraph"/>
    <w:basedOn w:val="a"/>
    <w:uiPriority w:val="34"/>
    <w:unhideWhenUsed/>
    <w:qFormat/>
    <w:rsid w:val="00660B74"/>
    <w:pPr>
      <w:ind w:left="720"/>
      <w:contextualSpacing/>
    </w:pPr>
  </w:style>
  <w:style w:type="paragraph" w:styleId="aff1">
    <w:name w:val="Normal (Web)"/>
    <w:basedOn w:val="a"/>
    <w:uiPriority w:val="99"/>
    <w:unhideWhenUsed/>
    <w:rsid w:val="005E347A"/>
    <w:pPr>
      <w:spacing w:before="100" w:beforeAutospacing="1" w:after="100" w:afterAutospacing="1" w:line="240" w:lineRule="auto"/>
    </w:pPr>
    <w:rPr>
      <w:rFonts w:ascii="Times" w:eastAsia="MS Mincho" w:hAnsi="Times"/>
      <w:sz w:val="20"/>
      <w:szCs w:val="20"/>
      <w:lang w:bidi="ar-SA"/>
    </w:rPr>
  </w:style>
  <w:style w:type="character" w:styleId="aff2">
    <w:name w:val="FollowedHyperlink"/>
    <w:basedOn w:val="a0"/>
    <w:uiPriority w:val="99"/>
    <w:semiHidden/>
    <w:unhideWhenUsed/>
    <w:rsid w:val="006C6855"/>
    <w:rPr>
      <w:color w:val="800080" w:themeColor="followedHyperlink"/>
      <w:u w:val="single"/>
    </w:rPr>
  </w:style>
  <w:style w:type="paragraph" w:styleId="TOC4">
    <w:name w:val="toc 4"/>
    <w:basedOn w:val="a"/>
    <w:next w:val="a"/>
    <w:autoRedefine/>
    <w:uiPriority w:val="39"/>
    <w:unhideWhenUsed/>
    <w:rsid w:val="0032390F"/>
    <w:pPr>
      <w:ind w:left="720"/>
    </w:pPr>
  </w:style>
  <w:style w:type="paragraph" w:styleId="TOC5">
    <w:name w:val="toc 5"/>
    <w:basedOn w:val="a"/>
    <w:next w:val="a"/>
    <w:autoRedefine/>
    <w:uiPriority w:val="39"/>
    <w:unhideWhenUsed/>
    <w:rsid w:val="0032390F"/>
    <w:pPr>
      <w:ind w:left="960"/>
    </w:pPr>
  </w:style>
  <w:style w:type="paragraph" w:styleId="TOC6">
    <w:name w:val="toc 6"/>
    <w:basedOn w:val="a"/>
    <w:next w:val="a"/>
    <w:autoRedefine/>
    <w:uiPriority w:val="39"/>
    <w:unhideWhenUsed/>
    <w:rsid w:val="0032390F"/>
    <w:pPr>
      <w:ind w:left="1200"/>
    </w:pPr>
  </w:style>
  <w:style w:type="paragraph" w:styleId="TOC7">
    <w:name w:val="toc 7"/>
    <w:basedOn w:val="a"/>
    <w:next w:val="a"/>
    <w:autoRedefine/>
    <w:uiPriority w:val="39"/>
    <w:unhideWhenUsed/>
    <w:rsid w:val="0032390F"/>
    <w:pPr>
      <w:ind w:left="1440"/>
    </w:pPr>
  </w:style>
  <w:style w:type="paragraph" w:styleId="TOC8">
    <w:name w:val="toc 8"/>
    <w:basedOn w:val="a"/>
    <w:next w:val="a"/>
    <w:autoRedefine/>
    <w:uiPriority w:val="39"/>
    <w:unhideWhenUsed/>
    <w:rsid w:val="0032390F"/>
    <w:pPr>
      <w:ind w:left="1680"/>
    </w:pPr>
  </w:style>
  <w:style w:type="paragraph" w:styleId="TOC9">
    <w:name w:val="toc 9"/>
    <w:basedOn w:val="a"/>
    <w:next w:val="a"/>
    <w:autoRedefine/>
    <w:uiPriority w:val="39"/>
    <w:unhideWhenUsed/>
    <w:rsid w:val="0032390F"/>
    <w:pPr>
      <w:ind w:left="1920"/>
    </w:pPr>
  </w:style>
  <w:style w:type="character" w:styleId="aff3">
    <w:name w:val="Unresolved Mention"/>
    <w:basedOn w:val="a0"/>
    <w:uiPriority w:val="99"/>
    <w:semiHidden/>
    <w:unhideWhenUsed/>
    <w:rsid w:val="00B659A1"/>
    <w:rPr>
      <w:color w:val="605E5C"/>
      <w:shd w:val="clear" w:color="auto" w:fill="E1DFDD"/>
    </w:rPr>
  </w:style>
  <w:style w:type="table" w:styleId="61">
    <w:name w:val="List Table 6 Colorful"/>
    <w:basedOn w:val="a1"/>
    <w:uiPriority w:val="51"/>
    <w:rsid w:val="0084754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w:basedOn w:val="a1"/>
    <w:uiPriority w:val="47"/>
    <w:rsid w:val="00281C4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1">
    <w:name w:val="标题 11"/>
    <w:next w:val="210"/>
    <w:link w:val="heading10"/>
    <w:rsid w:val="00367716"/>
    <w:pPr>
      <w:spacing w:line="480" w:lineRule="auto"/>
      <w:jc w:val="center"/>
    </w:pPr>
    <w:rPr>
      <w:b/>
      <w:sz w:val="28"/>
      <w:szCs w:val="24"/>
      <w:lang w:bidi="en-US"/>
    </w:rPr>
  </w:style>
  <w:style w:type="paragraph" w:customStyle="1" w:styleId="210">
    <w:name w:val="标题 21"/>
    <w:basedOn w:val="a"/>
    <w:rsid w:val="002A1342"/>
    <w:pPr>
      <w:ind w:firstLine="0"/>
    </w:pPr>
  </w:style>
  <w:style w:type="paragraph" w:customStyle="1" w:styleId="31">
    <w:name w:val="标题 31"/>
    <w:basedOn w:val="a"/>
    <w:rsid w:val="002A1342"/>
    <w:pPr>
      <w:ind w:firstLine="0"/>
    </w:pPr>
  </w:style>
  <w:style w:type="paragraph" w:customStyle="1" w:styleId="41">
    <w:name w:val="标题 41"/>
    <w:basedOn w:val="a"/>
    <w:rsid w:val="002A1342"/>
    <w:pPr>
      <w:ind w:firstLine="0"/>
    </w:pPr>
  </w:style>
  <w:style w:type="paragraph" w:customStyle="1" w:styleId="51">
    <w:name w:val="标题 51"/>
    <w:basedOn w:val="a"/>
    <w:rsid w:val="002A1342"/>
    <w:pPr>
      <w:ind w:firstLine="0"/>
    </w:pPr>
  </w:style>
  <w:style w:type="paragraph" w:customStyle="1" w:styleId="610">
    <w:name w:val="标题 61"/>
    <w:basedOn w:val="a"/>
    <w:rsid w:val="002A1342"/>
    <w:pPr>
      <w:ind w:firstLine="0"/>
    </w:pPr>
  </w:style>
  <w:style w:type="paragraph" w:customStyle="1" w:styleId="71">
    <w:name w:val="标题 71"/>
    <w:basedOn w:val="a"/>
    <w:rsid w:val="002A1342"/>
    <w:pPr>
      <w:ind w:firstLine="0"/>
    </w:pPr>
  </w:style>
  <w:style w:type="paragraph" w:customStyle="1" w:styleId="81">
    <w:name w:val="标题 81"/>
    <w:basedOn w:val="a"/>
    <w:rsid w:val="002A1342"/>
    <w:pPr>
      <w:ind w:firstLine="0"/>
    </w:pPr>
  </w:style>
  <w:style w:type="paragraph" w:customStyle="1" w:styleId="91">
    <w:name w:val="标题 91"/>
    <w:basedOn w:val="a"/>
    <w:rsid w:val="002A1342"/>
    <w:pPr>
      <w:ind w:firstLine="0"/>
    </w:pPr>
  </w:style>
  <w:style w:type="character" w:customStyle="1" w:styleId="Chapter0">
    <w:name w:val="Chapter 字符"/>
    <w:basedOn w:val="a0"/>
    <w:link w:val="Chapter"/>
    <w:rsid w:val="00BC3323"/>
    <w:rPr>
      <w:b/>
      <w:bCs/>
      <w:sz w:val="28"/>
      <w:szCs w:val="32"/>
      <w:lang w:bidi="en-US"/>
    </w:rPr>
  </w:style>
  <w:style w:type="character" w:customStyle="1" w:styleId="heading10">
    <w:name w:val="heading 10"/>
    <w:basedOn w:val="a0"/>
    <w:link w:val="11"/>
    <w:rsid w:val="00367716"/>
    <w:rPr>
      <w:b/>
      <w:sz w:val="28"/>
      <w:szCs w:val="24"/>
      <w:lang w:bidi="en-US"/>
    </w:rPr>
  </w:style>
  <w:style w:type="paragraph" w:customStyle="1" w:styleId="MDPI31text">
    <w:name w:val="MDPI_3.1_text"/>
    <w:qFormat/>
    <w:rsid w:val="00D36AB0"/>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51figurecaption">
    <w:name w:val="MDPI_5.1_figure_caption"/>
    <w:basedOn w:val="a"/>
    <w:qFormat/>
    <w:rsid w:val="002E3AA1"/>
    <w:pPr>
      <w:adjustRightInd w:val="0"/>
      <w:snapToGrid w:val="0"/>
      <w:spacing w:before="120" w:after="240" w:line="260" w:lineRule="atLeast"/>
      <w:ind w:left="425" w:right="425" w:firstLine="0"/>
    </w:pPr>
    <w:rPr>
      <w:rFonts w:ascii="Palatino Linotype" w:eastAsia="Times New Roman" w:hAnsi="Palatino Linotype"/>
      <w:color w:val="000000"/>
      <w:sz w:val="18"/>
      <w:szCs w:val="20"/>
      <w:lang w:eastAsia="de-DE"/>
    </w:rPr>
  </w:style>
  <w:style w:type="paragraph" w:customStyle="1" w:styleId="MDPI42tablebody">
    <w:name w:val="MDPI_4.2_table_body"/>
    <w:qFormat/>
    <w:rsid w:val="00D54451"/>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11articletype">
    <w:name w:val="MDPI_1.1_article_type"/>
    <w:basedOn w:val="MDPI31text"/>
    <w:next w:val="MDPI12title"/>
    <w:qFormat/>
    <w:rsid w:val="00F70EA8"/>
    <w:pPr>
      <w:spacing w:before="240" w:line="240" w:lineRule="auto"/>
      <w:ind w:firstLine="0"/>
      <w:jc w:val="left"/>
    </w:pPr>
    <w:rPr>
      <w:i/>
    </w:rPr>
  </w:style>
  <w:style w:type="paragraph" w:customStyle="1" w:styleId="MDPI12title">
    <w:name w:val="MDPI_1.2_title"/>
    <w:next w:val="MDPI13authornames"/>
    <w:qFormat/>
    <w:rsid w:val="00F70EA8"/>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F70EA8"/>
    <w:pPr>
      <w:spacing w:after="120"/>
      <w:ind w:firstLine="0"/>
      <w:jc w:val="left"/>
    </w:pPr>
    <w:rPr>
      <w:b/>
      <w:snapToGrid/>
    </w:rPr>
  </w:style>
  <w:style w:type="paragraph" w:customStyle="1" w:styleId="MDPI14history">
    <w:name w:val="MDPI_1.4_history"/>
    <w:basedOn w:val="MDPI62Acknowledgments"/>
    <w:next w:val="a"/>
    <w:qFormat/>
    <w:rsid w:val="00F70EA8"/>
  </w:style>
  <w:style w:type="paragraph" w:customStyle="1" w:styleId="MDPI16affiliation">
    <w:name w:val="MDPI_1.6_affiliation"/>
    <w:basedOn w:val="MDPI62Acknowledgments"/>
    <w:qFormat/>
    <w:rsid w:val="00F70EA8"/>
  </w:style>
  <w:style w:type="paragraph" w:customStyle="1" w:styleId="MDPI17abstract">
    <w:name w:val="MDPI_1.7_abstract"/>
    <w:basedOn w:val="MDPI31text"/>
    <w:next w:val="MDPI18keywords"/>
    <w:qFormat/>
    <w:rsid w:val="00F70EA8"/>
    <w:pPr>
      <w:spacing w:before="240"/>
      <w:ind w:left="113" w:firstLine="0"/>
    </w:pPr>
    <w:rPr>
      <w:snapToGrid/>
    </w:rPr>
  </w:style>
  <w:style w:type="paragraph" w:customStyle="1" w:styleId="MDPI18keywords">
    <w:name w:val="MDPI_1.8_keywords"/>
    <w:basedOn w:val="MDPI31text"/>
    <w:next w:val="a"/>
    <w:qFormat/>
    <w:rsid w:val="00F70EA8"/>
    <w:pPr>
      <w:spacing w:before="240"/>
      <w:ind w:left="113" w:firstLine="0"/>
    </w:pPr>
  </w:style>
  <w:style w:type="paragraph" w:customStyle="1" w:styleId="MDPI19line">
    <w:name w:val="MDPI_1.9_line"/>
    <w:basedOn w:val="MDPI31text"/>
    <w:qFormat/>
    <w:rsid w:val="00F70EA8"/>
    <w:pPr>
      <w:pBdr>
        <w:bottom w:val="single" w:sz="6" w:space="1" w:color="auto"/>
      </w:pBdr>
      <w:ind w:firstLine="0"/>
    </w:pPr>
    <w:rPr>
      <w:snapToGrid/>
      <w:szCs w:val="24"/>
    </w:rPr>
  </w:style>
  <w:style w:type="table" w:customStyle="1" w:styleId="Mdeck5tablebodythreelines">
    <w:name w:val="M_deck_5_table_body_three_lines"/>
    <w:basedOn w:val="a1"/>
    <w:uiPriority w:val="99"/>
    <w:rsid w:val="00F70EA8"/>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headerjournallogo">
    <w:name w:val="MDPI_header_journal_logo"/>
    <w:qFormat/>
    <w:rsid w:val="00F70EA8"/>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F70EA8"/>
    <w:pPr>
      <w:ind w:firstLine="0"/>
    </w:pPr>
  </w:style>
  <w:style w:type="paragraph" w:customStyle="1" w:styleId="MDPI33textspaceafter">
    <w:name w:val="MDPI_3.3_text_space_after"/>
    <w:basedOn w:val="MDPI31text"/>
    <w:qFormat/>
    <w:rsid w:val="00F70EA8"/>
    <w:pPr>
      <w:spacing w:after="240"/>
    </w:pPr>
  </w:style>
  <w:style w:type="paragraph" w:customStyle="1" w:styleId="MDPI35textbeforelist">
    <w:name w:val="MDPI_3.5_text_before_list"/>
    <w:basedOn w:val="MDPI31text"/>
    <w:qFormat/>
    <w:rsid w:val="00F70EA8"/>
    <w:pPr>
      <w:spacing w:after="120"/>
    </w:pPr>
  </w:style>
  <w:style w:type="paragraph" w:customStyle="1" w:styleId="MDPI36textafterlist">
    <w:name w:val="MDPI_3.6_text_after_list"/>
    <w:basedOn w:val="MDPI31text"/>
    <w:qFormat/>
    <w:rsid w:val="00F70EA8"/>
    <w:pPr>
      <w:spacing w:before="120"/>
    </w:pPr>
  </w:style>
  <w:style w:type="paragraph" w:customStyle="1" w:styleId="MDPI37itemize">
    <w:name w:val="MDPI_3.7_itemize"/>
    <w:basedOn w:val="MDPI31text"/>
    <w:qFormat/>
    <w:rsid w:val="00F70EA8"/>
    <w:pPr>
      <w:numPr>
        <w:numId w:val="31"/>
      </w:numPr>
      <w:ind w:left="425" w:hanging="425"/>
    </w:pPr>
  </w:style>
  <w:style w:type="paragraph" w:customStyle="1" w:styleId="MDPI38bullet">
    <w:name w:val="MDPI_3.8_bullet"/>
    <w:basedOn w:val="MDPI31text"/>
    <w:qFormat/>
    <w:rsid w:val="00F70EA8"/>
    <w:pPr>
      <w:numPr>
        <w:numId w:val="32"/>
      </w:numPr>
      <w:ind w:left="425" w:hanging="425"/>
    </w:pPr>
  </w:style>
  <w:style w:type="paragraph" w:customStyle="1" w:styleId="MDPI39equation">
    <w:name w:val="MDPI_3.9_equation"/>
    <w:basedOn w:val="MDPI31text"/>
    <w:qFormat/>
    <w:rsid w:val="00F70EA8"/>
    <w:pPr>
      <w:spacing w:before="120" w:after="120"/>
      <w:ind w:left="709" w:firstLine="0"/>
      <w:jc w:val="center"/>
    </w:pPr>
  </w:style>
  <w:style w:type="paragraph" w:customStyle="1" w:styleId="MDPI3aequationnumber">
    <w:name w:val="MDPI_3.a_equation_number"/>
    <w:basedOn w:val="MDPI31text"/>
    <w:qFormat/>
    <w:rsid w:val="00F70EA8"/>
    <w:pPr>
      <w:spacing w:before="120" w:after="120" w:line="240" w:lineRule="auto"/>
      <w:ind w:firstLine="0"/>
      <w:jc w:val="right"/>
    </w:pPr>
  </w:style>
  <w:style w:type="paragraph" w:customStyle="1" w:styleId="MDPI62Acknowledgments">
    <w:name w:val="MDPI_6.2_Acknowledgments"/>
    <w:qFormat/>
    <w:rsid w:val="00F70EA8"/>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qFormat/>
    <w:rsid w:val="00F70EA8"/>
  </w:style>
  <w:style w:type="paragraph" w:customStyle="1" w:styleId="MDPI43tablefooter">
    <w:name w:val="MDPI_4.3_table_footer"/>
    <w:basedOn w:val="MDPI41tablecaption"/>
    <w:next w:val="MDPI31text"/>
    <w:qFormat/>
    <w:rsid w:val="00F70EA8"/>
  </w:style>
  <w:style w:type="paragraph" w:customStyle="1" w:styleId="MDPI52figure">
    <w:name w:val="MDPI_5.2_figure"/>
    <w:qFormat/>
    <w:rsid w:val="00F70EA8"/>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F70EA8"/>
  </w:style>
  <w:style w:type="paragraph" w:customStyle="1" w:styleId="MDPI63AuthorContributions">
    <w:name w:val="MDPI_6.3_AuthorContributions"/>
    <w:basedOn w:val="MDPI62Acknowledgments"/>
    <w:qFormat/>
    <w:rsid w:val="00F70EA8"/>
  </w:style>
  <w:style w:type="paragraph" w:customStyle="1" w:styleId="MDPI64CoI">
    <w:name w:val="MDPI_6.4_CoI"/>
    <w:basedOn w:val="MDPI62Acknowledgments"/>
    <w:qFormat/>
    <w:rsid w:val="00F70EA8"/>
  </w:style>
  <w:style w:type="paragraph" w:customStyle="1" w:styleId="MDPIfooterfirstpage">
    <w:name w:val="MDPI_footer_firstpage"/>
    <w:basedOn w:val="a"/>
    <w:qFormat/>
    <w:rsid w:val="00F70EA8"/>
    <w:pPr>
      <w:tabs>
        <w:tab w:val="right" w:pos="8845"/>
      </w:tabs>
      <w:adjustRightInd w:val="0"/>
      <w:snapToGrid w:val="0"/>
      <w:spacing w:before="120" w:line="160" w:lineRule="exact"/>
      <w:ind w:firstLine="0"/>
      <w:jc w:val="left"/>
    </w:pPr>
    <w:rPr>
      <w:rFonts w:ascii="Palatino Linotype" w:eastAsia="Times New Roman" w:hAnsi="Palatino Linotype"/>
      <w:sz w:val="16"/>
      <w:szCs w:val="20"/>
      <w:lang w:eastAsia="de-DE" w:bidi="ar-SA"/>
    </w:rPr>
  </w:style>
  <w:style w:type="paragraph" w:customStyle="1" w:styleId="MDPI23heading3">
    <w:name w:val="MDPI_2.3_heading3"/>
    <w:basedOn w:val="MDPI31text"/>
    <w:qFormat/>
    <w:rsid w:val="00F70EA8"/>
    <w:pPr>
      <w:spacing w:before="240" w:after="120"/>
      <w:ind w:firstLine="0"/>
      <w:jc w:val="left"/>
      <w:outlineLvl w:val="2"/>
    </w:pPr>
  </w:style>
  <w:style w:type="paragraph" w:customStyle="1" w:styleId="MDPI21heading1">
    <w:name w:val="MDPI_2.1_heading1"/>
    <w:basedOn w:val="MDPI23heading3"/>
    <w:qFormat/>
    <w:rsid w:val="00F70EA8"/>
    <w:pPr>
      <w:outlineLvl w:val="0"/>
    </w:pPr>
    <w:rPr>
      <w:b/>
    </w:rPr>
  </w:style>
  <w:style w:type="paragraph" w:customStyle="1" w:styleId="MDPI22heading2">
    <w:name w:val="MDPI_2.2_heading2"/>
    <w:basedOn w:val="a"/>
    <w:qFormat/>
    <w:rsid w:val="00F70EA8"/>
    <w:pPr>
      <w:kinsoku w:val="0"/>
      <w:overflowPunct w:val="0"/>
      <w:autoSpaceDE w:val="0"/>
      <w:autoSpaceDN w:val="0"/>
      <w:adjustRightInd w:val="0"/>
      <w:snapToGrid w:val="0"/>
      <w:spacing w:before="240" w:after="120" w:line="260" w:lineRule="atLeast"/>
      <w:ind w:firstLine="0"/>
      <w:jc w:val="left"/>
      <w:outlineLvl w:val="1"/>
    </w:pPr>
    <w:rPr>
      <w:rFonts w:ascii="Palatino Linotype" w:eastAsia="Times New Roman" w:hAnsi="Palatino Linotype"/>
      <w:i/>
      <w:noProof/>
      <w:snapToGrid w:val="0"/>
      <w:color w:val="000000"/>
      <w:sz w:val="20"/>
      <w:szCs w:val="22"/>
      <w:lang w:eastAsia="de-DE"/>
    </w:rPr>
  </w:style>
  <w:style w:type="paragraph" w:customStyle="1" w:styleId="MDPI71References">
    <w:name w:val="MDPI_7.1_References"/>
    <w:basedOn w:val="MDPI62Acknowledgments"/>
    <w:qFormat/>
    <w:rsid w:val="00F70EA8"/>
    <w:pPr>
      <w:numPr>
        <w:numId w:val="33"/>
      </w:numPr>
      <w:ind w:left="0" w:firstLine="0"/>
    </w:pPr>
  </w:style>
  <w:style w:type="character" w:styleId="aff4">
    <w:name w:val="line number"/>
    <w:basedOn w:val="a0"/>
    <w:uiPriority w:val="99"/>
    <w:semiHidden/>
    <w:unhideWhenUsed/>
    <w:rsid w:val="00F70EA8"/>
  </w:style>
  <w:style w:type="table" w:customStyle="1" w:styleId="MDPI41threelinetable">
    <w:name w:val="MDPI_4.1_three_line_table"/>
    <w:basedOn w:val="a1"/>
    <w:uiPriority w:val="99"/>
    <w:rsid w:val="00F70EA8"/>
    <w:pPr>
      <w:adjustRightInd w:val="0"/>
      <w:snapToGrid w:val="0"/>
      <w:jc w:val="center"/>
    </w:pPr>
    <w:rPr>
      <w:rFonts w:ascii="Palatino Linotype" w:hAnsi="Palatino Linotype"/>
      <w:color w:val="000000"/>
      <w:lang w:eastAsia="zh-CN"/>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table" w:styleId="42">
    <w:name w:val="Plain Table 4"/>
    <w:basedOn w:val="a1"/>
    <w:uiPriority w:val="44"/>
    <w:rsid w:val="00F70EA8"/>
    <w:rPr>
      <w:rFonts w:ascii="Calibri" w:hAnsi="Calibri"/>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aff5">
    <w:name w:val="annotation reference"/>
    <w:uiPriority w:val="99"/>
    <w:semiHidden/>
    <w:unhideWhenUsed/>
    <w:rsid w:val="00F70EA8"/>
    <w:rPr>
      <w:sz w:val="16"/>
      <w:szCs w:val="16"/>
    </w:rPr>
  </w:style>
  <w:style w:type="paragraph" w:styleId="aff6">
    <w:name w:val="annotation text"/>
    <w:basedOn w:val="a"/>
    <w:link w:val="aff7"/>
    <w:uiPriority w:val="99"/>
    <w:semiHidden/>
    <w:unhideWhenUsed/>
    <w:rsid w:val="00F70EA8"/>
    <w:pPr>
      <w:spacing w:line="240" w:lineRule="auto"/>
      <w:ind w:firstLine="0"/>
      <w:jc w:val="left"/>
    </w:pPr>
    <w:rPr>
      <w:rFonts w:eastAsia="DengXian"/>
      <w:sz w:val="20"/>
      <w:szCs w:val="20"/>
      <w:lang w:bidi="ar-SA"/>
    </w:rPr>
  </w:style>
  <w:style w:type="character" w:customStyle="1" w:styleId="aff7">
    <w:name w:val="批注文字 字符"/>
    <w:basedOn w:val="a0"/>
    <w:link w:val="aff6"/>
    <w:uiPriority w:val="99"/>
    <w:semiHidden/>
    <w:rsid w:val="00F70EA8"/>
    <w:rPr>
      <w:rFonts w:eastAsia="DengXian"/>
    </w:rPr>
  </w:style>
  <w:style w:type="table" w:customStyle="1" w:styleId="TableGrid1">
    <w:name w:val="Table Grid1"/>
    <w:basedOn w:val="a1"/>
    <w:next w:val="afd"/>
    <w:uiPriority w:val="39"/>
    <w:rsid w:val="00F70EA8"/>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d"/>
    <w:uiPriority w:val="39"/>
    <w:rsid w:val="00F70EA8"/>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annotation subject"/>
    <w:basedOn w:val="aff6"/>
    <w:next w:val="aff6"/>
    <w:link w:val="aff9"/>
    <w:uiPriority w:val="99"/>
    <w:semiHidden/>
    <w:unhideWhenUsed/>
    <w:rsid w:val="00F70EA8"/>
    <w:pPr>
      <w:jc w:val="both"/>
    </w:pPr>
    <w:rPr>
      <w:rFonts w:eastAsia="Times New Roman"/>
      <w:b/>
      <w:bCs/>
      <w:color w:val="000000"/>
      <w:lang w:eastAsia="de-DE"/>
    </w:rPr>
  </w:style>
  <w:style w:type="character" w:customStyle="1" w:styleId="aff9">
    <w:name w:val="批注主题 字符"/>
    <w:basedOn w:val="aff7"/>
    <w:link w:val="aff8"/>
    <w:uiPriority w:val="99"/>
    <w:semiHidden/>
    <w:rsid w:val="00F70EA8"/>
    <w:rPr>
      <w:rFonts w:eastAsia="Times New Roman"/>
      <w:b/>
      <w:bCs/>
      <w:color w:val="000000"/>
      <w:lang w:eastAsia="de-DE"/>
    </w:rPr>
  </w:style>
  <w:style w:type="paragraph" w:styleId="affa">
    <w:name w:val="Revision"/>
    <w:hidden/>
    <w:uiPriority w:val="99"/>
    <w:semiHidden/>
    <w:rsid w:val="00F70EA8"/>
    <w:rPr>
      <w:rFonts w:eastAsia="Times New Roman"/>
      <w:color w:val="000000"/>
      <w:sz w:val="24"/>
      <w:lang w:eastAsia="de-DE"/>
    </w:rPr>
  </w:style>
  <w:style w:type="character" w:customStyle="1" w:styleId="apple-converted-space">
    <w:name w:val="apple-converted-space"/>
    <w:basedOn w:val="a0"/>
    <w:rsid w:val="00F70EA8"/>
  </w:style>
  <w:style w:type="table" w:customStyle="1" w:styleId="TableGrid3">
    <w:name w:val="Table Grid3"/>
    <w:basedOn w:val="a1"/>
    <w:next w:val="afd"/>
    <w:uiPriority w:val="39"/>
    <w:rsid w:val="00F70EA8"/>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023640">
      <w:bodyDiv w:val="1"/>
      <w:marLeft w:val="0"/>
      <w:marRight w:val="0"/>
      <w:marTop w:val="0"/>
      <w:marBottom w:val="0"/>
      <w:divBdr>
        <w:top w:val="none" w:sz="0" w:space="0" w:color="auto"/>
        <w:left w:val="none" w:sz="0" w:space="0" w:color="auto"/>
        <w:bottom w:val="none" w:sz="0" w:space="0" w:color="auto"/>
        <w:right w:val="none" w:sz="0" w:space="0" w:color="auto"/>
      </w:divBdr>
      <w:divsChild>
        <w:div w:id="1755277245">
          <w:marLeft w:val="480"/>
          <w:marRight w:val="0"/>
          <w:marTop w:val="0"/>
          <w:marBottom w:val="0"/>
          <w:divBdr>
            <w:top w:val="none" w:sz="0" w:space="0" w:color="auto"/>
            <w:left w:val="none" w:sz="0" w:space="0" w:color="auto"/>
            <w:bottom w:val="none" w:sz="0" w:space="0" w:color="auto"/>
            <w:right w:val="none" w:sz="0" w:space="0" w:color="auto"/>
          </w:divBdr>
          <w:divsChild>
            <w:div w:id="169515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9977">
      <w:bodyDiv w:val="1"/>
      <w:marLeft w:val="0"/>
      <w:marRight w:val="0"/>
      <w:marTop w:val="0"/>
      <w:marBottom w:val="0"/>
      <w:divBdr>
        <w:top w:val="none" w:sz="0" w:space="0" w:color="auto"/>
        <w:left w:val="none" w:sz="0" w:space="0" w:color="auto"/>
        <w:bottom w:val="none" w:sz="0" w:space="0" w:color="auto"/>
        <w:right w:val="none" w:sz="0" w:space="0" w:color="auto"/>
      </w:divBdr>
      <w:divsChild>
        <w:div w:id="1264268612">
          <w:marLeft w:val="480"/>
          <w:marRight w:val="0"/>
          <w:marTop w:val="0"/>
          <w:marBottom w:val="0"/>
          <w:divBdr>
            <w:top w:val="none" w:sz="0" w:space="0" w:color="auto"/>
            <w:left w:val="none" w:sz="0" w:space="0" w:color="auto"/>
            <w:bottom w:val="none" w:sz="0" w:space="0" w:color="auto"/>
            <w:right w:val="none" w:sz="0" w:space="0" w:color="auto"/>
          </w:divBdr>
          <w:divsChild>
            <w:div w:id="215246359">
              <w:marLeft w:val="0"/>
              <w:marRight w:val="0"/>
              <w:marTop w:val="0"/>
              <w:marBottom w:val="0"/>
              <w:divBdr>
                <w:top w:val="none" w:sz="0" w:space="0" w:color="auto"/>
                <w:left w:val="none" w:sz="0" w:space="0" w:color="auto"/>
                <w:bottom w:val="none" w:sz="0" w:space="0" w:color="auto"/>
                <w:right w:val="none" w:sz="0" w:space="0" w:color="auto"/>
              </w:divBdr>
            </w:div>
            <w:div w:id="379522122">
              <w:marLeft w:val="0"/>
              <w:marRight w:val="0"/>
              <w:marTop w:val="0"/>
              <w:marBottom w:val="0"/>
              <w:divBdr>
                <w:top w:val="none" w:sz="0" w:space="0" w:color="auto"/>
                <w:left w:val="none" w:sz="0" w:space="0" w:color="auto"/>
                <w:bottom w:val="none" w:sz="0" w:space="0" w:color="auto"/>
                <w:right w:val="none" w:sz="0" w:space="0" w:color="auto"/>
              </w:divBdr>
            </w:div>
            <w:div w:id="2005355667">
              <w:marLeft w:val="0"/>
              <w:marRight w:val="0"/>
              <w:marTop w:val="0"/>
              <w:marBottom w:val="0"/>
              <w:divBdr>
                <w:top w:val="none" w:sz="0" w:space="0" w:color="auto"/>
                <w:left w:val="none" w:sz="0" w:space="0" w:color="auto"/>
                <w:bottom w:val="none" w:sz="0" w:space="0" w:color="auto"/>
                <w:right w:val="none" w:sz="0" w:space="0" w:color="auto"/>
              </w:divBdr>
            </w:div>
            <w:div w:id="964697948">
              <w:marLeft w:val="0"/>
              <w:marRight w:val="0"/>
              <w:marTop w:val="0"/>
              <w:marBottom w:val="0"/>
              <w:divBdr>
                <w:top w:val="none" w:sz="0" w:space="0" w:color="auto"/>
                <w:left w:val="none" w:sz="0" w:space="0" w:color="auto"/>
                <w:bottom w:val="none" w:sz="0" w:space="0" w:color="auto"/>
                <w:right w:val="none" w:sz="0" w:space="0" w:color="auto"/>
              </w:divBdr>
            </w:div>
            <w:div w:id="629287781">
              <w:marLeft w:val="0"/>
              <w:marRight w:val="0"/>
              <w:marTop w:val="0"/>
              <w:marBottom w:val="0"/>
              <w:divBdr>
                <w:top w:val="none" w:sz="0" w:space="0" w:color="auto"/>
                <w:left w:val="none" w:sz="0" w:space="0" w:color="auto"/>
                <w:bottom w:val="none" w:sz="0" w:space="0" w:color="auto"/>
                <w:right w:val="none" w:sz="0" w:space="0" w:color="auto"/>
              </w:divBdr>
            </w:div>
            <w:div w:id="1661156086">
              <w:marLeft w:val="0"/>
              <w:marRight w:val="0"/>
              <w:marTop w:val="0"/>
              <w:marBottom w:val="0"/>
              <w:divBdr>
                <w:top w:val="none" w:sz="0" w:space="0" w:color="auto"/>
                <w:left w:val="none" w:sz="0" w:space="0" w:color="auto"/>
                <w:bottom w:val="none" w:sz="0" w:space="0" w:color="auto"/>
                <w:right w:val="none" w:sz="0" w:space="0" w:color="auto"/>
              </w:divBdr>
            </w:div>
            <w:div w:id="2141341307">
              <w:marLeft w:val="0"/>
              <w:marRight w:val="0"/>
              <w:marTop w:val="0"/>
              <w:marBottom w:val="0"/>
              <w:divBdr>
                <w:top w:val="none" w:sz="0" w:space="0" w:color="auto"/>
                <w:left w:val="none" w:sz="0" w:space="0" w:color="auto"/>
                <w:bottom w:val="none" w:sz="0" w:space="0" w:color="auto"/>
                <w:right w:val="none" w:sz="0" w:space="0" w:color="auto"/>
              </w:divBdr>
            </w:div>
            <w:div w:id="1774205414">
              <w:marLeft w:val="0"/>
              <w:marRight w:val="0"/>
              <w:marTop w:val="0"/>
              <w:marBottom w:val="0"/>
              <w:divBdr>
                <w:top w:val="none" w:sz="0" w:space="0" w:color="auto"/>
                <w:left w:val="none" w:sz="0" w:space="0" w:color="auto"/>
                <w:bottom w:val="none" w:sz="0" w:space="0" w:color="auto"/>
                <w:right w:val="none" w:sz="0" w:space="0" w:color="auto"/>
              </w:divBdr>
            </w:div>
            <w:div w:id="1415084001">
              <w:marLeft w:val="0"/>
              <w:marRight w:val="0"/>
              <w:marTop w:val="0"/>
              <w:marBottom w:val="0"/>
              <w:divBdr>
                <w:top w:val="none" w:sz="0" w:space="0" w:color="auto"/>
                <w:left w:val="none" w:sz="0" w:space="0" w:color="auto"/>
                <w:bottom w:val="none" w:sz="0" w:space="0" w:color="auto"/>
                <w:right w:val="none" w:sz="0" w:space="0" w:color="auto"/>
              </w:divBdr>
            </w:div>
            <w:div w:id="265969406">
              <w:marLeft w:val="0"/>
              <w:marRight w:val="0"/>
              <w:marTop w:val="0"/>
              <w:marBottom w:val="0"/>
              <w:divBdr>
                <w:top w:val="none" w:sz="0" w:space="0" w:color="auto"/>
                <w:left w:val="none" w:sz="0" w:space="0" w:color="auto"/>
                <w:bottom w:val="none" w:sz="0" w:space="0" w:color="auto"/>
                <w:right w:val="none" w:sz="0" w:space="0" w:color="auto"/>
              </w:divBdr>
            </w:div>
            <w:div w:id="1421873543">
              <w:marLeft w:val="0"/>
              <w:marRight w:val="0"/>
              <w:marTop w:val="0"/>
              <w:marBottom w:val="0"/>
              <w:divBdr>
                <w:top w:val="none" w:sz="0" w:space="0" w:color="auto"/>
                <w:left w:val="none" w:sz="0" w:space="0" w:color="auto"/>
                <w:bottom w:val="none" w:sz="0" w:space="0" w:color="auto"/>
                <w:right w:val="none" w:sz="0" w:space="0" w:color="auto"/>
              </w:divBdr>
            </w:div>
            <w:div w:id="1895388739">
              <w:marLeft w:val="0"/>
              <w:marRight w:val="0"/>
              <w:marTop w:val="0"/>
              <w:marBottom w:val="0"/>
              <w:divBdr>
                <w:top w:val="none" w:sz="0" w:space="0" w:color="auto"/>
                <w:left w:val="none" w:sz="0" w:space="0" w:color="auto"/>
                <w:bottom w:val="none" w:sz="0" w:space="0" w:color="auto"/>
                <w:right w:val="none" w:sz="0" w:space="0" w:color="auto"/>
              </w:divBdr>
            </w:div>
            <w:div w:id="1819834714">
              <w:marLeft w:val="0"/>
              <w:marRight w:val="0"/>
              <w:marTop w:val="0"/>
              <w:marBottom w:val="0"/>
              <w:divBdr>
                <w:top w:val="none" w:sz="0" w:space="0" w:color="auto"/>
                <w:left w:val="none" w:sz="0" w:space="0" w:color="auto"/>
                <w:bottom w:val="none" w:sz="0" w:space="0" w:color="auto"/>
                <w:right w:val="none" w:sz="0" w:space="0" w:color="auto"/>
              </w:divBdr>
            </w:div>
            <w:div w:id="637422318">
              <w:marLeft w:val="0"/>
              <w:marRight w:val="0"/>
              <w:marTop w:val="0"/>
              <w:marBottom w:val="0"/>
              <w:divBdr>
                <w:top w:val="none" w:sz="0" w:space="0" w:color="auto"/>
                <w:left w:val="none" w:sz="0" w:space="0" w:color="auto"/>
                <w:bottom w:val="none" w:sz="0" w:space="0" w:color="auto"/>
                <w:right w:val="none" w:sz="0" w:space="0" w:color="auto"/>
              </w:divBdr>
            </w:div>
            <w:div w:id="604076217">
              <w:marLeft w:val="0"/>
              <w:marRight w:val="0"/>
              <w:marTop w:val="0"/>
              <w:marBottom w:val="0"/>
              <w:divBdr>
                <w:top w:val="none" w:sz="0" w:space="0" w:color="auto"/>
                <w:left w:val="none" w:sz="0" w:space="0" w:color="auto"/>
                <w:bottom w:val="none" w:sz="0" w:space="0" w:color="auto"/>
                <w:right w:val="none" w:sz="0" w:space="0" w:color="auto"/>
              </w:divBdr>
            </w:div>
            <w:div w:id="50463072">
              <w:marLeft w:val="0"/>
              <w:marRight w:val="0"/>
              <w:marTop w:val="0"/>
              <w:marBottom w:val="0"/>
              <w:divBdr>
                <w:top w:val="none" w:sz="0" w:space="0" w:color="auto"/>
                <w:left w:val="none" w:sz="0" w:space="0" w:color="auto"/>
                <w:bottom w:val="none" w:sz="0" w:space="0" w:color="auto"/>
                <w:right w:val="none" w:sz="0" w:space="0" w:color="auto"/>
              </w:divBdr>
            </w:div>
            <w:div w:id="1315835669">
              <w:marLeft w:val="0"/>
              <w:marRight w:val="0"/>
              <w:marTop w:val="0"/>
              <w:marBottom w:val="0"/>
              <w:divBdr>
                <w:top w:val="none" w:sz="0" w:space="0" w:color="auto"/>
                <w:left w:val="none" w:sz="0" w:space="0" w:color="auto"/>
                <w:bottom w:val="none" w:sz="0" w:space="0" w:color="auto"/>
                <w:right w:val="none" w:sz="0" w:space="0" w:color="auto"/>
              </w:divBdr>
            </w:div>
            <w:div w:id="708646548">
              <w:marLeft w:val="0"/>
              <w:marRight w:val="0"/>
              <w:marTop w:val="0"/>
              <w:marBottom w:val="0"/>
              <w:divBdr>
                <w:top w:val="none" w:sz="0" w:space="0" w:color="auto"/>
                <w:left w:val="none" w:sz="0" w:space="0" w:color="auto"/>
                <w:bottom w:val="none" w:sz="0" w:space="0" w:color="auto"/>
                <w:right w:val="none" w:sz="0" w:space="0" w:color="auto"/>
              </w:divBdr>
            </w:div>
            <w:div w:id="710109201">
              <w:marLeft w:val="0"/>
              <w:marRight w:val="0"/>
              <w:marTop w:val="0"/>
              <w:marBottom w:val="0"/>
              <w:divBdr>
                <w:top w:val="none" w:sz="0" w:space="0" w:color="auto"/>
                <w:left w:val="none" w:sz="0" w:space="0" w:color="auto"/>
                <w:bottom w:val="none" w:sz="0" w:space="0" w:color="auto"/>
                <w:right w:val="none" w:sz="0" w:space="0" w:color="auto"/>
              </w:divBdr>
            </w:div>
            <w:div w:id="1133340">
              <w:marLeft w:val="0"/>
              <w:marRight w:val="0"/>
              <w:marTop w:val="0"/>
              <w:marBottom w:val="0"/>
              <w:divBdr>
                <w:top w:val="none" w:sz="0" w:space="0" w:color="auto"/>
                <w:left w:val="none" w:sz="0" w:space="0" w:color="auto"/>
                <w:bottom w:val="none" w:sz="0" w:space="0" w:color="auto"/>
                <w:right w:val="none" w:sz="0" w:space="0" w:color="auto"/>
              </w:divBdr>
            </w:div>
            <w:div w:id="2099985052">
              <w:marLeft w:val="0"/>
              <w:marRight w:val="0"/>
              <w:marTop w:val="0"/>
              <w:marBottom w:val="0"/>
              <w:divBdr>
                <w:top w:val="none" w:sz="0" w:space="0" w:color="auto"/>
                <w:left w:val="none" w:sz="0" w:space="0" w:color="auto"/>
                <w:bottom w:val="none" w:sz="0" w:space="0" w:color="auto"/>
                <w:right w:val="none" w:sz="0" w:space="0" w:color="auto"/>
              </w:divBdr>
            </w:div>
            <w:div w:id="21440422">
              <w:marLeft w:val="0"/>
              <w:marRight w:val="0"/>
              <w:marTop w:val="0"/>
              <w:marBottom w:val="0"/>
              <w:divBdr>
                <w:top w:val="none" w:sz="0" w:space="0" w:color="auto"/>
                <w:left w:val="none" w:sz="0" w:space="0" w:color="auto"/>
                <w:bottom w:val="none" w:sz="0" w:space="0" w:color="auto"/>
                <w:right w:val="none" w:sz="0" w:space="0" w:color="auto"/>
              </w:divBdr>
            </w:div>
            <w:div w:id="709651189">
              <w:marLeft w:val="0"/>
              <w:marRight w:val="0"/>
              <w:marTop w:val="0"/>
              <w:marBottom w:val="0"/>
              <w:divBdr>
                <w:top w:val="none" w:sz="0" w:space="0" w:color="auto"/>
                <w:left w:val="none" w:sz="0" w:space="0" w:color="auto"/>
                <w:bottom w:val="none" w:sz="0" w:space="0" w:color="auto"/>
                <w:right w:val="none" w:sz="0" w:space="0" w:color="auto"/>
              </w:divBdr>
            </w:div>
            <w:div w:id="1394428704">
              <w:marLeft w:val="0"/>
              <w:marRight w:val="0"/>
              <w:marTop w:val="0"/>
              <w:marBottom w:val="0"/>
              <w:divBdr>
                <w:top w:val="none" w:sz="0" w:space="0" w:color="auto"/>
                <w:left w:val="none" w:sz="0" w:space="0" w:color="auto"/>
                <w:bottom w:val="none" w:sz="0" w:space="0" w:color="auto"/>
                <w:right w:val="none" w:sz="0" w:space="0" w:color="auto"/>
              </w:divBdr>
            </w:div>
            <w:div w:id="604310136">
              <w:marLeft w:val="0"/>
              <w:marRight w:val="0"/>
              <w:marTop w:val="0"/>
              <w:marBottom w:val="0"/>
              <w:divBdr>
                <w:top w:val="none" w:sz="0" w:space="0" w:color="auto"/>
                <w:left w:val="none" w:sz="0" w:space="0" w:color="auto"/>
                <w:bottom w:val="none" w:sz="0" w:space="0" w:color="auto"/>
                <w:right w:val="none" w:sz="0" w:space="0" w:color="auto"/>
              </w:divBdr>
            </w:div>
            <w:div w:id="994139945">
              <w:marLeft w:val="0"/>
              <w:marRight w:val="0"/>
              <w:marTop w:val="0"/>
              <w:marBottom w:val="0"/>
              <w:divBdr>
                <w:top w:val="none" w:sz="0" w:space="0" w:color="auto"/>
                <w:left w:val="none" w:sz="0" w:space="0" w:color="auto"/>
                <w:bottom w:val="none" w:sz="0" w:space="0" w:color="auto"/>
                <w:right w:val="none" w:sz="0" w:space="0" w:color="auto"/>
              </w:divBdr>
            </w:div>
            <w:div w:id="1262030861">
              <w:marLeft w:val="0"/>
              <w:marRight w:val="0"/>
              <w:marTop w:val="0"/>
              <w:marBottom w:val="0"/>
              <w:divBdr>
                <w:top w:val="none" w:sz="0" w:space="0" w:color="auto"/>
                <w:left w:val="none" w:sz="0" w:space="0" w:color="auto"/>
                <w:bottom w:val="none" w:sz="0" w:space="0" w:color="auto"/>
                <w:right w:val="none" w:sz="0" w:space="0" w:color="auto"/>
              </w:divBdr>
            </w:div>
            <w:div w:id="1351838723">
              <w:marLeft w:val="0"/>
              <w:marRight w:val="0"/>
              <w:marTop w:val="0"/>
              <w:marBottom w:val="0"/>
              <w:divBdr>
                <w:top w:val="none" w:sz="0" w:space="0" w:color="auto"/>
                <w:left w:val="none" w:sz="0" w:space="0" w:color="auto"/>
                <w:bottom w:val="none" w:sz="0" w:space="0" w:color="auto"/>
                <w:right w:val="none" w:sz="0" w:space="0" w:color="auto"/>
              </w:divBdr>
            </w:div>
            <w:div w:id="1428186988">
              <w:marLeft w:val="0"/>
              <w:marRight w:val="0"/>
              <w:marTop w:val="0"/>
              <w:marBottom w:val="0"/>
              <w:divBdr>
                <w:top w:val="none" w:sz="0" w:space="0" w:color="auto"/>
                <w:left w:val="none" w:sz="0" w:space="0" w:color="auto"/>
                <w:bottom w:val="none" w:sz="0" w:space="0" w:color="auto"/>
                <w:right w:val="none" w:sz="0" w:space="0" w:color="auto"/>
              </w:divBdr>
            </w:div>
            <w:div w:id="1254783810">
              <w:marLeft w:val="0"/>
              <w:marRight w:val="0"/>
              <w:marTop w:val="0"/>
              <w:marBottom w:val="0"/>
              <w:divBdr>
                <w:top w:val="none" w:sz="0" w:space="0" w:color="auto"/>
                <w:left w:val="none" w:sz="0" w:space="0" w:color="auto"/>
                <w:bottom w:val="none" w:sz="0" w:space="0" w:color="auto"/>
                <w:right w:val="none" w:sz="0" w:space="0" w:color="auto"/>
              </w:divBdr>
            </w:div>
            <w:div w:id="821777753">
              <w:marLeft w:val="0"/>
              <w:marRight w:val="0"/>
              <w:marTop w:val="0"/>
              <w:marBottom w:val="0"/>
              <w:divBdr>
                <w:top w:val="none" w:sz="0" w:space="0" w:color="auto"/>
                <w:left w:val="none" w:sz="0" w:space="0" w:color="auto"/>
                <w:bottom w:val="none" w:sz="0" w:space="0" w:color="auto"/>
                <w:right w:val="none" w:sz="0" w:space="0" w:color="auto"/>
              </w:divBdr>
            </w:div>
            <w:div w:id="1450127741">
              <w:marLeft w:val="0"/>
              <w:marRight w:val="0"/>
              <w:marTop w:val="0"/>
              <w:marBottom w:val="0"/>
              <w:divBdr>
                <w:top w:val="none" w:sz="0" w:space="0" w:color="auto"/>
                <w:left w:val="none" w:sz="0" w:space="0" w:color="auto"/>
                <w:bottom w:val="none" w:sz="0" w:space="0" w:color="auto"/>
                <w:right w:val="none" w:sz="0" w:space="0" w:color="auto"/>
              </w:divBdr>
            </w:div>
            <w:div w:id="238487108">
              <w:marLeft w:val="0"/>
              <w:marRight w:val="0"/>
              <w:marTop w:val="0"/>
              <w:marBottom w:val="0"/>
              <w:divBdr>
                <w:top w:val="none" w:sz="0" w:space="0" w:color="auto"/>
                <w:left w:val="none" w:sz="0" w:space="0" w:color="auto"/>
                <w:bottom w:val="none" w:sz="0" w:space="0" w:color="auto"/>
                <w:right w:val="none" w:sz="0" w:space="0" w:color="auto"/>
              </w:divBdr>
            </w:div>
            <w:div w:id="1483498627">
              <w:marLeft w:val="0"/>
              <w:marRight w:val="0"/>
              <w:marTop w:val="0"/>
              <w:marBottom w:val="0"/>
              <w:divBdr>
                <w:top w:val="none" w:sz="0" w:space="0" w:color="auto"/>
                <w:left w:val="none" w:sz="0" w:space="0" w:color="auto"/>
                <w:bottom w:val="none" w:sz="0" w:space="0" w:color="auto"/>
                <w:right w:val="none" w:sz="0" w:space="0" w:color="auto"/>
              </w:divBdr>
            </w:div>
            <w:div w:id="675577615">
              <w:marLeft w:val="0"/>
              <w:marRight w:val="0"/>
              <w:marTop w:val="0"/>
              <w:marBottom w:val="0"/>
              <w:divBdr>
                <w:top w:val="none" w:sz="0" w:space="0" w:color="auto"/>
                <w:left w:val="none" w:sz="0" w:space="0" w:color="auto"/>
                <w:bottom w:val="none" w:sz="0" w:space="0" w:color="auto"/>
                <w:right w:val="none" w:sz="0" w:space="0" w:color="auto"/>
              </w:divBdr>
            </w:div>
            <w:div w:id="99568199">
              <w:marLeft w:val="0"/>
              <w:marRight w:val="0"/>
              <w:marTop w:val="0"/>
              <w:marBottom w:val="0"/>
              <w:divBdr>
                <w:top w:val="none" w:sz="0" w:space="0" w:color="auto"/>
                <w:left w:val="none" w:sz="0" w:space="0" w:color="auto"/>
                <w:bottom w:val="none" w:sz="0" w:space="0" w:color="auto"/>
                <w:right w:val="none" w:sz="0" w:space="0" w:color="auto"/>
              </w:divBdr>
            </w:div>
            <w:div w:id="365444396">
              <w:marLeft w:val="0"/>
              <w:marRight w:val="0"/>
              <w:marTop w:val="0"/>
              <w:marBottom w:val="0"/>
              <w:divBdr>
                <w:top w:val="none" w:sz="0" w:space="0" w:color="auto"/>
                <w:left w:val="none" w:sz="0" w:space="0" w:color="auto"/>
                <w:bottom w:val="none" w:sz="0" w:space="0" w:color="auto"/>
                <w:right w:val="none" w:sz="0" w:space="0" w:color="auto"/>
              </w:divBdr>
            </w:div>
            <w:div w:id="1464080990">
              <w:marLeft w:val="0"/>
              <w:marRight w:val="0"/>
              <w:marTop w:val="0"/>
              <w:marBottom w:val="0"/>
              <w:divBdr>
                <w:top w:val="none" w:sz="0" w:space="0" w:color="auto"/>
                <w:left w:val="none" w:sz="0" w:space="0" w:color="auto"/>
                <w:bottom w:val="none" w:sz="0" w:space="0" w:color="auto"/>
                <w:right w:val="none" w:sz="0" w:space="0" w:color="auto"/>
              </w:divBdr>
            </w:div>
            <w:div w:id="658768980">
              <w:marLeft w:val="0"/>
              <w:marRight w:val="0"/>
              <w:marTop w:val="0"/>
              <w:marBottom w:val="0"/>
              <w:divBdr>
                <w:top w:val="none" w:sz="0" w:space="0" w:color="auto"/>
                <w:left w:val="none" w:sz="0" w:space="0" w:color="auto"/>
                <w:bottom w:val="none" w:sz="0" w:space="0" w:color="auto"/>
                <w:right w:val="none" w:sz="0" w:space="0" w:color="auto"/>
              </w:divBdr>
            </w:div>
            <w:div w:id="222326790">
              <w:marLeft w:val="0"/>
              <w:marRight w:val="0"/>
              <w:marTop w:val="0"/>
              <w:marBottom w:val="0"/>
              <w:divBdr>
                <w:top w:val="none" w:sz="0" w:space="0" w:color="auto"/>
                <w:left w:val="none" w:sz="0" w:space="0" w:color="auto"/>
                <w:bottom w:val="none" w:sz="0" w:space="0" w:color="auto"/>
                <w:right w:val="none" w:sz="0" w:space="0" w:color="auto"/>
              </w:divBdr>
            </w:div>
            <w:div w:id="1209606901">
              <w:marLeft w:val="0"/>
              <w:marRight w:val="0"/>
              <w:marTop w:val="0"/>
              <w:marBottom w:val="0"/>
              <w:divBdr>
                <w:top w:val="none" w:sz="0" w:space="0" w:color="auto"/>
                <w:left w:val="none" w:sz="0" w:space="0" w:color="auto"/>
                <w:bottom w:val="none" w:sz="0" w:space="0" w:color="auto"/>
                <w:right w:val="none" w:sz="0" w:space="0" w:color="auto"/>
              </w:divBdr>
            </w:div>
            <w:div w:id="600800129">
              <w:marLeft w:val="0"/>
              <w:marRight w:val="0"/>
              <w:marTop w:val="0"/>
              <w:marBottom w:val="0"/>
              <w:divBdr>
                <w:top w:val="none" w:sz="0" w:space="0" w:color="auto"/>
                <w:left w:val="none" w:sz="0" w:space="0" w:color="auto"/>
                <w:bottom w:val="none" w:sz="0" w:space="0" w:color="auto"/>
                <w:right w:val="none" w:sz="0" w:space="0" w:color="auto"/>
              </w:divBdr>
            </w:div>
            <w:div w:id="958101389">
              <w:marLeft w:val="0"/>
              <w:marRight w:val="0"/>
              <w:marTop w:val="0"/>
              <w:marBottom w:val="0"/>
              <w:divBdr>
                <w:top w:val="none" w:sz="0" w:space="0" w:color="auto"/>
                <w:left w:val="none" w:sz="0" w:space="0" w:color="auto"/>
                <w:bottom w:val="none" w:sz="0" w:space="0" w:color="auto"/>
                <w:right w:val="none" w:sz="0" w:space="0" w:color="auto"/>
              </w:divBdr>
            </w:div>
            <w:div w:id="138958706">
              <w:marLeft w:val="0"/>
              <w:marRight w:val="0"/>
              <w:marTop w:val="0"/>
              <w:marBottom w:val="0"/>
              <w:divBdr>
                <w:top w:val="none" w:sz="0" w:space="0" w:color="auto"/>
                <w:left w:val="none" w:sz="0" w:space="0" w:color="auto"/>
                <w:bottom w:val="none" w:sz="0" w:space="0" w:color="auto"/>
                <w:right w:val="none" w:sz="0" w:space="0" w:color="auto"/>
              </w:divBdr>
            </w:div>
            <w:div w:id="1133669228">
              <w:marLeft w:val="0"/>
              <w:marRight w:val="0"/>
              <w:marTop w:val="0"/>
              <w:marBottom w:val="0"/>
              <w:divBdr>
                <w:top w:val="none" w:sz="0" w:space="0" w:color="auto"/>
                <w:left w:val="none" w:sz="0" w:space="0" w:color="auto"/>
                <w:bottom w:val="none" w:sz="0" w:space="0" w:color="auto"/>
                <w:right w:val="none" w:sz="0" w:space="0" w:color="auto"/>
              </w:divBdr>
            </w:div>
            <w:div w:id="615215005">
              <w:marLeft w:val="0"/>
              <w:marRight w:val="0"/>
              <w:marTop w:val="0"/>
              <w:marBottom w:val="0"/>
              <w:divBdr>
                <w:top w:val="none" w:sz="0" w:space="0" w:color="auto"/>
                <w:left w:val="none" w:sz="0" w:space="0" w:color="auto"/>
                <w:bottom w:val="none" w:sz="0" w:space="0" w:color="auto"/>
                <w:right w:val="none" w:sz="0" w:space="0" w:color="auto"/>
              </w:divBdr>
            </w:div>
            <w:div w:id="2063871614">
              <w:marLeft w:val="0"/>
              <w:marRight w:val="0"/>
              <w:marTop w:val="0"/>
              <w:marBottom w:val="0"/>
              <w:divBdr>
                <w:top w:val="none" w:sz="0" w:space="0" w:color="auto"/>
                <w:left w:val="none" w:sz="0" w:space="0" w:color="auto"/>
                <w:bottom w:val="none" w:sz="0" w:space="0" w:color="auto"/>
                <w:right w:val="none" w:sz="0" w:space="0" w:color="auto"/>
              </w:divBdr>
            </w:div>
            <w:div w:id="726413721">
              <w:marLeft w:val="0"/>
              <w:marRight w:val="0"/>
              <w:marTop w:val="0"/>
              <w:marBottom w:val="0"/>
              <w:divBdr>
                <w:top w:val="none" w:sz="0" w:space="0" w:color="auto"/>
                <w:left w:val="none" w:sz="0" w:space="0" w:color="auto"/>
                <w:bottom w:val="none" w:sz="0" w:space="0" w:color="auto"/>
                <w:right w:val="none" w:sz="0" w:space="0" w:color="auto"/>
              </w:divBdr>
            </w:div>
            <w:div w:id="1249270851">
              <w:marLeft w:val="0"/>
              <w:marRight w:val="0"/>
              <w:marTop w:val="0"/>
              <w:marBottom w:val="0"/>
              <w:divBdr>
                <w:top w:val="none" w:sz="0" w:space="0" w:color="auto"/>
                <w:left w:val="none" w:sz="0" w:space="0" w:color="auto"/>
                <w:bottom w:val="none" w:sz="0" w:space="0" w:color="auto"/>
                <w:right w:val="none" w:sz="0" w:space="0" w:color="auto"/>
              </w:divBdr>
            </w:div>
            <w:div w:id="635649162">
              <w:marLeft w:val="0"/>
              <w:marRight w:val="0"/>
              <w:marTop w:val="0"/>
              <w:marBottom w:val="0"/>
              <w:divBdr>
                <w:top w:val="none" w:sz="0" w:space="0" w:color="auto"/>
                <w:left w:val="none" w:sz="0" w:space="0" w:color="auto"/>
                <w:bottom w:val="none" w:sz="0" w:space="0" w:color="auto"/>
                <w:right w:val="none" w:sz="0" w:space="0" w:color="auto"/>
              </w:divBdr>
            </w:div>
            <w:div w:id="249051141">
              <w:marLeft w:val="0"/>
              <w:marRight w:val="0"/>
              <w:marTop w:val="0"/>
              <w:marBottom w:val="0"/>
              <w:divBdr>
                <w:top w:val="none" w:sz="0" w:space="0" w:color="auto"/>
                <w:left w:val="none" w:sz="0" w:space="0" w:color="auto"/>
                <w:bottom w:val="none" w:sz="0" w:space="0" w:color="auto"/>
                <w:right w:val="none" w:sz="0" w:space="0" w:color="auto"/>
              </w:divBdr>
            </w:div>
            <w:div w:id="1066489677">
              <w:marLeft w:val="0"/>
              <w:marRight w:val="0"/>
              <w:marTop w:val="0"/>
              <w:marBottom w:val="0"/>
              <w:divBdr>
                <w:top w:val="none" w:sz="0" w:space="0" w:color="auto"/>
                <w:left w:val="none" w:sz="0" w:space="0" w:color="auto"/>
                <w:bottom w:val="none" w:sz="0" w:space="0" w:color="auto"/>
                <w:right w:val="none" w:sz="0" w:space="0" w:color="auto"/>
              </w:divBdr>
            </w:div>
            <w:div w:id="1091196774">
              <w:marLeft w:val="0"/>
              <w:marRight w:val="0"/>
              <w:marTop w:val="0"/>
              <w:marBottom w:val="0"/>
              <w:divBdr>
                <w:top w:val="none" w:sz="0" w:space="0" w:color="auto"/>
                <w:left w:val="none" w:sz="0" w:space="0" w:color="auto"/>
                <w:bottom w:val="none" w:sz="0" w:space="0" w:color="auto"/>
                <w:right w:val="none" w:sz="0" w:space="0" w:color="auto"/>
              </w:divBdr>
            </w:div>
            <w:div w:id="99030651">
              <w:marLeft w:val="0"/>
              <w:marRight w:val="0"/>
              <w:marTop w:val="0"/>
              <w:marBottom w:val="0"/>
              <w:divBdr>
                <w:top w:val="none" w:sz="0" w:space="0" w:color="auto"/>
                <w:left w:val="none" w:sz="0" w:space="0" w:color="auto"/>
                <w:bottom w:val="none" w:sz="0" w:space="0" w:color="auto"/>
                <w:right w:val="none" w:sz="0" w:space="0" w:color="auto"/>
              </w:divBdr>
            </w:div>
            <w:div w:id="1838380794">
              <w:marLeft w:val="0"/>
              <w:marRight w:val="0"/>
              <w:marTop w:val="0"/>
              <w:marBottom w:val="0"/>
              <w:divBdr>
                <w:top w:val="none" w:sz="0" w:space="0" w:color="auto"/>
                <w:left w:val="none" w:sz="0" w:space="0" w:color="auto"/>
                <w:bottom w:val="none" w:sz="0" w:space="0" w:color="auto"/>
                <w:right w:val="none" w:sz="0" w:space="0" w:color="auto"/>
              </w:divBdr>
            </w:div>
            <w:div w:id="1989746423">
              <w:marLeft w:val="0"/>
              <w:marRight w:val="0"/>
              <w:marTop w:val="0"/>
              <w:marBottom w:val="0"/>
              <w:divBdr>
                <w:top w:val="none" w:sz="0" w:space="0" w:color="auto"/>
                <w:left w:val="none" w:sz="0" w:space="0" w:color="auto"/>
                <w:bottom w:val="none" w:sz="0" w:space="0" w:color="auto"/>
                <w:right w:val="none" w:sz="0" w:space="0" w:color="auto"/>
              </w:divBdr>
            </w:div>
            <w:div w:id="25375691">
              <w:marLeft w:val="0"/>
              <w:marRight w:val="0"/>
              <w:marTop w:val="0"/>
              <w:marBottom w:val="0"/>
              <w:divBdr>
                <w:top w:val="none" w:sz="0" w:space="0" w:color="auto"/>
                <w:left w:val="none" w:sz="0" w:space="0" w:color="auto"/>
                <w:bottom w:val="none" w:sz="0" w:space="0" w:color="auto"/>
                <w:right w:val="none" w:sz="0" w:space="0" w:color="auto"/>
              </w:divBdr>
            </w:div>
            <w:div w:id="292175651">
              <w:marLeft w:val="0"/>
              <w:marRight w:val="0"/>
              <w:marTop w:val="0"/>
              <w:marBottom w:val="0"/>
              <w:divBdr>
                <w:top w:val="none" w:sz="0" w:space="0" w:color="auto"/>
                <w:left w:val="none" w:sz="0" w:space="0" w:color="auto"/>
                <w:bottom w:val="none" w:sz="0" w:space="0" w:color="auto"/>
                <w:right w:val="none" w:sz="0" w:space="0" w:color="auto"/>
              </w:divBdr>
            </w:div>
            <w:div w:id="1154763148">
              <w:marLeft w:val="0"/>
              <w:marRight w:val="0"/>
              <w:marTop w:val="0"/>
              <w:marBottom w:val="0"/>
              <w:divBdr>
                <w:top w:val="none" w:sz="0" w:space="0" w:color="auto"/>
                <w:left w:val="none" w:sz="0" w:space="0" w:color="auto"/>
                <w:bottom w:val="none" w:sz="0" w:space="0" w:color="auto"/>
                <w:right w:val="none" w:sz="0" w:space="0" w:color="auto"/>
              </w:divBdr>
            </w:div>
            <w:div w:id="654186915">
              <w:marLeft w:val="0"/>
              <w:marRight w:val="0"/>
              <w:marTop w:val="0"/>
              <w:marBottom w:val="0"/>
              <w:divBdr>
                <w:top w:val="none" w:sz="0" w:space="0" w:color="auto"/>
                <w:left w:val="none" w:sz="0" w:space="0" w:color="auto"/>
                <w:bottom w:val="none" w:sz="0" w:space="0" w:color="auto"/>
                <w:right w:val="none" w:sz="0" w:space="0" w:color="auto"/>
              </w:divBdr>
            </w:div>
            <w:div w:id="591089979">
              <w:marLeft w:val="0"/>
              <w:marRight w:val="0"/>
              <w:marTop w:val="0"/>
              <w:marBottom w:val="0"/>
              <w:divBdr>
                <w:top w:val="none" w:sz="0" w:space="0" w:color="auto"/>
                <w:left w:val="none" w:sz="0" w:space="0" w:color="auto"/>
                <w:bottom w:val="none" w:sz="0" w:space="0" w:color="auto"/>
                <w:right w:val="none" w:sz="0" w:space="0" w:color="auto"/>
              </w:divBdr>
            </w:div>
            <w:div w:id="1910654397">
              <w:marLeft w:val="0"/>
              <w:marRight w:val="0"/>
              <w:marTop w:val="0"/>
              <w:marBottom w:val="0"/>
              <w:divBdr>
                <w:top w:val="none" w:sz="0" w:space="0" w:color="auto"/>
                <w:left w:val="none" w:sz="0" w:space="0" w:color="auto"/>
                <w:bottom w:val="none" w:sz="0" w:space="0" w:color="auto"/>
                <w:right w:val="none" w:sz="0" w:space="0" w:color="auto"/>
              </w:divBdr>
            </w:div>
            <w:div w:id="180515779">
              <w:marLeft w:val="0"/>
              <w:marRight w:val="0"/>
              <w:marTop w:val="0"/>
              <w:marBottom w:val="0"/>
              <w:divBdr>
                <w:top w:val="none" w:sz="0" w:space="0" w:color="auto"/>
                <w:left w:val="none" w:sz="0" w:space="0" w:color="auto"/>
                <w:bottom w:val="none" w:sz="0" w:space="0" w:color="auto"/>
                <w:right w:val="none" w:sz="0" w:space="0" w:color="auto"/>
              </w:divBdr>
            </w:div>
            <w:div w:id="78133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jgrd.50301" TargetMode="External"/><Relationship Id="rId18" Type="http://schemas.openxmlformats.org/officeDocument/2006/relationships/hyperlink" Target="https://doi.org/10.1029/2006WR005804" TargetMode="External"/><Relationship Id="rId26" Type="http://schemas.openxmlformats.org/officeDocument/2006/relationships/hyperlink" Target="https://doi.org/10.1175/2008JHM916.1" TargetMode="External"/><Relationship Id="rId39" Type="http://schemas.openxmlformats.org/officeDocument/2006/relationships/hyperlink" Target="https://doi.org/10.1016/j.earscirev.2010.02.004" TargetMode="External"/><Relationship Id="rId21" Type="http://schemas.openxmlformats.org/officeDocument/2006/relationships/hyperlink" Target="https://doi.org/10.1175/JHM473.1" TargetMode="External"/><Relationship Id="rId34" Type="http://schemas.openxmlformats.org/officeDocument/2006/relationships/hyperlink" Target="https://doi.org/10.1175/1520-0477(2000)081%3c1281:TGSMDB%3e2.3.CO;2" TargetMode="External"/><Relationship Id="rId42" Type="http://schemas.openxmlformats.org/officeDocument/2006/relationships/hyperlink" Target="https://doi.org/10.1175/2008BAMS2634.1" TargetMode="External"/><Relationship Id="rId47" Type="http://schemas.openxmlformats.org/officeDocument/2006/relationships/hyperlink" Target="https://www.epa.gov/uic/underground-injection-control-well-classes" TargetMode="External"/><Relationship Id="rId50" Type="http://schemas.openxmlformats.org/officeDocument/2006/relationships/hyperlink" Target="https://doi.org/10.1016/j.jhydrol.2014.02.027" TargetMode="External"/><Relationship Id="rId55" Type="http://schemas.openxmlformats.org/officeDocument/2006/relationships/image" Target="media/image4.png"/><Relationship Id="rId63" Type="http://schemas.openxmlformats.org/officeDocument/2006/relationships/image" Target="media/image12.png"/><Relationship Id="rId68" Type="http://schemas.openxmlformats.org/officeDocument/2006/relationships/image" Target="media/image17.png"/><Relationship Id="rId76" Type="http://schemas.openxmlformats.org/officeDocument/2006/relationships/image" Target="media/image25.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hyperlink" Target="https://doi.org/10.1016/0022-1694(87)90194-6" TargetMode="External"/><Relationship Id="rId29" Type="http://schemas.openxmlformats.org/officeDocument/2006/relationships/hyperlink" Target="https://doi.org/10.1029/2018WR024535" TargetMode="External"/><Relationship Id="rId11" Type="http://schemas.openxmlformats.org/officeDocument/2006/relationships/hyperlink" Target="https://doi.org/10.1109/JSTARS.2017.2651140" TargetMode="External"/><Relationship Id="rId24" Type="http://schemas.openxmlformats.org/officeDocument/2006/relationships/hyperlink" Target="https://doi.org/10.3390/rs13020228" TargetMode="External"/><Relationship Id="rId32" Type="http://schemas.openxmlformats.org/officeDocument/2006/relationships/hyperlink" Target="https://doi.org/10.1016/j.rse.2013.07.003" TargetMode="External"/><Relationship Id="rId37" Type="http://schemas.openxmlformats.org/officeDocument/2006/relationships/hyperlink" Target="https://doi.org/10.1029/2009WR007846" TargetMode="External"/><Relationship Id="rId40" Type="http://schemas.openxmlformats.org/officeDocument/2006/relationships/hyperlink" Target="https://doi.org/10.1016/j.measurement.2014.04.007" TargetMode="External"/><Relationship Id="rId45" Type="http://schemas.openxmlformats.org/officeDocument/2006/relationships/hyperlink" Target="https://www.epa.gov/uic/class-ii-oil-and-gas-related-injection-wells" TargetMode="External"/><Relationship Id="rId53" Type="http://schemas.openxmlformats.org/officeDocument/2006/relationships/image" Target="media/image2.png"/><Relationship Id="rId58" Type="http://schemas.openxmlformats.org/officeDocument/2006/relationships/image" Target="media/image7.png"/><Relationship Id="rId66" Type="http://schemas.openxmlformats.org/officeDocument/2006/relationships/image" Target="media/image15.png"/><Relationship Id="rId74" Type="http://schemas.openxmlformats.org/officeDocument/2006/relationships/image" Target="media/image23.png"/><Relationship Id="rId79" Type="http://schemas.openxmlformats.org/officeDocument/2006/relationships/image" Target="media/image28.png"/><Relationship Id="rId5" Type="http://schemas.openxmlformats.org/officeDocument/2006/relationships/webSettings" Target="webSettings.xml"/><Relationship Id="rId61" Type="http://schemas.openxmlformats.org/officeDocument/2006/relationships/image" Target="media/image10.jpg"/><Relationship Id="rId82" Type="http://schemas.openxmlformats.org/officeDocument/2006/relationships/fontTable" Target="fontTable.xml"/><Relationship Id="rId10" Type="http://schemas.openxmlformats.org/officeDocument/2006/relationships/hyperlink" Target="https://doi.org/10.1002/2015JD024131" TargetMode="External"/><Relationship Id="rId19" Type="http://schemas.openxmlformats.org/officeDocument/2006/relationships/hyperlink" Target="https://doi.org/10.1029/2001JD001515" TargetMode="External"/><Relationship Id="rId31" Type="http://schemas.openxmlformats.org/officeDocument/2006/relationships/hyperlink" Target="https://doi.org/10.1029/1999RG000072" TargetMode="External"/><Relationship Id="rId44" Type="http://schemas.openxmlformats.org/officeDocument/2006/relationships/hyperlink" Target="https://www.epa.gov/sdwa" TargetMode="External"/><Relationship Id="rId52" Type="http://schemas.openxmlformats.org/officeDocument/2006/relationships/image" Target="media/image1.png"/><Relationship Id="rId60" Type="http://schemas.openxmlformats.org/officeDocument/2006/relationships/image" Target="media/image9.png"/><Relationship Id="rId65" Type="http://schemas.openxmlformats.org/officeDocument/2006/relationships/image" Target="media/image14.png"/><Relationship Id="rId73" Type="http://schemas.openxmlformats.org/officeDocument/2006/relationships/image" Target="media/image22.png"/><Relationship Id="rId78" Type="http://schemas.openxmlformats.org/officeDocument/2006/relationships/image" Target="media/image27.png"/><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1016/j.rse.2011.11.017" TargetMode="External"/><Relationship Id="rId14" Type="http://schemas.openxmlformats.org/officeDocument/2006/relationships/hyperlink" Target="https://journals.ametsoc.org/view/journals/hydr/16/5/jhm-d-14-0096_1.xml" TargetMode="External"/><Relationship Id="rId22" Type="http://schemas.openxmlformats.org/officeDocument/2006/relationships/hyperlink" Target="https://doi.org/10.1175/1520-0442(1994)007%3c0822:ASMCOI%3e2.0.CO;2" TargetMode="External"/><Relationship Id="rId27" Type="http://schemas.openxmlformats.org/officeDocument/2006/relationships/hyperlink" Target="https://doi.org/10.1029/2003JD003823" TargetMode="External"/><Relationship Id="rId30" Type="http://schemas.openxmlformats.org/officeDocument/2006/relationships/hyperlink" Target="https://doi.org/10.1002/2016RG000543" TargetMode="External"/><Relationship Id="rId35" Type="http://schemas.openxmlformats.org/officeDocument/2006/relationships/hyperlink" Target="https://doi.org/10.1175/BAMS-85-3-381" TargetMode="External"/><Relationship Id="rId43" Type="http://schemas.openxmlformats.org/officeDocument/2006/relationships/hyperlink" Target="https://www.eia.gov/state/print.php?sid=OK" TargetMode="External"/><Relationship Id="rId48" Type="http://schemas.openxmlformats.org/officeDocument/2006/relationships/hyperlink" Target="https://doi.org/10.1016/j.sna.2006.05.010" TargetMode="External"/><Relationship Id="rId56" Type="http://schemas.openxmlformats.org/officeDocument/2006/relationships/image" Target="media/image5.png"/><Relationship Id="rId64" Type="http://schemas.openxmlformats.org/officeDocument/2006/relationships/image" Target="media/image13.png"/><Relationship Id="rId69" Type="http://schemas.openxmlformats.org/officeDocument/2006/relationships/image" Target="media/image18.png"/><Relationship Id="rId77" Type="http://schemas.openxmlformats.org/officeDocument/2006/relationships/image" Target="media/image26.png"/><Relationship Id="rId8" Type="http://schemas.openxmlformats.org/officeDocument/2006/relationships/footer" Target="footer1.xml"/><Relationship Id="rId51" Type="http://schemas.openxmlformats.org/officeDocument/2006/relationships/hyperlink" Target="https://doi.org/10.3390/rs9020104" TargetMode="External"/><Relationship Id="rId72" Type="http://schemas.openxmlformats.org/officeDocument/2006/relationships/image" Target="media/image21.png"/><Relationship Id="rId80"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hyperlink" Target="https://doi.org/10.1175/1520-0426(1995)012%3c0005:TOMATO%3e2.0.CO;2" TargetMode="External"/><Relationship Id="rId17" Type="http://schemas.openxmlformats.org/officeDocument/2006/relationships/hyperlink" Target="https://doi.org/10.1029/2002WR001439" TargetMode="External"/><Relationship Id="rId25" Type="http://schemas.openxmlformats.org/officeDocument/2006/relationships/hyperlink" Target="https://doi.org/10.1175/JTECH1976.1" TargetMode="External"/><Relationship Id="rId33" Type="http://schemas.openxmlformats.org/officeDocument/2006/relationships/hyperlink" Target="https://doi.org/10.2136/vzj2003.4440" TargetMode="External"/><Relationship Id="rId38" Type="http://schemas.openxmlformats.org/officeDocument/2006/relationships/hyperlink" Target="https://doi.org/10.1061/AJGEB6.0000184" TargetMode="External"/><Relationship Id="rId46" Type="http://schemas.openxmlformats.org/officeDocument/2006/relationships/hyperlink" Target="https://www.epa.gov/uic/general-information-about-injection-wells" TargetMode="External"/><Relationship Id="rId59" Type="http://schemas.openxmlformats.org/officeDocument/2006/relationships/image" Target="media/image8.png"/><Relationship Id="rId67" Type="http://schemas.openxmlformats.org/officeDocument/2006/relationships/image" Target="media/image16.png"/><Relationship Id="rId20" Type="http://schemas.openxmlformats.org/officeDocument/2006/relationships/hyperlink" Target="https://doi.org/10.1029/2018WR024039" TargetMode="External"/><Relationship Id="rId41" Type="http://schemas.openxmlformats.org/officeDocument/2006/relationships/hyperlink" Target="https://doi.org/10.1029/2007WR006057" TargetMode="External"/><Relationship Id="rId54" Type="http://schemas.openxmlformats.org/officeDocument/2006/relationships/image" Target="media/image3.png"/><Relationship Id="rId62" Type="http://schemas.openxmlformats.org/officeDocument/2006/relationships/image" Target="media/image11.jpg"/><Relationship Id="rId70" Type="http://schemas.openxmlformats.org/officeDocument/2006/relationships/image" Target="media/image19.png"/><Relationship Id="rId75" Type="http://schemas.openxmlformats.org/officeDocument/2006/relationships/image" Target="media/image24.png"/><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29/2011RG000372" TargetMode="External"/><Relationship Id="rId23" Type="http://schemas.openxmlformats.org/officeDocument/2006/relationships/hyperlink" Target="https://doi.org/10.1175/2007JTECHA993.1" TargetMode="External"/><Relationship Id="rId28" Type="http://schemas.openxmlformats.org/officeDocument/2006/relationships/hyperlink" Target="https://doi.org/10.2136/vzj2016.10.0105" TargetMode="External"/><Relationship Id="rId36" Type="http://schemas.openxmlformats.org/officeDocument/2006/relationships/hyperlink" Target="https://doi.org/10.1016/j.still.2004.10.004" TargetMode="External"/><Relationship Id="rId49" Type="http://schemas.openxmlformats.org/officeDocument/2006/relationships/hyperlink" Target="https://doi.org/10.3390/rs70911372" TargetMode="External"/><Relationship Id="rId57"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7BD52069-9054-4E1C-B18A-AB4657EBDA7D}"/>
      </w:docPartPr>
      <w:docPartBody>
        <w:p w:rsidR="00501C12" w:rsidRDefault="00501C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01C12"/>
    <w:rsid w:val="00295D28"/>
    <w:rsid w:val="00501C12"/>
    <w:rsid w:val="00C2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Vos14</b:Tag>
    <b:SourceType>ElectronicSource</b:SourceType>
    <b:Guid>{2677DD2B-A9CA-49D1-A6E9-93FBD29F46D4}</b:Guid>
    <b:Title>NOAA's Gridded Climate Divisional Dataset (CLIMDIV)</b:Title>
    <b:Year>2014</b:Year>
    <b:Author>
      <b:Author>
        <b:NameList>
          <b:Person>
            <b:Last>Vose</b:Last>
            <b:First>Russell</b:First>
            <b:Middle>S.</b:Middle>
          </b:Person>
          <b:Person>
            <b:Last>Applequist</b:Last>
            <b:First>Scott</b:First>
          </b:Person>
          <b:Person>
            <b:Last>Squires</b:Last>
            <b:First>Mike</b:First>
          </b:Person>
          <b:Person>
            <b:Last>Durre</b:Last>
            <b:First>Imke</b:First>
          </b:Person>
          <b:Person>
            <b:Last>Menne</b:Last>
            <b:First>Matthew</b:First>
            <b:Middle>J.</b:Middle>
          </b:Person>
          <b:Person>
            <b:Last>Williams</b:Last>
            <b:First>Claude</b:First>
            <b:Middle>N., Jr.</b:Middle>
          </b:Person>
          <b:Person>
            <b:Last>Fenimore</b:Last>
            <b:First>Chris</b:First>
          </b:Person>
          <b:Person>
            <b:Last>Gleason</b:Last>
            <b:First>Karin</b:First>
          </b:Person>
          <b:Person>
            <b:Last>Arndt</b:Last>
            <b:First>Derek</b:First>
          </b:Person>
        </b:NameList>
      </b:Author>
      <b:ProducerName>
        <b:NameList>
          <b:Person>
            <b:Last>Center</b:Last>
            <b:First>NOAA</b:First>
            <b:Middle>National Climatic Data</b:Middle>
          </b:Person>
        </b:NameList>
      </b:ProducerName>
    </b:Author>
    <b:YearAccessed>2021</b:YearAccessed>
    <b:MonthAccessed>04</b:MonthAccessed>
    <b:DayAccessed>10</b:DayAccessed>
    <b:DOI>10.7289/V5M32STR</b:DOI>
    <b:RefOrder>10</b:RefOrder>
  </b:Source>
</b:Sources>
</file>

<file path=customXml/itemProps1.xml><?xml version="1.0" encoding="utf-8"?>
<ds:datastoreItem xmlns:ds="http://schemas.openxmlformats.org/officeDocument/2006/customXml" ds:itemID="{D3B624CE-377E-44BB-975D-C9CC6DA81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123636</Words>
  <Characters>704730</Characters>
  <Application>Microsoft Office Word</Application>
  <DocSecurity>0</DocSecurity>
  <Lines>5872</Lines>
  <Paragraphs>1653</Paragraphs>
  <ScaleCrop>false</ScaleCrop>
  <Company>OU</Company>
  <LinksUpToDate>false</LinksUpToDate>
  <CharactersWithSpaces>826713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Hong, Zhen</cp:lastModifiedBy>
  <cp:revision>189</cp:revision>
  <cp:lastPrinted>2021-08-05T01:21:00Z</cp:lastPrinted>
  <dcterms:created xsi:type="dcterms:W3CDTF">2021-06-30T08:07:00Z</dcterms:created>
  <dcterms:modified xsi:type="dcterms:W3CDTF">2021-08-05T01:22:00Z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id="49mejIeJ"/&gt;&lt;style id="http://www.zotero.org/styles/apa" locale="en-US" hasBibliography="1" bibliographyStyleHasBeenSet="1"/&gt;&lt;prefs&gt;&lt;pref name="fieldType" value="Field"/&gt;&lt;/prefs&gt;&lt;/data&gt;</vt:lpwstr>
  </property>
</Properties>
</file>