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9DE0C"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bookmarkStart w:id="0" w:name="_Hlk135218790"/>
      <w:r w:rsidRPr="001F64A9">
        <w:rPr>
          <w:rFonts w:asciiTheme="majorBidi" w:hAnsiTheme="majorBidi" w:cstheme="majorBidi"/>
          <w:sz w:val="24"/>
          <w:szCs w:val="24"/>
          <w:lang w:val="en-GB"/>
        </w:rPr>
        <w:t>UNIVERSITY OF OKLAHOMA</w:t>
      </w:r>
    </w:p>
    <w:p w14:paraId="5E285D0E"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r w:rsidRPr="001F64A9">
        <w:rPr>
          <w:rFonts w:asciiTheme="majorBidi" w:hAnsiTheme="majorBidi" w:cstheme="majorBidi"/>
          <w:sz w:val="24"/>
          <w:szCs w:val="24"/>
          <w:lang w:val="en-GB"/>
        </w:rPr>
        <w:t>GRADUATE COLLEGE</w:t>
      </w:r>
    </w:p>
    <w:p w14:paraId="4D86D51A" w14:textId="77777777" w:rsidR="00EE5072" w:rsidRPr="001F64A9" w:rsidRDefault="00EE5072" w:rsidP="00EE5072">
      <w:pPr>
        <w:spacing w:before="100" w:beforeAutospacing="1" w:after="100" w:afterAutospacing="1" w:line="480" w:lineRule="auto"/>
        <w:rPr>
          <w:rFonts w:asciiTheme="majorBidi" w:hAnsiTheme="majorBidi" w:cstheme="majorBidi"/>
          <w:sz w:val="24"/>
          <w:szCs w:val="24"/>
          <w:lang w:val="en-GB"/>
        </w:rPr>
      </w:pPr>
    </w:p>
    <w:p w14:paraId="48AA1951" w14:textId="77777777" w:rsidR="00EE5072" w:rsidRPr="001F64A9" w:rsidRDefault="00EE5072" w:rsidP="00EE5072">
      <w:pPr>
        <w:spacing w:before="100" w:beforeAutospacing="1" w:after="100" w:afterAutospacing="1" w:line="480" w:lineRule="auto"/>
        <w:rPr>
          <w:rFonts w:asciiTheme="majorBidi" w:hAnsiTheme="majorBidi" w:cstheme="majorBidi"/>
          <w:sz w:val="24"/>
          <w:szCs w:val="24"/>
          <w:lang w:val="en-GB"/>
        </w:rPr>
      </w:pPr>
    </w:p>
    <w:p w14:paraId="409A0E38"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r w:rsidRPr="001F64A9">
        <w:rPr>
          <w:rFonts w:asciiTheme="majorBidi" w:hAnsiTheme="majorBidi" w:cstheme="majorBidi"/>
          <w:sz w:val="24"/>
          <w:szCs w:val="24"/>
          <w:lang w:val="en-GB"/>
        </w:rPr>
        <w:t>DIFFERENTIAL EFFECTS OF INFORMING AND FRAMING ON BENEFICENCE IN DO-NOT-RESUSCITATE ORDERS (DNR)</w:t>
      </w:r>
    </w:p>
    <w:p w14:paraId="7120535B"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p>
    <w:p w14:paraId="002AC22C"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r w:rsidRPr="001F64A9">
        <w:rPr>
          <w:rFonts w:asciiTheme="majorBidi" w:hAnsiTheme="majorBidi" w:cstheme="majorBidi"/>
          <w:sz w:val="24"/>
          <w:szCs w:val="24"/>
          <w:lang w:val="en-GB"/>
        </w:rPr>
        <w:t xml:space="preserve">A THESIS </w:t>
      </w:r>
    </w:p>
    <w:p w14:paraId="0367CC0F"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r w:rsidRPr="001F64A9">
        <w:rPr>
          <w:rFonts w:asciiTheme="majorBidi" w:hAnsiTheme="majorBidi" w:cstheme="majorBidi"/>
          <w:sz w:val="24"/>
          <w:szCs w:val="24"/>
          <w:lang w:val="en-GB"/>
        </w:rPr>
        <w:t xml:space="preserve">SUBMITTED TO THE GRADUATE FACULTY </w:t>
      </w:r>
    </w:p>
    <w:p w14:paraId="400C0629"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r w:rsidRPr="001F64A9">
        <w:rPr>
          <w:rFonts w:asciiTheme="majorBidi" w:hAnsiTheme="majorBidi" w:cstheme="majorBidi"/>
          <w:sz w:val="24"/>
          <w:szCs w:val="24"/>
          <w:lang w:val="en-GB"/>
        </w:rPr>
        <w:t xml:space="preserve">In partial fulfilment of the requirements for the </w:t>
      </w:r>
    </w:p>
    <w:p w14:paraId="28552946"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r w:rsidRPr="001F64A9">
        <w:rPr>
          <w:rFonts w:asciiTheme="majorBidi" w:hAnsiTheme="majorBidi" w:cstheme="majorBidi"/>
          <w:sz w:val="24"/>
          <w:szCs w:val="24"/>
          <w:lang w:val="en-GB"/>
        </w:rPr>
        <w:t>Degree of</w:t>
      </w:r>
    </w:p>
    <w:p w14:paraId="661D35F9"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r w:rsidRPr="001F64A9">
        <w:rPr>
          <w:rFonts w:asciiTheme="majorBidi" w:hAnsiTheme="majorBidi" w:cstheme="majorBidi"/>
          <w:sz w:val="24"/>
          <w:szCs w:val="24"/>
          <w:lang w:val="en-GB"/>
        </w:rPr>
        <w:t>MASTER OF SCIENCE</w:t>
      </w:r>
    </w:p>
    <w:p w14:paraId="09AC7F9B" w14:textId="77777777" w:rsidR="00EE5072" w:rsidRPr="001F64A9" w:rsidRDefault="00EE5072" w:rsidP="00EE5072">
      <w:pPr>
        <w:spacing w:before="100" w:beforeAutospacing="1" w:after="100" w:afterAutospacing="1" w:line="480" w:lineRule="auto"/>
        <w:rPr>
          <w:rFonts w:asciiTheme="majorBidi" w:hAnsiTheme="majorBidi" w:cstheme="majorBidi"/>
          <w:sz w:val="24"/>
          <w:szCs w:val="24"/>
          <w:lang w:val="en-GB"/>
        </w:rPr>
      </w:pPr>
    </w:p>
    <w:p w14:paraId="39A8113C"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r w:rsidRPr="001F64A9">
        <w:rPr>
          <w:rFonts w:asciiTheme="majorBidi" w:hAnsiTheme="majorBidi" w:cstheme="majorBidi"/>
          <w:sz w:val="24"/>
          <w:szCs w:val="24"/>
          <w:lang w:val="en-GB"/>
        </w:rPr>
        <w:t>By</w:t>
      </w:r>
    </w:p>
    <w:p w14:paraId="7FA9FFE9" w14:textId="77777777" w:rsidR="00EE5072" w:rsidRPr="001F64A9" w:rsidRDefault="00EE5072" w:rsidP="00EE5072">
      <w:pPr>
        <w:spacing w:before="100" w:beforeAutospacing="1" w:after="100" w:afterAutospacing="1" w:line="240" w:lineRule="auto"/>
        <w:jc w:val="center"/>
        <w:rPr>
          <w:rFonts w:asciiTheme="majorBidi" w:hAnsiTheme="majorBidi" w:cstheme="majorBidi"/>
          <w:sz w:val="24"/>
          <w:szCs w:val="24"/>
          <w:lang w:val="en-GB"/>
        </w:rPr>
      </w:pPr>
      <w:r w:rsidRPr="001F64A9">
        <w:rPr>
          <w:rFonts w:asciiTheme="majorBidi" w:hAnsiTheme="majorBidi" w:cstheme="majorBidi"/>
          <w:sz w:val="24"/>
          <w:szCs w:val="24"/>
          <w:lang w:val="en-GB"/>
        </w:rPr>
        <w:t>MUHAMMAD ASIF</w:t>
      </w:r>
    </w:p>
    <w:p w14:paraId="37CB9B09" w14:textId="77777777" w:rsidR="00EE5072" w:rsidRPr="001F64A9" w:rsidRDefault="00EE5072" w:rsidP="00EE5072">
      <w:pPr>
        <w:spacing w:before="100" w:beforeAutospacing="1" w:after="100" w:afterAutospacing="1" w:line="240" w:lineRule="auto"/>
        <w:jc w:val="center"/>
        <w:rPr>
          <w:rFonts w:asciiTheme="majorBidi" w:hAnsiTheme="majorBidi" w:cstheme="majorBidi"/>
          <w:sz w:val="24"/>
          <w:szCs w:val="24"/>
          <w:lang w:val="en-GB"/>
        </w:rPr>
      </w:pPr>
      <w:r w:rsidRPr="001F64A9">
        <w:rPr>
          <w:rFonts w:asciiTheme="majorBidi" w:hAnsiTheme="majorBidi" w:cstheme="majorBidi"/>
          <w:sz w:val="24"/>
          <w:szCs w:val="24"/>
          <w:lang w:val="en-GB"/>
        </w:rPr>
        <w:t>Norman, Oklahoma</w:t>
      </w:r>
    </w:p>
    <w:p w14:paraId="190778D2" w14:textId="77777777" w:rsidR="00EE5072" w:rsidRPr="001F64A9" w:rsidRDefault="00EE5072" w:rsidP="00EE5072">
      <w:pPr>
        <w:spacing w:before="100" w:beforeAutospacing="1" w:after="100" w:afterAutospacing="1" w:line="240" w:lineRule="auto"/>
        <w:jc w:val="center"/>
        <w:rPr>
          <w:rFonts w:asciiTheme="majorBidi" w:hAnsiTheme="majorBidi" w:cstheme="majorBidi"/>
          <w:sz w:val="24"/>
          <w:szCs w:val="24"/>
          <w:lang w:val="en-GB"/>
        </w:rPr>
      </w:pPr>
      <w:r w:rsidRPr="001F64A9">
        <w:rPr>
          <w:rFonts w:asciiTheme="majorBidi" w:hAnsiTheme="majorBidi" w:cstheme="majorBidi"/>
          <w:sz w:val="24"/>
          <w:szCs w:val="24"/>
          <w:lang w:val="en-GB"/>
        </w:rPr>
        <w:t>2023</w:t>
      </w:r>
    </w:p>
    <w:p w14:paraId="4EB2CDE1"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r w:rsidRPr="001F64A9">
        <w:rPr>
          <w:rFonts w:asciiTheme="majorBidi" w:hAnsiTheme="majorBidi" w:cstheme="majorBidi"/>
          <w:sz w:val="24"/>
          <w:szCs w:val="24"/>
          <w:lang w:val="en-GB"/>
        </w:rPr>
        <w:br w:type="page"/>
      </w:r>
      <w:r w:rsidRPr="001F64A9">
        <w:rPr>
          <w:rFonts w:asciiTheme="majorBidi" w:hAnsiTheme="majorBidi" w:cstheme="majorBidi"/>
          <w:sz w:val="24"/>
          <w:szCs w:val="24"/>
          <w:lang w:val="en-GB"/>
        </w:rPr>
        <w:lastRenderedPageBreak/>
        <w:t>DIFFERENTIAL EFFECTS OF INFORMING AND FRAMING ON BENEFICENCE IN DO-NOT-RESUSCITATE ORDERS (DNR)</w:t>
      </w:r>
    </w:p>
    <w:p w14:paraId="3C91166B"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p>
    <w:p w14:paraId="2515CD02"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p>
    <w:p w14:paraId="506679CD"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r w:rsidRPr="001F64A9">
        <w:rPr>
          <w:rFonts w:asciiTheme="majorBidi" w:hAnsiTheme="majorBidi" w:cstheme="majorBidi"/>
          <w:sz w:val="24"/>
          <w:szCs w:val="24"/>
          <w:lang w:val="en-GB"/>
        </w:rPr>
        <w:t>A THESIS APPROVED FOR THE</w:t>
      </w:r>
    </w:p>
    <w:p w14:paraId="065B9088"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r w:rsidRPr="001F64A9">
        <w:rPr>
          <w:rFonts w:asciiTheme="majorBidi" w:hAnsiTheme="majorBidi" w:cstheme="majorBidi"/>
          <w:sz w:val="24"/>
          <w:szCs w:val="24"/>
          <w:lang w:val="en-GB"/>
        </w:rPr>
        <w:t>DEPARTMENT OF PSYCHOLOGY</w:t>
      </w:r>
    </w:p>
    <w:p w14:paraId="01C469D5" w14:textId="77777777" w:rsidR="00EE5072" w:rsidRPr="001F64A9" w:rsidRDefault="00EE5072" w:rsidP="00EE5072">
      <w:pPr>
        <w:spacing w:before="100" w:beforeAutospacing="1" w:after="100" w:afterAutospacing="1" w:line="480" w:lineRule="auto"/>
        <w:rPr>
          <w:rFonts w:asciiTheme="majorBidi" w:hAnsiTheme="majorBidi" w:cstheme="majorBidi"/>
          <w:sz w:val="24"/>
          <w:szCs w:val="24"/>
          <w:lang w:val="en-GB"/>
        </w:rPr>
      </w:pPr>
    </w:p>
    <w:p w14:paraId="671CBB3C" w14:textId="77777777" w:rsidR="00EE5072" w:rsidRPr="001F64A9" w:rsidRDefault="00EE5072" w:rsidP="00EE5072">
      <w:pPr>
        <w:spacing w:before="100" w:beforeAutospacing="1" w:after="100" w:afterAutospacing="1" w:line="480" w:lineRule="auto"/>
        <w:rPr>
          <w:rFonts w:asciiTheme="majorBidi" w:hAnsiTheme="majorBidi" w:cstheme="majorBidi"/>
          <w:sz w:val="24"/>
          <w:szCs w:val="24"/>
          <w:lang w:val="en-GB"/>
        </w:rPr>
      </w:pPr>
    </w:p>
    <w:p w14:paraId="5447E91B" w14:textId="77777777" w:rsidR="00EE5072" w:rsidRPr="001F64A9" w:rsidRDefault="00EE5072" w:rsidP="00EE5072">
      <w:pPr>
        <w:spacing w:before="100" w:beforeAutospacing="1" w:after="100" w:afterAutospacing="1" w:line="480" w:lineRule="auto"/>
        <w:jc w:val="center"/>
        <w:rPr>
          <w:rFonts w:asciiTheme="majorBidi" w:hAnsiTheme="majorBidi" w:cstheme="majorBidi"/>
          <w:sz w:val="24"/>
          <w:szCs w:val="24"/>
          <w:lang w:val="en-GB"/>
        </w:rPr>
      </w:pPr>
      <w:r w:rsidRPr="001F64A9">
        <w:rPr>
          <w:rFonts w:asciiTheme="majorBidi" w:hAnsiTheme="majorBidi" w:cstheme="majorBidi"/>
          <w:sz w:val="24"/>
          <w:szCs w:val="24"/>
          <w:lang w:val="en-GB"/>
        </w:rPr>
        <w:t xml:space="preserve">BY THE COMMITTEE CONSISTING OF </w:t>
      </w:r>
    </w:p>
    <w:p w14:paraId="65C68866" w14:textId="77777777" w:rsidR="00EE5072" w:rsidRPr="001F64A9" w:rsidRDefault="00EE5072" w:rsidP="00EE5072">
      <w:pPr>
        <w:spacing w:before="100" w:beforeAutospacing="1" w:after="100" w:afterAutospacing="1" w:line="480" w:lineRule="auto"/>
        <w:jc w:val="right"/>
        <w:rPr>
          <w:rFonts w:asciiTheme="majorBidi" w:hAnsiTheme="majorBidi" w:cstheme="majorBidi"/>
          <w:sz w:val="24"/>
          <w:szCs w:val="24"/>
          <w:lang w:val="en-GB"/>
        </w:rPr>
      </w:pPr>
    </w:p>
    <w:p w14:paraId="0C6B97DC" w14:textId="77777777" w:rsidR="00EE5072" w:rsidRPr="001F64A9" w:rsidRDefault="00EE5072" w:rsidP="00EE5072">
      <w:pPr>
        <w:spacing w:before="100" w:beforeAutospacing="1" w:after="100" w:afterAutospacing="1" w:line="480" w:lineRule="auto"/>
        <w:jc w:val="right"/>
        <w:rPr>
          <w:rFonts w:asciiTheme="majorBidi" w:hAnsiTheme="majorBidi" w:cstheme="majorBidi"/>
          <w:sz w:val="24"/>
          <w:szCs w:val="24"/>
          <w:lang w:val="en-GB"/>
        </w:rPr>
      </w:pPr>
    </w:p>
    <w:p w14:paraId="16AD8E7E" w14:textId="77777777" w:rsidR="00EE5072" w:rsidRPr="001F64A9" w:rsidRDefault="00EE5072" w:rsidP="00EE5072">
      <w:pPr>
        <w:spacing w:before="100" w:beforeAutospacing="1" w:after="100" w:afterAutospacing="1" w:line="480" w:lineRule="auto"/>
        <w:jc w:val="right"/>
        <w:rPr>
          <w:rFonts w:asciiTheme="majorBidi" w:hAnsiTheme="majorBidi" w:cstheme="majorBidi"/>
          <w:sz w:val="24"/>
          <w:szCs w:val="24"/>
          <w:lang w:val="en-GB"/>
        </w:rPr>
      </w:pPr>
      <w:r w:rsidRPr="001F64A9">
        <w:rPr>
          <w:rFonts w:asciiTheme="majorBidi" w:hAnsiTheme="majorBidi" w:cstheme="majorBidi"/>
          <w:sz w:val="24"/>
          <w:szCs w:val="24"/>
          <w:lang w:val="en-GB"/>
        </w:rPr>
        <w:t>Dr. Adam Feltz, Chair</w:t>
      </w:r>
    </w:p>
    <w:p w14:paraId="1B403AC3" w14:textId="77777777" w:rsidR="00EE5072" w:rsidRPr="001F64A9" w:rsidRDefault="00EE5072" w:rsidP="00EE5072">
      <w:pPr>
        <w:spacing w:before="100" w:beforeAutospacing="1" w:after="100" w:afterAutospacing="1" w:line="480" w:lineRule="auto"/>
        <w:jc w:val="right"/>
        <w:rPr>
          <w:rFonts w:asciiTheme="majorBidi" w:hAnsiTheme="majorBidi" w:cstheme="majorBidi"/>
          <w:sz w:val="24"/>
          <w:szCs w:val="24"/>
          <w:lang w:val="en-GB"/>
        </w:rPr>
      </w:pPr>
      <w:r w:rsidRPr="001F64A9">
        <w:rPr>
          <w:rFonts w:asciiTheme="majorBidi" w:hAnsiTheme="majorBidi" w:cstheme="majorBidi"/>
          <w:sz w:val="24"/>
          <w:szCs w:val="24"/>
          <w:lang w:val="en-GB"/>
        </w:rPr>
        <w:t>Dr. Edward Cokely</w:t>
      </w:r>
    </w:p>
    <w:p w14:paraId="0A1B0D28" w14:textId="77777777" w:rsidR="00EE5072" w:rsidRPr="001F64A9" w:rsidRDefault="00EE5072" w:rsidP="00EE5072">
      <w:pPr>
        <w:spacing w:before="100" w:beforeAutospacing="1" w:after="100" w:afterAutospacing="1" w:line="480" w:lineRule="auto"/>
        <w:jc w:val="right"/>
        <w:rPr>
          <w:rFonts w:asciiTheme="majorBidi" w:hAnsiTheme="majorBidi" w:cstheme="majorBidi"/>
          <w:sz w:val="24"/>
          <w:szCs w:val="24"/>
          <w:lang w:val="en-GB"/>
        </w:rPr>
      </w:pPr>
      <w:r w:rsidRPr="001F64A9">
        <w:rPr>
          <w:rFonts w:asciiTheme="majorBidi" w:hAnsiTheme="majorBidi" w:cstheme="majorBidi"/>
          <w:sz w:val="24"/>
          <w:szCs w:val="24"/>
          <w:lang w:val="en-GB"/>
        </w:rPr>
        <w:t>Dr. Scott Gronlund</w:t>
      </w:r>
    </w:p>
    <w:p w14:paraId="4AD4617E" w14:textId="77777777" w:rsidR="00EE5072" w:rsidRPr="001F64A9" w:rsidRDefault="00EE5072" w:rsidP="00EE5072">
      <w:pPr>
        <w:spacing w:line="480" w:lineRule="auto"/>
        <w:rPr>
          <w:rFonts w:asciiTheme="majorBidi" w:hAnsiTheme="majorBidi" w:cstheme="majorBidi"/>
          <w:sz w:val="24"/>
          <w:szCs w:val="24"/>
          <w:lang w:val="en-GB"/>
        </w:rPr>
      </w:pPr>
      <w:r w:rsidRPr="001F64A9">
        <w:rPr>
          <w:rFonts w:asciiTheme="majorBidi" w:hAnsiTheme="majorBidi" w:cstheme="majorBidi"/>
          <w:sz w:val="24"/>
          <w:szCs w:val="24"/>
          <w:lang w:val="en-GB"/>
        </w:rPr>
        <w:br w:type="page"/>
      </w:r>
    </w:p>
    <w:p w14:paraId="50ACEDD2" w14:textId="77777777" w:rsidR="00EE5072" w:rsidRPr="001F64A9" w:rsidRDefault="00EE5072" w:rsidP="00F93AA1">
      <w:pPr>
        <w:spacing w:before="100" w:beforeAutospacing="1" w:after="100" w:afterAutospacing="1"/>
        <w:jc w:val="center"/>
        <w:rPr>
          <w:rFonts w:asciiTheme="majorBidi" w:hAnsiTheme="majorBidi" w:cstheme="majorBidi"/>
          <w:sz w:val="28"/>
          <w:szCs w:val="28"/>
          <w:lang w:val="en-GB"/>
        </w:rPr>
      </w:pPr>
    </w:p>
    <w:p w14:paraId="152C8355"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67B718E3"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7642A177"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75394CBC"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3241C7E7"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209EA949"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01D10A20"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4B7E0E5E"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3DFA1474"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3DEF6AA0"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24DA56B7"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673D751B"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3BC289B7"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312A0374"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33D3480B"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4B7F8BBD"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77209EE8" w14:textId="77777777" w:rsidR="00EE5072" w:rsidRPr="001F64A9" w:rsidRDefault="00EE5072" w:rsidP="00EE5072">
      <w:pPr>
        <w:spacing w:before="100" w:beforeAutospacing="1" w:after="100" w:afterAutospacing="1"/>
        <w:jc w:val="center"/>
        <w:rPr>
          <w:rFonts w:asciiTheme="majorBidi" w:hAnsiTheme="majorBidi" w:cstheme="majorBidi"/>
          <w:sz w:val="28"/>
          <w:szCs w:val="28"/>
          <w:lang w:val="en-GB"/>
        </w:rPr>
      </w:pPr>
    </w:p>
    <w:p w14:paraId="397D34E6" w14:textId="77777777" w:rsidR="00EE5072" w:rsidRPr="001F64A9" w:rsidRDefault="00EE5072" w:rsidP="00EE5072">
      <w:pPr>
        <w:spacing w:before="100" w:beforeAutospacing="1" w:after="100" w:afterAutospacing="1"/>
        <w:jc w:val="center"/>
        <w:rPr>
          <w:rFonts w:asciiTheme="majorBidi" w:hAnsiTheme="majorBidi" w:cstheme="majorBidi"/>
          <w:sz w:val="24"/>
          <w:szCs w:val="24"/>
          <w:lang w:val="en-GB"/>
        </w:rPr>
      </w:pPr>
    </w:p>
    <w:p w14:paraId="136336E5" w14:textId="77777777" w:rsidR="00EE5072" w:rsidRPr="001F64A9" w:rsidRDefault="00EE5072" w:rsidP="00EE5072">
      <w:pPr>
        <w:spacing w:before="100" w:beforeAutospacing="1" w:after="100" w:afterAutospacing="1"/>
        <w:jc w:val="center"/>
        <w:rPr>
          <w:rFonts w:asciiTheme="majorBidi" w:hAnsiTheme="majorBidi" w:cstheme="majorBidi"/>
          <w:sz w:val="24"/>
          <w:szCs w:val="24"/>
          <w:lang w:val="en-GB"/>
        </w:rPr>
      </w:pPr>
      <w:r w:rsidRPr="001F64A9">
        <w:rPr>
          <w:rFonts w:asciiTheme="majorBidi" w:hAnsiTheme="majorBidi" w:cstheme="majorBidi"/>
          <w:sz w:val="24"/>
          <w:szCs w:val="24"/>
          <w:lang w:val="en-GB"/>
        </w:rPr>
        <w:t>© Copyright by MUHAMMAD ASIF 2023</w:t>
      </w:r>
    </w:p>
    <w:p w14:paraId="6F96C90A" w14:textId="77777777" w:rsidR="00220B81" w:rsidRDefault="00EE5072" w:rsidP="00220B81">
      <w:pPr>
        <w:spacing w:before="100" w:beforeAutospacing="1" w:after="100" w:afterAutospacing="1"/>
        <w:jc w:val="center"/>
        <w:rPr>
          <w:rFonts w:asciiTheme="majorBidi" w:hAnsiTheme="majorBidi" w:cstheme="majorBidi"/>
          <w:sz w:val="24"/>
          <w:szCs w:val="24"/>
          <w:lang w:val="en-GB"/>
        </w:rPr>
        <w:sectPr w:rsidR="00220B81" w:rsidSect="00220B81">
          <w:pgSz w:w="12240" w:h="15840"/>
          <w:pgMar w:top="1440" w:right="1440" w:bottom="1440" w:left="1440" w:header="720" w:footer="720" w:gutter="0"/>
          <w:pgNumType w:fmt="lowerRoman" w:start="1"/>
          <w:cols w:space="720"/>
          <w:docGrid w:linePitch="299"/>
        </w:sectPr>
      </w:pPr>
      <w:r w:rsidRPr="001F64A9">
        <w:rPr>
          <w:rFonts w:asciiTheme="majorBidi" w:hAnsiTheme="majorBidi" w:cstheme="majorBidi"/>
          <w:sz w:val="24"/>
          <w:szCs w:val="24"/>
          <w:lang w:val="en-GB"/>
        </w:rPr>
        <w:t>All Rights Reserved.</w:t>
      </w:r>
    </w:p>
    <w:p w14:paraId="3A004FFD" w14:textId="06AB89C9" w:rsidR="00EE5072" w:rsidRPr="00F16470" w:rsidRDefault="00EE5072" w:rsidP="00220B81">
      <w:pPr>
        <w:spacing w:before="100" w:beforeAutospacing="1" w:after="100" w:afterAutospacing="1"/>
        <w:jc w:val="center"/>
        <w:rPr>
          <w:rFonts w:asciiTheme="majorBidi" w:hAnsiTheme="majorBidi" w:cstheme="majorBidi"/>
          <w:sz w:val="24"/>
          <w:szCs w:val="24"/>
          <w:lang w:val="en-GB"/>
        </w:rPr>
      </w:pPr>
      <w:r w:rsidRPr="001F64A9">
        <w:rPr>
          <w:rFonts w:asciiTheme="majorBidi" w:hAnsiTheme="majorBidi" w:cstheme="majorBidi"/>
          <w:b/>
          <w:bCs/>
          <w:sz w:val="24"/>
          <w:szCs w:val="24"/>
          <w:lang w:val="en-GB"/>
        </w:rPr>
        <w:lastRenderedPageBreak/>
        <w:t>Acknowledgements</w:t>
      </w:r>
    </w:p>
    <w:p w14:paraId="390972A1" w14:textId="77777777" w:rsidR="00EE5072" w:rsidRPr="001F64A9" w:rsidRDefault="00EE5072" w:rsidP="00EE5072">
      <w:pPr>
        <w:spacing w:line="480" w:lineRule="auto"/>
        <w:jc w:val="both"/>
        <w:rPr>
          <w:rFonts w:asciiTheme="majorBidi" w:hAnsiTheme="majorBidi" w:cstheme="majorBidi"/>
          <w:sz w:val="24"/>
          <w:szCs w:val="24"/>
          <w:lang w:val="en-GB"/>
        </w:rPr>
      </w:pPr>
      <w:r w:rsidRPr="001F64A9">
        <w:rPr>
          <w:rFonts w:asciiTheme="majorBidi" w:hAnsiTheme="majorBidi" w:cstheme="majorBidi"/>
          <w:sz w:val="24"/>
          <w:szCs w:val="24"/>
          <w:lang w:val="en-GB"/>
        </w:rPr>
        <w:t xml:space="preserve">I would like to express my sincerest gratitude to Dr. Adam Feltz for his consistent support, guidance, encouragement and involvement in this whole process. I would like to cordially thank Dr. Edward Cokely and Dr. Scott Gronlund for their support and constructive feedback. I extend my thanks to my family, my friends, and my colleagues in the Ethical Interaction Lab for their support and encouragement.   </w:t>
      </w:r>
      <w:r w:rsidRPr="001F64A9">
        <w:rPr>
          <w:rFonts w:asciiTheme="majorBidi" w:hAnsiTheme="majorBidi" w:cstheme="majorBidi"/>
          <w:sz w:val="24"/>
          <w:szCs w:val="24"/>
          <w:lang w:val="en-GB"/>
        </w:rPr>
        <w:br w:type="page"/>
      </w:r>
    </w:p>
    <w:p w14:paraId="3A7F5C89" w14:textId="77777777" w:rsidR="00EE5072" w:rsidRPr="001F64A9" w:rsidRDefault="00EE5072" w:rsidP="00EE5072">
      <w:pPr>
        <w:jc w:val="center"/>
        <w:rPr>
          <w:rFonts w:asciiTheme="majorBidi" w:hAnsiTheme="majorBidi" w:cstheme="majorBidi"/>
          <w:b/>
          <w:bCs/>
          <w:sz w:val="24"/>
          <w:szCs w:val="24"/>
          <w:lang w:val="en-GB"/>
        </w:rPr>
      </w:pPr>
      <w:r w:rsidRPr="001F64A9">
        <w:rPr>
          <w:rFonts w:asciiTheme="majorBidi" w:hAnsiTheme="majorBidi" w:cstheme="majorBidi"/>
          <w:b/>
          <w:bCs/>
          <w:sz w:val="24"/>
          <w:szCs w:val="24"/>
          <w:lang w:val="en-GB"/>
        </w:rPr>
        <w:lastRenderedPageBreak/>
        <w:t>Table of Contents</w:t>
      </w:r>
    </w:p>
    <w:p w14:paraId="430DC9A3"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Acknowledgements………………………………………………………………………………iv</w:t>
      </w:r>
    </w:p>
    <w:p w14:paraId="02FD5234"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Abstract…………………………………………………………………………………………..vi</w:t>
      </w:r>
    </w:p>
    <w:p w14:paraId="4B473C27"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Introduction……………………………………………………………………………………….1</w:t>
      </w:r>
    </w:p>
    <w:p w14:paraId="06DB84E8"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Beneficence……………………………………………………………………………………….1</w:t>
      </w:r>
    </w:p>
    <w:p w14:paraId="2E866F81"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CPR and Do-not-resuscitate Orders (DNR)………………………………………………………5</w:t>
      </w:r>
    </w:p>
    <w:p w14:paraId="76707CAE"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Interventions Aimed at DNRs…………………………………………………………………....11</w:t>
      </w:r>
    </w:p>
    <w:p w14:paraId="546C10BA"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Beneficence and Rational and Non-Rational Persuasion……………………………………...…16</w:t>
      </w:r>
    </w:p>
    <w:p w14:paraId="50CA909A"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Experiment 1a………………………………………………………………………………...….21</w:t>
      </w:r>
    </w:p>
    <w:p w14:paraId="061A4668"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 xml:space="preserve">     Method…………………………………………………………………………………...…...22</w:t>
      </w:r>
    </w:p>
    <w:p w14:paraId="390BAAD2"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ab/>
        <w:t>Participants……………………………………………………………………………….22</w:t>
      </w:r>
    </w:p>
    <w:p w14:paraId="0FA5061F" w14:textId="77777777" w:rsidR="00EE5072" w:rsidRPr="001F64A9" w:rsidRDefault="00EE5072" w:rsidP="00EE5072">
      <w:pPr>
        <w:spacing w:after="0" w:line="24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Materials………………………………………………………………………………....23</w:t>
      </w:r>
    </w:p>
    <w:p w14:paraId="48E87FD8" w14:textId="77777777" w:rsidR="00EE5072" w:rsidRPr="001F64A9" w:rsidRDefault="00EE5072" w:rsidP="00EE5072">
      <w:pPr>
        <w:spacing w:after="0" w:line="24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Procedure………………………………………………………………………………...24</w:t>
      </w:r>
    </w:p>
    <w:p w14:paraId="1A7D5E3C"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 xml:space="preserve">     Results and Discussion……………………………………………………………………….24</w:t>
      </w:r>
    </w:p>
    <w:p w14:paraId="5694D254" w14:textId="77777777" w:rsidR="00EE5072" w:rsidRPr="001F64A9" w:rsidRDefault="00EE5072" w:rsidP="00EE5072">
      <w:pPr>
        <w:spacing w:after="0" w:line="24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CPR Understanding…………………………………………………………………...…24</w:t>
      </w:r>
    </w:p>
    <w:p w14:paraId="2655B2A4" w14:textId="77777777" w:rsidR="00EE5072" w:rsidRPr="001F64A9" w:rsidRDefault="00EE5072" w:rsidP="00EE5072">
      <w:pPr>
        <w:spacing w:after="0" w:line="24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Positive Valence……………………………………….…………………………………24</w:t>
      </w:r>
    </w:p>
    <w:p w14:paraId="40B2F40D"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Experiment 1b……………………………………………….…………………………………...25</w:t>
      </w:r>
    </w:p>
    <w:p w14:paraId="2C497296"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 xml:space="preserve">     Method……………………………………………………………………….……………….26</w:t>
      </w:r>
    </w:p>
    <w:p w14:paraId="18BDB27F"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ab/>
        <w:t>Participants………………………………………………………………………………26</w:t>
      </w:r>
    </w:p>
    <w:p w14:paraId="407568FC" w14:textId="77777777" w:rsidR="00EE5072" w:rsidRPr="001F64A9" w:rsidRDefault="00EE5072" w:rsidP="00EE5072">
      <w:pPr>
        <w:spacing w:after="0" w:line="24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Materials…………………………………………………………………………………26</w:t>
      </w:r>
    </w:p>
    <w:p w14:paraId="734963E2" w14:textId="77777777" w:rsidR="00EE5072" w:rsidRPr="001F64A9" w:rsidRDefault="00EE5072" w:rsidP="00EE5072">
      <w:pPr>
        <w:spacing w:after="0" w:line="24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Procedure………………………………………………………………………………...27</w:t>
      </w:r>
    </w:p>
    <w:p w14:paraId="6189DB39"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 xml:space="preserve">     Results and Discussion……………………………………………………………………….28</w:t>
      </w:r>
    </w:p>
    <w:p w14:paraId="00ABF8F2" w14:textId="77777777" w:rsidR="00EE5072" w:rsidRPr="001F64A9" w:rsidRDefault="00EE5072" w:rsidP="00EE5072">
      <w:pPr>
        <w:spacing w:after="0" w:line="24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CPR Understanding……………………………………………………………………...28</w:t>
      </w:r>
    </w:p>
    <w:p w14:paraId="607A0A38" w14:textId="77777777" w:rsidR="00EE5072" w:rsidRPr="001F64A9" w:rsidRDefault="00EE5072" w:rsidP="00EE5072">
      <w:pPr>
        <w:spacing w:after="0" w:line="24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Negative Valence………………………………………………………………...………28</w:t>
      </w:r>
    </w:p>
    <w:p w14:paraId="44E6E9ED" w14:textId="77777777" w:rsidR="00EE5072" w:rsidRPr="001F64A9" w:rsidRDefault="00EE5072" w:rsidP="00EE5072">
      <w:pPr>
        <w:spacing w:after="0" w:line="24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DNR Preference………………………………………………………………………….28</w:t>
      </w:r>
    </w:p>
    <w:p w14:paraId="69A8F765" w14:textId="77777777" w:rsidR="00EE5072" w:rsidRPr="001F64A9" w:rsidRDefault="00EE5072" w:rsidP="00EE5072">
      <w:pPr>
        <w:spacing w:after="0" w:line="24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Correlation Differences across Terminologies…………………………………………..29</w:t>
      </w:r>
    </w:p>
    <w:p w14:paraId="1227D6C7"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Experiment 1c………………………………………………………………………………...….30</w:t>
      </w:r>
    </w:p>
    <w:p w14:paraId="1D675827"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 xml:space="preserve">     Method………………………………………………………………………………………..32</w:t>
      </w:r>
    </w:p>
    <w:p w14:paraId="20AD8B10"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ab/>
        <w:t>Participants……………………………………………………………………………….32</w:t>
      </w:r>
    </w:p>
    <w:p w14:paraId="3CBCB5CF" w14:textId="77777777" w:rsidR="00EE5072" w:rsidRPr="001F64A9" w:rsidRDefault="00EE5072" w:rsidP="00EE5072">
      <w:pPr>
        <w:spacing w:after="0" w:line="24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Materials……………………………………………………………………………...….33</w:t>
      </w:r>
    </w:p>
    <w:p w14:paraId="2E97AD9A"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 xml:space="preserve">     Results and Discussion……………………………………………………………………….34</w:t>
      </w:r>
    </w:p>
    <w:p w14:paraId="0BEBB9E6"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Experiment 2………………………………………………………………….………………….35</w:t>
      </w:r>
    </w:p>
    <w:p w14:paraId="6D4774EF"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 xml:space="preserve">     Method…………………………………………………………………………….………….36</w:t>
      </w:r>
    </w:p>
    <w:p w14:paraId="695DE07E"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ab/>
        <w:t>Participants……………………………………………………………………………....37</w:t>
      </w:r>
    </w:p>
    <w:p w14:paraId="517A42B9" w14:textId="77777777" w:rsidR="00EE5072" w:rsidRPr="001F64A9" w:rsidRDefault="00EE5072" w:rsidP="00EE5072">
      <w:pPr>
        <w:spacing w:after="0" w:line="24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Materials…………………………………………………………………………………37</w:t>
      </w:r>
    </w:p>
    <w:p w14:paraId="5A5EA433"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 xml:space="preserve">     Results and Discussion……………………………………………………………………….40</w:t>
      </w:r>
    </w:p>
    <w:p w14:paraId="7BCE0F11"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ab/>
        <w:t>Correlation Differences across Interventions……………………………………………40</w:t>
      </w:r>
    </w:p>
    <w:p w14:paraId="2B24F783" w14:textId="77777777" w:rsidR="00EE5072" w:rsidRPr="001F64A9" w:rsidRDefault="00EE5072" w:rsidP="00EE5072">
      <w:pPr>
        <w:spacing w:after="0" w:line="24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DNR Knowledge………………………………………………………………………...43</w:t>
      </w:r>
    </w:p>
    <w:p w14:paraId="44382BA4" w14:textId="77777777" w:rsidR="00EE5072" w:rsidRPr="001F64A9" w:rsidRDefault="00EE5072" w:rsidP="00EE5072">
      <w:pPr>
        <w:spacing w:after="0" w:line="24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Attitudes toward DNR…………………………………………………………………...44</w:t>
      </w:r>
    </w:p>
    <w:p w14:paraId="39EEFE42" w14:textId="77777777" w:rsidR="00EE5072" w:rsidRPr="001F64A9" w:rsidRDefault="00EE5072" w:rsidP="00EE5072">
      <w:pPr>
        <w:spacing w:after="0" w:line="24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Attitudes toward CPR……………………………………………………………………45</w:t>
      </w:r>
    </w:p>
    <w:p w14:paraId="209CEEFD"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General Discussion………………………………………………………………………………46</w:t>
      </w:r>
    </w:p>
    <w:p w14:paraId="3F891E8D" w14:textId="1942F2CE"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Reference………………………………………………………………………………………...5</w:t>
      </w:r>
      <w:r w:rsidR="00EA3497">
        <w:rPr>
          <w:rFonts w:asciiTheme="majorBidi" w:hAnsiTheme="majorBidi" w:cstheme="majorBidi"/>
          <w:sz w:val="24"/>
          <w:szCs w:val="24"/>
          <w:lang w:val="en-GB"/>
        </w:rPr>
        <w:t>2</w:t>
      </w:r>
    </w:p>
    <w:p w14:paraId="0A65DB5F"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Figures…………………………………………………………………………………………...71</w:t>
      </w:r>
    </w:p>
    <w:p w14:paraId="009D7E51" w14:textId="77777777" w:rsidR="00EE5072" w:rsidRPr="001F64A9" w:rsidRDefault="00EE5072" w:rsidP="00EE5072">
      <w:pPr>
        <w:spacing w:after="0" w:line="240" w:lineRule="auto"/>
        <w:rPr>
          <w:rFonts w:asciiTheme="majorBidi" w:hAnsiTheme="majorBidi" w:cstheme="majorBidi"/>
          <w:sz w:val="24"/>
          <w:szCs w:val="24"/>
          <w:lang w:val="en-GB"/>
        </w:rPr>
      </w:pPr>
      <w:r w:rsidRPr="001F64A9">
        <w:rPr>
          <w:rFonts w:asciiTheme="majorBidi" w:hAnsiTheme="majorBidi" w:cstheme="majorBidi"/>
          <w:sz w:val="24"/>
          <w:szCs w:val="24"/>
          <w:lang w:val="en-GB"/>
        </w:rPr>
        <w:t>Tables……………………………………………………………………………………………90</w:t>
      </w:r>
    </w:p>
    <w:p w14:paraId="3503A2BF" w14:textId="77777777" w:rsidR="00EE5072" w:rsidRPr="001F64A9" w:rsidRDefault="00EE5072" w:rsidP="00EE5072">
      <w:pPr>
        <w:rPr>
          <w:rFonts w:asciiTheme="majorBidi" w:hAnsiTheme="majorBidi" w:cstheme="majorBidi"/>
          <w:sz w:val="24"/>
          <w:szCs w:val="24"/>
          <w:lang w:val="en-GB"/>
        </w:rPr>
      </w:pPr>
      <w:r w:rsidRPr="001F64A9">
        <w:rPr>
          <w:rFonts w:asciiTheme="majorBidi" w:hAnsiTheme="majorBidi" w:cstheme="majorBidi"/>
          <w:sz w:val="24"/>
          <w:szCs w:val="24"/>
          <w:lang w:val="en-GB"/>
        </w:rPr>
        <w:br w:type="page"/>
      </w:r>
    </w:p>
    <w:p w14:paraId="67875180" w14:textId="77777777" w:rsidR="00EE5072" w:rsidRPr="001F64A9" w:rsidRDefault="00EE5072" w:rsidP="00EE5072">
      <w:pPr>
        <w:spacing w:before="100" w:beforeAutospacing="1" w:after="100" w:afterAutospacing="1"/>
        <w:jc w:val="center"/>
        <w:rPr>
          <w:rFonts w:asciiTheme="majorBidi" w:hAnsiTheme="majorBidi" w:cstheme="majorBidi"/>
          <w:b/>
          <w:bCs/>
          <w:sz w:val="24"/>
          <w:szCs w:val="24"/>
          <w:lang w:val="en-GB"/>
        </w:rPr>
      </w:pPr>
      <w:r w:rsidRPr="001F64A9">
        <w:rPr>
          <w:rFonts w:asciiTheme="majorBidi" w:hAnsiTheme="majorBidi" w:cstheme="majorBidi"/>
          <w:b/>
          <w:bCs/>
          <w:sz w:val="24"/>
          <w:szCs w:val="24"/>
          <w:lang w:val="en-GB"/>
        </w:rPr>
        <w:lastRenderedPageBreak/>
        <w:t>Abstract</w:t>
      </w:r>
    </w:p>
    <w:p w14:paraId="4D4E9838" w14:textId="77777777" w:rsidR="00EE5072" w:rsidRPr="001F64A9" w:rsidRDefault="00EE5072" w:rsidP="00EE5072">
      <w:pPr>
        <w:spacing w:before="100" w:beforeAutospacing="1" w:after="100" w:afterAutospacing="1" w:line="480" w:lineRule="auto"/>
        <w:jc w:val="both"/>
        <w:rPr>
          <w:rFonts w:asciiTheme="majorBidi" w:hAnsiTheme="majorBidi" w:cstheme="majorBidi"/>
          <w:sz w:val="24"/>
          <w:szCs w:val="24"/>
          <w:lang w:val="en-GB"/>
        </w:rPr>
      </w:pPr>
      <w:r w:rsidRPr="001F64A9">
        <w:rPr>
          <w:rFonts w:asciiTheme="majorBidi" w:hAnsiTheme="majorBidi" w:cstheme="majorBidi"/>
          <w:sz w:val="24"/>
          <w:szCs w:val="24"/>
          <w:lang w:val="en-GB"/>
        </w:rPr>
        <w:t>Empirical comparisons based on ethical standards have been neglected in end-of-life decision making research. I have compared two persuasion techniques (i.e., informing and framing) on whether they protect or promote beneficence. Experiment 1a (</w:t>
      </w:r>
      <w:r w:rsidRPr="001F64A9">
        <w:rPr>
          <w:rFonts w:asciiTheme="majorBidi" w:hAnsiTheme="majorBidi" w:cstheme="majorBidi"/>
          <w:i/>
          <w:iCs/>
          <w:sz w:val="24"/>
          <w:szCs w:val="24"/>
          <w:lang w:val="en-GB"/>
        </w:rPr>
        <w:t>N</w:t>
      </w:r>
      <w:r w:rsidRPr="001F64A9">
        <w:rPr>
          <w:rFonts w:asciiTheme="majorBidi" w:hAnsiTheme="majorBidi" w:cstheme="majorBidi"/>
          <w:sz w:val="24"/>
          <w:szCs w:val="24"/>
          <w:lang w:val="en-GB"/>
        </w:rPr>
        <w:t xml:space="preserve"> = 225) suggested that people understand and feel about different DNR terminologies (CPR, AND &amp; DNR) differently. Experiment 1b (</w:t>
      </w:r>
      <w:r w:rsidRPr="001F64A9">
        <w:rPr>
          <w:rFonts w:asciiTheme="majorBidi" w:hAnsiTheme="majorBidi" w:cstheme="majorBidi"/>
          <w:i/>
          <w:iCs/>
          <w:sz w:val="24"/>
          <w:szCs w:val="24"/>
          <w:lang w:val="en-GB"/>
        </w:rPr>
        <w:t>N</w:t>
      </w:r>
      <w:r w:rsidRPr="001F64A9">
        <w:rPr>
          <w:rFonts w:asciiTheme="majorBidi" w:hAnsiTheme="majorBidi" w:cstheme="majorBidi"/>
          <w:sz w:val="24"/>
          <w:szCs w:val="24"/>
          <w:lang w:val="en-GB"/>
        </w:rPr>
        <w:t xml:space="preserve"> = 281) showed similar results to Experiment 1a and further suggested people different terminologies also affect people’s DNR preference. Experiment 1c (</w:t>
      </w:r>
      <w:r w:rsidRPr="001F64A9">
        <w:rPr>
          <w:rFonts w:asciiTheme="majorBidi" w:hAnsiTheme="majorBidi" w:cstheme="majorBidi"/>
          <w:i/>
          <w:iCs/>
          <w:sz w:val="24"/>
          <w:szCs w:val="24"/>
          <w:lang w:val="en-GB"/>
        </w:rPr>
        <w:t>N</w:t>
      </w:r>
      <w:r w:rsidRPr="001F64A9">
        <w:rPr>
          <w:rFonts w:asciiTheme="majorBidi" w:hAnsiTheme="majorBidi" w:cstheme="majorBidi"/>
          <w:sz w:val="24"/>
          <w:szCs w:val="24"/>
          <w:lang w:val="en-GB"/>
        </w:rPr>
        <w:t xml:space="preserve"> = 415) suggested that informing predicted higher DNR preference and lower CPR preference while positive frame predicted higher CPR preference. Experiment 2 (</w:t>
      </w:r>
      <w:r w:rsidRPr="001F64A9">
        <w:rPr>
          <w:rFonts w:asciiTheme="majorBidi" w:hAnsiTheme="majorBidi" w:cstheme="majorBidi"/>
          <w:i/>
          <w:iCs/>
          <w:sz w:val="24"/>
          <w:szCs w:val="24"/>
          <w:lang w:val="en-GB"/>
        </w:rPr>
        <w:t>N</w:t>
      </w:r>
      <w:r w:rsidRPr="001F64A9">
        <w:rPr>
          <w:rFonts w:asciiTheme="majorBidi" w:hAnsiTheme="majorBidi" w:cstheme="majorBidi"/>
          <w:sz w:val="24"/>
          <w:szCs w:val="24"/>
          <w:lang w:val="en-GB"/>
        </w:rPr>
        <w:t xml:space="preserve"> = 381) showed that informing protected beneficence in both CPR and DNR preference decisions context while framing (both positive and negative frames) also protected beneficence in CPR preference decision. Overall, the findings of this thesis suggest that different decision aid interventions could be compared based on ethical standards and that both informing and framing can protect beneficence in end-of-life decision making context. </w:t>
      </w:r>
    </w:p>
    <w:p w14:paraId="5B32701D" w14:textId="77777777" w:rsidR="00EE5072" w:rsidRPr="001F64A9" w:rsidRDefault="00EE5072" w:rsidP="00EE5072">
      <w:pPr>
        <w:spacing w:before="100" w:beforeAutospacing="1" w:after="100" w:afterAutospacing="1" w:line="480" w:lineRule="auto"/>
        <w:jc w:val="both"/>
        <w:rPr>
          <w:rFonts w:asciiTheme="majorBidi" w:hAnsiTheme="majorBidi" w:cstheme="majorBidi"/>
          <w:sz w:val="24"/>
          <w:szCs w:val="24"/>
          <w:lang w:val="en-GB"/>
        </w:rPr>
      </w:pPr>
      <w:r w:rsidRPr="001F64A9">
        <w:rPr>
          <w:rFonts w:asciiTheme="majorBidi" w:hAnsiTheme="majorBidi" w:cstheme="majorBidi"/>
          <w:i/>
          <w:iCs/>
          <w:sz w:val="24"/>
          <w:szCs w:val="24"/>
          <w:lang w:val="en-GB"/>
        </w:rPr>
        <w:t>Keywords:</w:t>
      </w:r>
      <w:r w:rsidRPr="001F64A9">
        <w:rPr>
          <w:rFonts w:asciiTheme="majorBidi" w:hAnsiTheme="majorBidi" w:cstheme="majorBidi"/>
          <w:sz w:val="24"/>
          <w:szCs w:val="24"/>
          <w:lang w:val="en-GB"/>
        </w:rPr>
        <w:t xml:space="preserve"> beneficence, informing, message framing, end-of-life values, DNR preference, CPR preference.</w:t>
      </w:r>
    </w:p>
    <w:p w14:paraId="3903E539" w14:textId="77777777" w:rsidR="00EE5072" w:rsidRPr="001F64A9" w:rsidRDefault="00EE5072" w:rsidP="00EE5072">
      <w:pPr>
        <w:spacing w:after="0"/>
        <w:rPr>
          <w:rFonts w:asciiTheme="majorBidi" w:hAnsiTheme="majorBidi" w:cstheme="majorBidi"/>
          <w:sz w:val="24"/>
          <w:szCs w:val="24"/>
          <w:lang w:val="en-GB"/>
        </w:rPr>
        <w:sectPr w:rsidR="00EE5072" w:rsidRPr="001F64A9" w:rsidSect="00220B81">
          <w:footerReference w:type="default" r:id="rId8"/>
          <w:footerReference w:type="first" r:id="rId9"/>
          <w:pgSz w:w="12240" w:h="15840"/>
          <w:pgMar w:top="1440" w:right="1440" w:bottom="1440" w:left="1440" w:header="720" w:footer="720" w:gutter="0"/>
          <w:pgNumType w:fmt="lowerRoman" w:start="4"/>
          <w:cols w:space="720"/>
          <w:docGrid w:linePitch="299"/>
        </w:sectPr>
      </w:pPr>
    </w:p>
    <w:p w14:paraId="657D89A1" w14:textId="77777777" w:rsidR="00EE5072" w:rsidRPr="001F64A9" w:rsidRDefault="00EE5072" w:rsidP="00EE5072">
      <w:pPr>
        <w:spacing w:before="100" w:beforeAutospacing="1" w:after="100" w:afterAutospacing="1" w:line="480" w:lineRule="auto"/>
        <w:jc w:val="center"/>
        <w:rPr>
          <w:rFonts w:asciiTheme="majorBidi" w:hAnsiTheme="majorBidi" w:cstheme="majorBidi"/>
          <w:b/>
          <w:bCs/>
          <w:sz w:val="24"/>
          <w:szCs w:val="24"/>
          <w:lang w:val="en-GB"/>
        </w:rPr>
      </w:pPr>
      <w:r w:rsidRPr="001F64A9">
        <w:rPr>
          <w:rFonts w:asciiTheme="majorBidi" w:hAnsiTheme="majorBidi" w:cstheme="majorBidi"/>
          <w:b/>
          <w:bCs/>
          <w:sz w:val="24"/>
          <w:szCs w:val="24"/>
          <w:lang w:val="en-GB"/>
        </w:rPr>
        <w:lastRenderedPageBreak/>
        <w:t>Introduction</w:t>
      </w:r>
    </w:p>
    <w:p w14:paraId="1C15E219" w14:textId="77777777" w:rsidR="00EE5072" w:rsidRPr="001F64A9" w:rsidRDefault="00EE5072" w:rsidP="00EE5072">
      <w:pPr>
        <w:spacing w:before="100" w:beforeAutospacing="1" w:after="100" w:afterAutospacing="1" w:line="48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 xml:space="preserve">Consistent with Ethical Interaction Theory (Feltz &amp; Cokely, </w:t>
      </w:r>
      <w:r w:rsidRPr="001F64A9">
        <w:rPr>
          <w:rFonts w:asciiTheme="majorBidi" w:hAnsiTheme="majorBidi" w:cstheme="majorBidi"/>
          <w:i/>
          <w:iCs/>
          <w:sz w:val="24"/>
          <w:szCs w:val="24"/>
          <w:lang w:val="en-GB"/>
        </w:rPr>
        <w:t>submitted</w:t>
      </w:r>
      <w:r w:rsidRPr="001F64A9">
        <w:rPr>
          <w:rFonts w:asciiTheme="majorBidi" w:hAnsiTheme="majorBidi" w:cstheme="majorBidi"/>
          <w:sz w:val="24"/>
          <w:szCs w:val="24"/>
          <w:lang w:val="en-GB"/>
        </w:rPr>
        <w:t xml:space="preserve">; Tanner, 2021; Tanner &amp; Feltz, 2022), my goal is to compare two persuasion techniques, an educational intervention (i.e., informing; rational persuasion) and message framing nudge (i.e., non-rational persuasion), to determine which intervention better protects or promotes beneficence. Beneficence is a key value in contemporary medical decision making (along with autonomy) and a major aspirational principle of the American Psychological Association. I will compare these interventions in the context of an individual’s do-not-resuscitate orders (DNR) decision making. </w:t>
      </w:r>
    </w:p>
    <w:p w14:paraId="0E8F8F2F" w14:textId="77777777" w:rsidR="00EE5072" w:rsidRPr="001F64A9" w:rsidRDefault="00EE5072" w:rsidP="00EE5072">
      <w:pPr>
        <w:spacing w:before="100" w:beforeAutospacing="1" w:after="100" w:afterAutospacing="1" w:line="48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To foreshadow, in two experiments I provide evidence that both informing and framing can change people’s preference to get CPR and write DNRs. However, informing has more consistent effects influencing choices to receive CPR or write a DNR. Secondly, I provide evidence that informing could protect (or promote) beneficence more as compared to framing nudges in DNR decision context, but framing could also protect (or promote) beneficence in CPR context along with informing. This research adds evidence to the suggestion by Tanner (2021) and Tanner and Feltz (2022), that policy makers should evaluate the practical and ethical cost associated with using different persuasion techniques in addition to some exogenously agreed upon outcomes (e.g., DNR prevalence). Overall, this research provides another ethical dimension on which interventions could, and perhaps should, be evaluated.</w:t>
      </w:r>
    </w:p>
    <w:p w14:paraId="3474B718" w14:textId="77777777" w:rsidR="00EE5072" w:rsidRPr="001F64A9" w:rsidRDefault="00EE5072" w:rsidP="00EE5072">
      <w:pPr>
        <w:spacing w:before="100" w:beforeAutospacing="1" w:after="100" w:afterAutospacing="1" w:line="480" w:lineRule="auto"/>
        <w:jc w:val="center"/>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t>Beneficence</w:t>
      </w:r>
    </w:p>
    <w:p w14:paraId="7CA0F652" w14:textId="77777777" w:rsidR="00EE5072" w:rsidRPr="001F64A9" w:rsidRDefault="00EE5072" w:rsidP="00EE5072">
      <w:pPr>
        <w:spacing w:before="100" w:beforeAutospacing="1" w:after="100" w:afterAutospacing="1" w:line="480" w:lineRule="auto"/>
        <w:ind w:firstLine="720"/>
        <w:rPr>
          <w:rFonts w:asciiTheme="majorBidi" w:hAnsiTheme="majorBidi" w:cstheme="majorBidi"/>
          <w:sz w:val="24"/>
          <w:szCs w:val="24"/>
        </w:rPr>
      </w:pPr>
      <w:r w:rsidRPr="001F64A9">
        <w:rPr>
          <w:rFonts w:asciiTheme="majorBidi" w:eastAsia="Times New Roman" w:hAnsiTheme="majorBidi" w:cstheme="majorBidi"/>
          <w:sz w:val="24"/>
          <w:szCs w:val="24"/>
        </w:rPr>
        <w:t xml:space="preserve">One of the central goals in contemporary medical decision making is beneficence. Beneficence can be generally defined as a combination of all the norms, dispositions, and actions </w:t>
      </w:r>
      <w:r w:rsidRPr="001F64A9">
        <w:rPr>
          <w:rFonts w:asciiTheme="majorBidi" w:eastAsia="Times New Roman" w:hAnsiTheme="majorBidi" w:cstheme="majorBidi"/>
          <w:sz w:val="24"/>
          <w:szCs w:val="24"/>
        </w:rPr>
        <w:lastRenderedPageBreak/>
        <w:t xml:space="preserve">with the aim of protecting (or promoting) the wellbeing of others (Beauchamp, 2008; Cullity, 2007). Wellbeing is a debated topic with no consensus about a definition (see Feltz &amp; Cokely 2012, for a potential explanation), but wellbeing can generally be characterized as actualizing the (most deeply held) values of an individual (Bishop, 2015; S. Feltz &amp; Feltz, 2016). </w:t>
      </w:r>
      <w:r w:rsidRPr="001F64A9">
        <w:rPr>
          <w:rFonts w:asciiTheme="majorBidi" w:hAnsiTheme="majorBidi" w:cstheme="majorBidi"/>
          <w:sz w:val="24"/>
          <w:szCs w:val="24"/>
        </w:rPr>
        <w:t xml:space="preserve">According to value fulfillment theory, wellbeing can be characterized as the fulfilment of an individual’s fundamental values where those values are emotionally appropriate and deliberately realized and recognized by the individual to make their life go well (Tiberius, 2018 &amp; 2014). On either of these conceptions of wellbeing, the connection between the individuals’ values and decisions are key. </w:t>
      </w:r>
      <w:r w:rsidRPr="001F64A9">
        <w:rPr>
          <w:rFonts w:asciiTheme="majorBidi" w:eastAsia="Times New Roman" w:hAnsiTheme="majorBidi" w:cstheme="majorBidi"/>
          <w:sz w:val="24"/>
          <w:szCs w:val="24"/>
        </w:rPr>
        <w:t>Beneficence as a principle of medical ethics can therefore be described as the obligation or duty to protect or promote the (deeply held) values of patients (i.e., wellbeing) (Bester, 2020; Kant, 1996; Mill, 1998)</w:t>
      </w:r>
      <w:r w:rsidRPr="001F64A9">
        <w:rPr>
          <w:rFonts w:asciiTheme="majorBidi" w:hAnsiTheme="majorBidi" w:cstheme="majorBidi"/>
          <w:sz w:val="24"/>
          <w:szCs w:val="24"/>
        </w:rPr>
        <w:t xml:space="preserve">. </w:t>
      </w:r>
    </w:p>
    <w:p w14:paraId="4616A97D" w14:textId="77777777" w:rsidR="00EE5072" w:rsidRPr="001F64A9" w:rsidRDefault="00EE5072" w:rsidP="00EE5072">
      <w:pPr>
        <w:spacing w:before="100" w:beforeAutospacing="1" w:after="100" w:afterAutospacing="1" w:line="480" w:lineRule="auto"/>
        <w:ind w:firstLine="720"/>
        <w:rPr>
          <w:rFonts w:asciiTheme="majorBidi" w:hAnsiTheme="majorBidi" w:cstheme="majorBidi"/>
          <w:sz w:val="24"/>
          <w:szCs w:val="24"/>
          <w:lang w:val="en-GB"/>
        </w:rPr>
      </w:pPr>
      <w:r w:rsidRPr="001F64A9">
        <w:rPr>
          <w:rFonts w:asciiTheme="majorBidi" w:hAnsiTheme="majorBidi" w:cstheme="majorBidi"/>
          <w:sz w:val="24"/>
          <w:szCs w:val="24"/>
        </w:rPr>
        <w:t xml:space="preserve">Finding a completely satisfactory definition of ‘values’ that has wide-spread consensus is difficult to find (probably for similar reasons ‘well-being’ is a contested concept). Some theorists have adopted “thicker” notions of values in which values are the things towards which we have a synchronized pattern of motivations, emotions, and judgments and we take them significant to how our life goes (i.e., wellbeing) (Regan, 1987 &amp; 2011). Most of the values are socially authorized, stable over time, and objective (i.e., can be evaluated whether they are achieved). Therefore, they can be considered as a standard for wellbeing assessment. Others hold that </w:t>
      </w:r>
      <w:r w:rsidRPr="001F64A9">
        <w:rPr>
          <w:rFonts w:asciiTheme="majorBidi" w:hAnsiTheme="majorBidi" w:cstheme="majorBidi"/>
          <w:sz w:val="24"/>
          <w:szCs w:val="24"/>
          <w:lang w:val="en-GB"/>
        </w:rPr>
        <w:t xml:space="preserve">values are the standards of preferences (Williams, 1979). People behave in ways which express their values and attain the goals underlying those values (Bardi &amp; Schwartz, 2003). Values can be taken as guiding principles, evaluation standards, virtues, and norms, in judgment and decision-making process. I will consider these values to be “thick” because they could involve a </w:t>
      </w:r>
      <w:r w:rsidRPr="001F64A9">
        <w:rPr>
          <w:rFonts w:asciiTheme="majorBidi" w:hAnsiTheme="majorBidi" w:cstheme="majorBidi"/>
          <w:sz w:val="24"/>
          <w:szCs w:val="24"/>
          <w:lang w:val="en-GB"/>
        </w:rPr>
        <w:lastRenderedPageBreak/>
        <w:t xml:space="preserve">host of associated factors like social authorization, stability, objective, emotions, and rational preferences. </w:t>
      </w:r>
    </w:p>
    <w:p w14:paraId="6E710A6E" w14:textId="77777777" w:rsidR="00EE5072" w:rsidRPr="001F64A9" w:rsidRDefault="00EE5072" w:rsidP="00EE5072">
      <w:pPr>
        <w:spacing w:before="100" w:beforeAutospacing="1" w:after="100" w:afterAutospacing="1" w:line="48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 xml:space="preserve">While there may be some value in these more substantive, “thick” views about values, any of the forgoing views about values will serve my purposes in this thesis. Partially for this reason, I adopt Chang’s (1997) conceptually undemanding and “thin” view that values are anything on which a meaningful comparison are made (this conception would be entailed by all the “thicker” views). If any of the thicker views about values end up being true, then the thinner view I adopt is true. Hence, nothing substantive changes in the conceptualization of my thesis if one of the thicker views of values ends up being true. On this thin conception of values, values are important because they core elements in decision making (Baron, 2008; Weirich, 2004) and factor into assessments of how our lives are going </w:t>
      </w:r>
      <w:r w:rsidRPr="001F64A9">
        <w:rPr>
          <w:rFonts w:asciiTheme="majorBidi" w:hAnsiTheme="majorBidi" w:cstheme="majorBidi"/>
          <w:sz w:val="24"/>
          <w:szCs w:val="24"/>
        </w:rPr>
        <w:t>(Anderson, 1995; Bishop, 2015; Chang, 1997; Raibley, 2010; Tiberius, 2014)</w:t>
      </w:r>
      <w:r w:rsidRPr="001F64A9">
        <w:rPr>
          <w:rFonts w:asciiTheme="majorBidi" w:hAnsiTheme="majorBidi" w:cstheme="majorBidi"/>
          <w:sz w:val="24"/>
          <w:szCs w:val="24"/>
          <w:lang w:val="en-GB"/>
        </w:rPr>
        <w:t xml:space="preserve">. This general view about values’ role in decision making has a long and relatively uncontroversial history (Baron, 2008, Fritzsche, 1991, 1995; Weirich, 2004). Not surprisingly, there is plenty of empirical research that values play important roles in decisions (see Arieli et al., 2020; Sagiv et al., 2017; Sanderson &amp; McQuikin, 2017; Skimina et al., 2019). </w:t>
      </w:r>
    </w:p>
    <w:p w14:paraId="01AA1EFE"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I have conceptualized beneficence along the lines with Bishop (2015), Kant (1996), S. Feltz and Feltz (2016), and Tiberius (2014) that beneficence can be at least partially understood as a relation between one’s values (e.g., avoiding pain) and one’s decision (e.g., writing a DNR). As the relationship between one’s values and one’s decision could be more or less strong, beneficence is also gradable, meaning that beneficence admits of degrees. So, one’s decision could be more or less tightly linked to one’s values, and the strength of that link would indicate </w:t>
      </w:r>
      <w:r w:rsidRPr="001F64A9">
        <w:rPr>
          <w:rFonts w:asciiTheme="majorBidi" w:eastAsia="Times New Roman" w:hAnsiTheme="majorBidi" w:cstheme="majorBidi"/>
          <w:sz w:val="24"/>
          <w:szCs w:val="24"/>
        </w:rPr>
        <w:lastRenderedPageBreak/>
        <w:t>greater or lesser beneficence (</w:t>
      </w:r>
      <w:r w:rsidRPr="001F64A9">
        <w:rPr>
          <w:rFonts w:asciiTheme="majorBidi" w:hAnsiTheme="majorBidi" w:cstheme="majorBidi"/>
        </w:rPr>
        <w:fldChar w:fldCharType="begin"/>
      </w:r>
      <w:r w:rsidRPr="001F64A9">
        <w:rPr>
          <w:rFonts w:asciiTheme="majorBidi" w:eastAsia="Times New Roman" w:hAnsiTheme="majorBidi" w:cstheme="majorBidi"/>
          <w:sz w:val="24"/>
          <w:szCs w:val="24"/>
        </w:rPr>
        <w:instrText xml:space="preserve"> ADDIN EN.CITE &lt;EndNote&gt;&lt;Cite AuthorYear="1"&gt;&lt;Author&gt;Chang&lt;/Author&gt;&lt;Year&gt;1997&lt;/Year&gt;&lt;RecNum&gt;713&lt;/RecNum&gt;&lt;DisplayText&gt;Chang (1997)&lt;/DisplayText&gt;&lt;record&gt;&lt;rec-number&gt;713&lt;/rec-number&gt;&lt;foreign-keys&gt;&lt;key app="EN" db-id="s55wxtttu0xtwlezfs5vezrie2px2e9pva9w" timestamp="1581103785"&gt;713&lt;/key&gt;&lt;/foreign-keys&gt;&lt;ref-type name="Book Section"&gt;5&lt;/ref-type&gt;&lt;contributors&gt;&lt;authors&gt;&lt;author&gt;Chang, R.&lt;/author&gt;&lt;/authors&gt;&lt;secondary-authors&gt;&lt;author&gt;Change, R.&lt;/author&gt;&lt;/secondary-authors&gt;&lt;/contributors&gt;&lt;titles&gt;&lt;title&gt;Introduction&lt;/title&gt;&lt;secondary-title&gt;Incommensurability, incomparability, and practical reason&lt;/secondary-title&gt;&lt;/titles&gt;&lt;pages&gt;1-34&lt;/pages&gt;&lt;dates&gt;&lt;year&gt;1997&lt;/year&gt;&lt;/dates&gt;&lt;pub-location&gt;Cambridge&lt;/pub-location&gt;&lt;publisher&gt;Harvard University Press&lt;/publisher&gt;&lt;urls&gt;&lt;/urls&gt;&lt;/record&gt;&lt;/Cite&gt;&lt;/EndNote&gt;</w:instrText>
      </w:r>
      <w:r w:rsidRPr="001F64A9">
        <w:rPr>
          <w:rFonts w:asciiTheme="majorBidi" w:hAnsiTheme="majorBidi" w:cstheme="majorBidi"/>
        </w:rPr>
        <w:fldChar w:fldCharType="separate"/>
      </w:r>
      <w:r w:rsidRPr="001F64A9">
        <w:rPr>
          <w:rFonts w:asciiTheme="majorBidi" w:eastAsia="Times New Roman" w:hAnsiTheme="majorBidi" w:cstheme="majorBidi"/>
          <w:noProof/>
          <w:sz w:val="24"/>
          <w:szCs w:val="24"/>
        </w:rPr>
        <w:t>Chang 1997)</w:t>
      </w:r>
      <w:r w:rsidRPr="001F64A9">
        <w:rPr>
          <w:rFonts w:asciiTheme="majorBidi" w:hAnsiTheme="majorBidi" w:cstheme="majorBidi"/>
        </w:rPr>
        <w:fldChar w:fldCharType="end"/>
      </w:r>
      <w:r w:rsidRPr="001F64A9">
        <w:rPr>
          <w:rFonts w:asciiTheme="majorBidi" w:eastAsia="Times New Roman" w:hAnsiTheme="majorBidi" w:cstheme="majorBidi"/>
          <w:sz w:val="24"/>
          <w:szCs w:val="24"/>
        </w:rPr>
        <w:t>. For example, imagine that a person values a debt-free lifestyle. Imagine now a program is started that encourages this person pays off a credit card bill that carries a 7% interest rate. However, imagine that this same person also has a credit card that carries a 10% interest rate. While paying off the 7% interest rate card promotes a value of that person, paying off the 10% interest rate card would do so even more. Hence, in this example, beneficence was lower than it could have been with the program encouraging the choice to pay off the 10% credit card. That is, paying the 10% credit card would have involved greater beneficence than the 7% credit card.</w:t>
      </w:r>
    </w:p>
    <w:p w14:paraId="7673A1A7"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On this understanding of beneficence, relative comparisons of beneficence can be made between interventions even if both interventions bring about some good (or reduce some harm). To illustrate, imagine two Interventions 1 and 2. Given those two interventions, the following two principles seem plausible: </w:t>
      </w:r>
    </w:p>
    <w:p w14:paraId="4D0D8A64" w14:textId="77777777" w:rsidR="00EE5072" w:rsidRPr="001F64A9" w:rsidRDefault="00EE5072" w:rsidP="00EE5072">
      <w:pPr>
        <w:spacing w:before="100" w:beforeAutospacing="1" w:after="100" w:afterAutospacing="1" w:line="480" w:lineRule="auto"/>
        <w:ind w:left="720"/>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u w:val="single"/>
        </w:rPr>
        <w:t>Principle of Gradable Beneficence</w:t>
      </w:r>
      <w:r w:rsidRPr="001F64A9">
        <w:rPr>
          <w:rFonts w:asciiTheme="majorBidi" w:eastAsia="Times New Roman" w:hAnsiTheme="majorBidi" w:cstheme="majorBidi"/>
          <w:sz w:val="24"/>
          <w:szCs w:val="24"/>
        </w:rPr>
        <w:t xml:space="preserve">: If Intervention 1 produces a relation X between relevant values and choices, and Intervention 2 produces a relation Y between relevant values and choices, and X &gt; Y, then Intervention 1 protects or promotes beneficence more than Intervention 2. </w:t>
      </w:r>
    </w:p>
    <w:p w14:paraId="1B82F3F9" w14:textId="77777777" w:rsidR="00EE5072" w:rsidRPr="001F64A9" w:rsidRDefault="00EE5072" w:rsidP="00EE5072">
      <w:pPr>
        <w:spacing w:before="100" w:beforeAutospacing="1" w:after="100" w:afterAutospacing="1" w:line="480" w:lineRule="auto"/>
        <w:ind w:left="720"/>
        <w:rPr>
          <w:rFonts w:asciiTheme="majorBidi" w:hAnsiTheme="majorBidi" w:cstheme="majorBidi"/>
          <w:sz w:val="24"/>
          <w:szCs w:val="24"/>
        </w:rPr>
      </w:pPr>
      <w:r w:rsidRPr="001F64A9">
        <w:rPr>
          <w:rFonts w:asciiTheme="majorBidi" w:eastAsia="Times New Roman" w:hAnsiTheme="majorBidi" w:cstheme="majorBidi"/>
          <w:i/>
          <w:iCs/>
          <w:sz w:val="24"/>
          <w:szCs w:val="24"/>
          <w:u w:val="single"/>
        </w:rPr>
        <w:t>The Principle of Beneficence Comparison</w:t>
      </w:r>
      <w:r w:rsidRPr="001F64A9">
        <w:rPr>
          <w:rFonts w:asciiTheme="majorBidi" w:eastAsia="Times New Roman" w:hAnsiTheme="majorBidi" w:cstheme="majorBidi"/>
          <w:sz w:val="24"/>
          <w:szCs w:val="24"/>
        </w:rPr>
        <w:t>: Everything else being equal, any intervention that has higher beneficence is ethically better than any intervention that has lower beneficence.</w:t>
      </w:r>
    </w:p>
    <w:p w14:paraId="09D6628A" w14:textId="77777777" w:rsidR="00EE5072" w:rsidRPr="001F64A9" w:rsidRDefault="00EE5072" w:rsidP="00EE5072">
      <w:pPr>
        <w:spacing w:before="100" w:beforeAutospacing="1" w:after="100" w:afterAutospacing="1" w:line="480" w:lineRule="auto"/>
        <w:ind w:firstLine="720"/>
        <w:rPr>
          <w:rFonts w:asciiTheme="majorBidi" w:hAnsiTheme="majorBidi" w:cstheme="majorBidi"/>
          <w:sz w:val="24"/>
          <w:szCs w:val="24"/>
        </w:rPr>
      </w:pPr>
      <w:r w:rsidRPr="001F64A9">
        <w:rPr>
          <w:rFonts w:asciiTheme="majorBidi" w:hAnsiTheme="majorBidi" w:cstheme="majorBidi"/>
          <w:sz w:val="24"/>
          <w:szCs w:val="24"/>
        </w:rPr>
        <w:t xml:space="preserve">Take the credit card example again. If Intervention A increases the chances that the person will pay off the 10% credit cared more than Intervention B (Principle of Gradable </w:t>
      </w:r>
      <w:r w:rsidRPr="001F64A9">
        <w:rPr>
          <w:rFonts w:asciiTheme="majorBidi" w:hAnsiTheme="majorBidi" w:cstheme="majorBidi"/>
          <w:sz w:val="24"/>
          <w:szCs w:val="24"/>
        </w:rPr>
        <w:lastRenderedPageBreak/>
        <w:t xml:space="preserve">Beneficence), then Intervention A is better in terms of beneficence (Principle of Beneficence Comparison). Intervention A increases the strength of the link between the value of living a debt-free lifestyle and the decision to pay off a credit card. </w:t>
      </w:r>
    </w:p>
    <w:p w14:paraId="008EFBC3" w14:textId="77777777" w:rsidR="00EE5072" w:rsidRPr="001F64A9" w:rsidRDefault="00EE5072" w:rsidP="00EE5072">
      <w:pPr>
        <w:spacing w:before="100" w:beforeAutospacing="1" w:after="100" w:afterAutospacing="1" w:line="480" w:lineRule="auto"/>
        <w:ind w:firstLine="720"/>
        <w:rPr>
          <w:rFonts w:asciiTheme="majorBidi" w:hAnsiTheme="majorBidi" w:cstheme="majorBidi"/>
          <w:sz w:val="24"/>
          <w:szCs w:val="24"/>
        </w:rPr>
      </w:pPr>
      <w:r w:rsidRPr="001F64A9">
        <w:rPr>
          <w:rFonts w:asciiTheme="majorBidi" w:hAnsiTheme="majorBidi" w:cstheme="majorBidi"/>
          <w:sz w:val="24"/>
          <w:szCs w:val="24"/>
        </w:rPr>
        <w:t xml:space="preserve">In summary, beneficence represents the connection between one’s decisions and one’s deeply held relevant values. Among the thicker views of what values are, I have chosen a thinner view that values are anything based on which meaningful comparisons could be made. With respect to Principal of Beneficence Comparison, two interventions could be ethically compared based on how strongly the resulting behavior is associated with a person’s relevant values. </w:t>
      </w:r>
    </w:p>
    <w:p w14:paraId="085D2117" w14:textId="77777777" w:rsidR="00EE5072" w:rsidRPr="001F64A9" w:rsidRDefault="00EE5072" w:rsidP="00EE5072">
      <w:pPr>
        <w:spacing w:before="100" w:beforeAutospacing="1" w:after="100" w:afterAutospacing="1" w:line="480" w:lineRule="auto"/>
        <w:rPr>
          <w:rFonts w:asciiTheme="majorBidi" w:eastAsia="Times New Roman" w:hAnsiTheme="majorBidi" w:cstheme="majorBidi"/>
          <w:b/>
          <w:bCs/>
          <w:sz w:val="24"/>
          <w:szCs w:val="24"/>
        </w:rPr>
      </w:pPr>
      <w:r w:rsidRPr="001F64A9">
        <w:rPr>
          <w:rFonts w:asciiTheme="majorBidi" w:hAnsiTheme="majorBidi" w:cstheme="majorBidi"/>
          <w:b/>
          <w:bCs/>
          <w:sz w:val="24"/>
          <w:szCs w:val="24"/>
          <w:lang w:val="en-GB"/>
        </w:rPr>
        <w:t xml:space="preserve">CPR and Do-not-resuscitate orders (DNR) </w:t>
      </w:r>
    </w:p>
    <w:p w14:paraId="77CB1A23" w14:textId="77777777" w:rsidR="00EE5072" w:rsidRPr="001F64A9" w:rsidRDefault="00EE5072" w:rsidP="00EE5072">
      <w:pPr>
        <w:spacing w:before="100" w:beforeAutospacing="1" w:after="100" w:afterAutospacing="1" w:line="480" w:lineRule="auto"/>
        <w:ind w:firstLine="420"/>
        <w:rPr>
          <w:rFonts w:asciiTheme="majorBidi" w:hAnsiTheme="majorBidi" w:cstheme="majorBidi"/>
          <w:sz w:val="24"/>
          <w:szCs w:val="24"/>
          <w:lang w:val="en-GB"/>
        </w:rPr>
      </w:pPr>
      <w:r w:rsidRPr="001F64A9">
        <w:rPr>
          <w:rFonts w:asciiTheme="majorBidi" w:hAnsiTheme="majorBidi" w:cstheme="majorBidi"/>
          <w:sz w:val="24"/>
          <w:szCs w:val="24"/>
          <w:lang w:val="en-GB"/>
        </w:rPr>
        <w:t>Cardiopulmonary resuscitation (CPR) was introduced around 1960 as a medical intervention to be performed on those who experienced cardiac arrest. CPR includes chest compressions, artificial ventilation, resuscitation drugs, and electric shocks (Rabkin, Gillerman &amp; Rice, 1976). Partially because of the recognition of the benefits of CPR in terms of the probability of extending a person’s life, it became a default procedure (i.e., full code) (Larkin et al., 2010). Currently, in most of the Western world including the United States, many people receive CPR in the condition of cardiac arrest (i.e., when an individual’s heart stops beating) (e.g., Heart Disease and Stroke Statistics-2023 reported that laypeople tried bystander CPR in 40.2% of 356,000 cases (Tsao et al., 2023)), unless the person has a DNR order (and sometimes even if they do have a DNR (Anesi &amp; Halpern, 2016)).</w:t>
      </w:r>
    </w:p>
    <w:p w14:paraId="45B6B18E" w14:textId="77777777" w:rsidR="00EE5072" w:rsidRPr="001F64A9" w:rsidRDefault="00EE5072" w:rsidP="00EE5072">
      <w:pPr>
        <w:spacing w:before="100" w:beforeAutospacing="1" w:after="100" w:afterAutospacing="1" w:line="480" w:lineRule="auto"/>
        <w:ind w:firstLine="420"/>
        <w:rPr>
          <w:rFonts w:asciiTheme="majorBidi" w:hAnsiTheme="majorBidi" w:cstheme="majorBidi"/>
          <w:sz w:val="24"/>
          <w:szCs w:val="24"/>
          <w:lang w:val="en-GB"/>
        </w:rPr>
      </w:pPr>
      <w:r w:rsidRPr="001F64A9">
        <w:rPr>
          <w:rFonts w:asciiTheme="majorBidi" w:hAnsiTheme="majorBidi" w:cstheme="majorBidi"/>
          <w:sz w:val="24"/>
          <w:szCs w:val="24"/>
          <w:lang w:val="en-GB"/>
        </w:rPr>
        <w:t xml:space="preserve">While CPR undoubtedly saves lives, the effectiveness of the intervention may seem to be underwhelming and surprising. Public perceptions of survival rates of CPR are usually </w:t>
      </w:r>
      <w:r w:rsidRPr="001F64A9">
        <w:rPr>
          <w:rFonts w:asciiTheme="majorBidi" w:hAnsiTheme="majorBidi" w:cstheme="majorBidi"/>
          <w:sz w:val="24"/>
          <w:szCs w:val="24"/>
          <w:lang w:val="en-GB"/>
        </w:rPr>
        <w:lastRenderedPageBreak/>
        <w:t xml:space="preserve">overestimated (Halpern et al., 2013). Beginning in the 1980s, most of the studies showed that the average survival rates by the time of discharge for almost all patients getting CPR in the US hospitals were only 10-15% (Bedell et al., 1983; Moss, 1989). These survival rates have not significantly increased in the ensuring 35 years (Benjamin et al., 2019). The American Heart Association’s team recently conducted a meta-analysis on a cohort of 57,312 in-hospital cardiac arrest patients from 538 hospitals in the United States. The CPR survival rate of the patients was estimated 17.1%. When CPR was performed within the two-minutes after their heart stopped beating and defibrillation was performed subsequently within next two-minutes, 38.1% of patients survived (out of 8,713 patients reviewed) (Bircher et al., 2019). Another meta-analysis included 141 studies (4.6 million patients globally) to estimate the CPR survival rates among the out-of-hospital cardiac arrest patients and found that patients had a survival to hospital discharge rate of 8.8%. The survival rate to one-month period was estimated 10.7% (Yan et al., 2020). For the patients with terminal illness, for example cancer patients, these numbers can be as low as 5% (Hwang et al., 2010). Even if the patients survive CPR, some patients suffer adverse consequences associated directly with CPR, like fractured ribs and sternum, neurological defects, coma, intrathoracic haemorrhage, dependency for daily life activities, and post-traumatic stress disorder (PTSD) (Boland et al., 2015; Buschmann &amp; Tsokos, 2009; McMeekin et al., 2017). Because of statistics such as these, health care professionals and policy makers have seen it as increasingly important that people not only have the right to make decision about CPR and DNR but they actually do so according to their own personal values (i.e., beneficence) (Bester et al., 2020). </w:t>
      </w:r>
    </w:p>
    <w:p w14:paraId="0CC667FC" w14:textId="77777777" w:rsidR="00EE5072" w:rsidRPr="001F64A9" w:rsidRDefault="00EE5072" w:rsidP="00EE5072">
      <w:pPr>
        <w:spacing w:before="100" w:beforeAutospacing="1" w:after="100" w:afterAutospacing="1" w:line="480" w:lineRule="auto"/>
        <w:ind w:firstLine="420"/>
        <w:rPr>
          <w:rFonts w:asciiTheme="majorBidi" w:hAnsiTheme="majorBidi" w:cstheme="majorBidi"/>
          <w:sz w:val="24"/>
          <w:szCs w:val="24"/>
          <w:lang w:val="en-GB"/>
        </w:rPr>
      </w:pPr>
      <w:r w:rsidRPr="001F64A9">
        <w:rPr>
          <w:rFonts w:asciiTheme="majorBidi" w:hAnsiTheme="majorBidi" w:cstheme="majorBidi"/>
          <w:sz w:val="24"/>
          <w:szCs w:val="24"/>
          <w:lang w:val="en-GB"/>
        </w:rPr>
        <w:t xml:space="preserve">In terms of CPR and DNR decision making, people have different values and preferences (Becker et al., 2019; Halpern et al., 2013; Kaldjian et al., 2009; Winter, 2013). These differences </w:t>
      </w:r>
      <w:r w:rsidRPr="001F64A9">
        <w:rPr>
          <w:rFonts w:asciiTheme="majorBidi" w:hAnsiTheme="majorBidi" w:cstheme="majorBidi"/>
          <w:sz w:val="24"/>
          <w:szCs w:val="24"/>
          <w:lang w:val="en-GB"/>
        </w:rPr>
        <w:lastRenderedPageBreak/>
        <w:t>can include differential value that is put on pain tolerance, emotional and financial burden, religiosity, and longevity (Winter, 2013). Not only do people have diverse values about end-of-life decisions, sometimes these values are associated with differences in decision related to end-of-life care. For example, Winter (2013) found that people’s end-of-life values like strong religiosity, longevity, and respect for family wishes were positively associated with more life-prolonging interventions (i.e., CPR) while values like preferences for dignified death, pain management, avoiding burdening others’ values were negatively associated with life-prolonging interventions (i.e., CPR). She further reported that these correlations were independent of covariates like sociodemographic characteristics.</w:t>
      </w:r>
    </w:p>
    <w:p w14:paraId="328FE865" w14:textId="77777777" w:rsidR="00EE5072" w:rsidRPr="001F64A9" w:rsidRDefault="00EE5072" w:rsidP="00EE5072">
      <w:pPr>
        <w:spacing w:before="100" w:beforeAutospacing="1" w:after="100" w:afterAutospacing="1" w:line="480" w:lineRule="auto"/>
        <w:ind w:firstLine="420"/>
        <w:rPr>
          <w:rFonts w:asciiTheme="majorBidi" w:hAnsiTheme="majorBidi" w:cstheme="majorBidi"/>
          <w:sz w:val="24"/>
          <w:szCs w:val="24"/>
          <w:lang w:val="en-GB"/>
        </w:rPr>
      </w:pPr>
      <w:r w:rsidRPr="001F64A9">
        <w:rPr>
          <w:rFonts w:asciiTheme="majorBidi" w:hAnsiTheme="majorBidi" w:cstheme="majorBidi"/>
          <w:sz w:val="24"/>
          <w:szCs w:val="24"/>
          <w:lang w:val="en-GB"/>
        </w:rPr>
        <w:t xml:space="preserve">Similarly, Howard et al. (2017) examined the relationship between end-of-life values and patients’ treatment preferences. They used end-of-life values scale (Winter, 2008) to measure nine EOL values and categorized treatment preferences into three categories: 1) comfort care/allow natural death, 2) use full medical care excluding CPR, 3) all possible measures including CPR. They found a ceiling effect in patient’s ratings on three of the end-of-life values (i.e., having more time with family, being comfortable and suffering as little as possible, and death is not prolonged). The relationship of some values was weak or inconsistent with other values (e.g., correlation of ‘life should be preserved’ and ‘living as long as possible’ with ‘avoiding tubes and machines’ were </w:t>
      </w:r>
      <w:r w:rsidRPr="001F64A9">
        <w:rPr>
          <w:rFonts w:asciiTheme="majorBidi" w:hAnsiTheme="majorBidi" w:cstheme="majorBidi"/>
          <w:i/>
          <w:iCs/>
          <w:sz w:val="24"/>
          <w:szCs w:val="24"/>
          <w:lang w:val="en-GB"/>
        </w:rPr>
        <w:t>r</w:t>
      </w:r>
      <w:r w:rsidRPr="001F64A9">
        <w:rPr>
          <w:rFonts w:asciiTheme="majorBidi" w:hAnsiTheme="majorBidi" w:cstheme="majorBidi"/>
          <w:sz w:val="24"/>
          <w:szCs w:val="24"/>
          <w:lang w:val="en-GB"/>
        </w:rPr>
        <w:t xml:space="preserve"> = -.03, </w:t>
      </w:r>
      <w:r w:rsidRPr="001F64A9">
        <w:rPr>
          <w:rFonts w:asciiTheme="majorBidi" w:hAnsiTheme="majorBidi" w:cstheme="majorBidi"/>
          <w:i/>
          <w:iCs/>
          <w:sz w:val="24"/>
          <w:szCs w:val="24"/>
          <w:lang w:val="en-GB"/>
        </w:rPr>
        <w:t>p</w:t>
      </w:r>
      <w:r w:rsidRPr="001F64A9">
        <w:rPr>
          <w:rFonts w:asciiTheme="majorBidi" w:hAnsiTheme="majorBidi" w:cstheme="majorBidi"/>
          <w:sz w:val="24"/>
          <w:szCs w:val="24"/>
          <w:lang w:val="en-GB"/>
        </w:rPr>
        <w:t xml:space="preserve"> = .49 and </w:t>
      </w:r>
      <w:r w:rsidRPr="001F64A9">
        <w:rPr>
          <w:rFonts w:asciiTheme="majorBidi" w:hAnsiTheme="majorBidi" w:cstheme="majorBidi"/>
          <w:i/>
          <w:iCs/>
          <w:sz w:val="24"/>
          <w:szCs w:val="24"/>
          <w:lang w:val="en-GB"/>
        </w:rPr>
        <w:t>r</w:t>
      </w:r>
      <w:r w:rsidRPr="001F64A9">
        <w:rPr>
          <w:rFonts w:asciiTheme="majorBidi" w:hAnsiTheme="majorBidi" w:cstheme="majorBidi"/>
          <w:sz w:val="24"/>
          <w:szCs w:val="24"/>
          <w:lang w:val="en-GB"/>
        </w:rPr>
        <w:t xml:space="preserve"> = .02, </w:t>
      </w:r>
      <w:r w:rsidRPr="001F64A9">
        <w:rPr>
          <w:rFonts w:asciiTheme="majorBidi" w:hAnsiTheme="majorBidi" w:cstheme="majorBidi"/>
          <w:i/>
          <w:iCs/>
          <w:sz w:val="24"/>
          <w:szCs w:val="24"/>
          <w:lang w:val="en-GB"/>
        </w:rPr>
        <w:t>p</w:t>
      </w:r>
      <w:r w:rsidRPr="001F64A9">
        <w:rPr>
          <w:rFonts w:asciiTheme="majorBidi" w:hAnsiTheme="majorBidi" w:cstheme="majorBidi"/>
          <w:sz w:val="24"/>
          <w:szCs w:val="24"/>
          <w:lang w:val="en-GB"/>
        </w:rPr>
        <w:t xml:space="preserve"> = 52, respectively (both were expected to be strong negative)). Additionally, most values were weakly correlated with treatment preferences (e.g., correlation between ‘avoid hospitalization’ value and treatment preference was, </w:t>
      </w:r>
      <w:r w:rsidRPr="001F64A9">
        <w:rPr>
          <w:rFonts w:asciiTheme="majorBidi" w:hAnsiTheme="majorBidi" w:cstheme="majorBidi"/>
          <w:i/>
          <w:iCs/>
          <w:sz w:val="24"/>
          <w:szCs w:val="24"/>
          <w:lang w:val="en-GB"/>
        </w:rPr>
        <w:t>r</w:t>
      </w:r>
      <w:r w:rsidRPr="001F64A9">
        <w:rPr>
          <w:rFonts w:asciiTheme="majorBidi" w:hAnsiTheme="majorBidi" w:cstheme="majorBidi"/>
          <w:sz w:val="24"/>
          <w:szCs w:val="24"/>
          <w:lang w:val="en-GB"/>
        </w:rPr>
        <w:t xml:space="preserve"> = -.12, </w:t>
      </w:r>
      <w:r w:rsidRPr="001F64A9">
        <w:rPr>
          <w:rFonts w:asciiTheme="majorBidi" w:hAnsiTheme="majorBidi" w:cstheme="majorBidi"/>
          <w:i/>
          <w:iCs/>
          <w:sz w:val="24"/>
          <w:szCs w:val="24"/>
          <w:lang w:val="en-GB"/>
        </w:rPr>
        <w:t>p</w:t>
      </w:r>
      <w:r w:rsidRPr="001F64A9">
        <w:rPr>
          <w:rFonts w:asciiTheme="majorBidi" w:hAnsiTheme="majorBidi" w:cstheme="majorBidi"/>
          <w:sz w:val="24"/>
          <w:szCs w:val="24"/>
          <w:lang w:val="en-GB"/>
        </w:rPr>
        <w:t xml:space="preserve"> &lt; .00 (was expected to be strongly negative)). This evidence may suggest that people are not able to discriminate between the end-of-life values with each other </w:t>
      </w:r>
      <w:r w:rsidRPr="001F64A9">
        <w:rPr>
          <w:rFonts w:asciiTheme="majorBidi" w:hAnsiTheme="majorBidi" w:cstheme="majorBidi"/>
          <w:sz w:val="24"/>
          <w:szCs w:val="24"/>
          <w:lang w:val="en-GB"/>
        </w:rPr>
        <w:lastRenderedPageBreak/>
        <w:t xml:space="preserve">(e.g., avoid hospitalization vs. longevity) or may have difficulty associating their values with their treatment preferences (Howard et al., 2017). </w:t>
      </w:r>
    </w:p>
    <w:p w14:paraId="55D326DC" w14:textId="77777777" w:rsidR="00EE5072" w:rsidRPr="001F64A9" w:rsidRDefault="00EE5072" w:rsidP="00EE5072">
      <w:pPr>
        <w:spacing w:before="100" w:beforeAutospacing="1" w:after="100" w:afterAutospacing="1" w:line="480" w:lineRule="auto"/>
        <w:ind w:firstLine="420"/>
        <w:rPr>
          <w:rFonts w:asciiTheme="majorBidi" w:hAnsiTheme="majorBidi" w:cstheme="majorBidi"/>
          <w:sz w:val="24"/>
          <w:szCs w:val="24"/>
          <w:lang w:val="en-GB"/>
        </w:rPr>
      </w:pPr>
      <w:r w:rsidRPr="001F64A9">
        <w:rPr>
          <w:rFonts w:asciiTheme="majorBidi" w:hAnsiTheme="majorBidi" w:cstheme="majorBidi"/>
          <w:sz w:val="24"/>
          <w:szCs w:val="24"/>
          <w:lang w:val="en-GB"/>
        </w:rPr>
        <w:t xml:space="preserve">Inconsistency and weaker association between end-of-life values and treatment preferences—e.g., in patients’ self-ratings, in surrogates’ and patients’ ratings—are frequent findings in end-of-life care literature (Abdul-Razzak et al., 2019; Auriemma et al., 2014; Heyland et al., 2020). There are many potential explanations for these patterns. For example, people may have trouble recognizing the trade-offs between different values which are involved when making end-of-life treatment choices. For example, when trade-offs are considered, there is expected to be a negative association between the importance rating on longevity and being as comfortable and suffering as little as possible. Likewise, there is expected to be a negative association between a treatment preference for all possible measure including CPR and the importance ratings on being as comfortable and suffering as little as possible. However, in many instances, these effects are not found or are weak (Elwyn et al., 2006; Howard et al., 2017) </w:t>
      </w:r>
    </w:p>
    <w:p w14:paraId="20869A4B" w14:textId="77777777" w:rsidR="00EE5072" w:rsidRPr="001F64A9" w:rsidRDefault="00EE5072" w:rsidP="00EE5072">
      <w:pPr>
        <w:spacing w:before="100" w:beforeAutospacing="1" w:after="100" w:afterAutospacing="1" w:line="480" w:lineRule="auto"/>
        <w:ind w:firstLine="420"/>
        <w:rPr>
          <w:rFonts w:asciiTheme="majorBidi" w:hAnsiTheme="majorBidi" w:cstheme="majorBidi"/>
          <w:sz w:val="24"/>
          <w:szCs w:val="24"/>
          <w:lang w:val="en-GB"/>
        </w:rPr>
      </w:pPr>
      <w:r w:rsidRPr="001F64A9">
        <w:rPr>
          <w:rFonts w:asciiTheme="majorBidi" w:hAnsiTheme="majorBidi" w:cstheme="majorBidi"/>
          <w:sz w:val="24"/>
          <w:szCs w:val="24"/>
          <w:lang w:val="en-GB"/>
        </w:rPr>
        <w:t xml:space="preserve">Among the complexities of end-of-life decision making, concordance between patients’ and surrogates’ self-reported values and treatment preferences is another important aspect. Concordance means that strength to which one’s values are associated with decisions. Abdul-Razzak and colleagues (2019) studied the agreement between patients’ and family members’ ratings on their values and treatment preferences (1. Use of machines and other resources including CPR, 2. Use of machine and other resources excluding CPR, 3. Use of machines for short term to see the progress, no CPR, 4. Use medical care excluding CPR, 5. Use comfort care, no CPR). They found that the agreement between patients and family ratings for CPR treatment preference vs. all other options without CPR was high (91.3%, </w:t>
      </w:r>
      <w:r w:rsidRPr="001F64A9">
        <w:rPr>
          <w:rFonts w:asciiTheme="majorBidi" w:hAnsiTheme="majorBidi" w:cstheme="majorBidi"/>
          <w:i/>
          <w:iCs/>
          <w:sz w:val="24"/>
          <w:szCs w:val="24"/>
          <w:lang w:val="en-GB"/>
        </w:rPr>
        <w:t>kappa</w:t>
      </w:r>
      <w:r w:rsidRPr="001F64A9">
        <w:rPr>
          <w:rFonts w:asciiTheme="majorBidi" w:hAnsiTheme="majorBidi" w:cstheme="majorBidi"/>
          <w:sz w:val="24"/>
          <w:szCs w:val="24"/>
          <w:lang w:val="en-GB"/>
        </w:rPr>
        <w:t xml:space="preserve"> = .60, 95% CI: .45 - .75). </w:t>
      </w:r>
      <w:r w:rsidRPr="001F64A9">
        <w:rPr>
          <w:rFonts w:asciiTheme="majorBidi" w:hAnsiTheme="majorBidi" w:cstheme="majorBidi"/>
          <w:sz w:val="24"/>
          <w:szCs w:val="24"/>
          <w:lang w:val="en-GB"/>
        </w:rPr>
        <w:lastRenderedPageBreak/>
        <w:t xml:space="preserve">While when the agreement decreased significantly when treatment preferences were categorized as comfort care vs. all other options to prolong life (56%, </w:t>
      </w:r>
      <w:r w:rsidRPr="001F64A9">
        <w:rPr>
          <w:rFonts w:asciiTheme="majorBidi" w:hAnsiTheme="majorBidi" w:cstheme="majorBidi"/>
          <w:i/>
          <w:iCs/>
          <w:sz w:val="24"/>
          <w:szCs w:val="24"/>
          <w:lang w:val="en-GB"/>
        </w:rPr>
        <w:t>kappa</w:t>
      </w:r>
      <w:r w:rsidRPr="001F64A9">
        <w:rPr>
          <w:rFonts w:asciiTheme="majorBidi" w:hAnsiTheme="majorBidi" w:cstheme="majorBidi"/>
          <w:sz w:val="24"/>
          <w:szCs w:val="24"/>
          <w:lang w:val="en-GB"/>
        </w:rPr>
        <w:t xml:space="preserve"> = .39, 95% CI: .31 - .47). Hence, in some instances, the concordance of a patients’ values may not be obtained when a surrogate makes a decision. Similarly, Heyland and colleagues (2016) studied the medical error: inconsistency between expressed treatment preferences (by patient and family members) and documented treatment preferences. They found that raw concordance between patients’ and family members expressed and documented treatment preferences was 35% and 33%, respectively. With respect to individual treatment options, 37% of patients made a medical error with respect to expressed and documented orders to get CPR. Among patients who expressed preference to not get CPR, 16% had documented orders to get CPR and 19% had no documented orders, who by default, would get CPR when their heart would stop beating. Hence, sometimes patient’s themselves will make a mistake about their own treatment preferences (i.e., either the documented or expressed preference has to be wrong). </w:t>
      </w:r>
    </w:p>
    <w:p w14:paraId="66D9F6F3" w14:textId="77777777" w:rsidR="00EE5072" w:rsidRPr="001F64A9" w:rsidRDefault="00EE5072" w:rsidP="00EE5072">
      <w:pPr>
        <w:spacing w:before="100" w:beforeAutospacing="1" w:after="100" w:afterAutospacing="1" w:line="480" w:lineRule="auto"/>
        <w:ind w:firstLine="420"/>
        <w:rPr>
          <w:rFonts w:asciiTheme="majorBidi" w:hAnsiTheme="majorBidi" w:cstheme="majorBidi"/>
          <w:sz w:val="24"/>
          <w:szCs w:val="24"/>
          <w:lang w:val="en-GB"/>
        </w:rPr>
      </w:pPr>
      <w:r w:rsidRPr="001F64A9">
        <w:rPr>
          <w:rFonts w:asciiTheme="majorBidi" w:hAnsiTheme="majorBidi" w:cstheme="majorBidi"/>
          <w:sz w:val="24"/>
          <w:szCs w:val="24"/>
          <w:lang w:val="en-GB"/>
        </w:rPr>
        <w:t>Considering the misperceptions surrounding CPR, inconsistencies in judgments, and weaker association between end-of-life values and treatment preferences, policy makers (e.g., medical care takers, governments) and professionals have attempted to help patients to make better end-of-life decisions concerning DNRs. Over the years, multiple efforts have been made to develop decision aids to help people clarify their values and make better end-of-life decisions (Cardona-Morrell et al., 2017; Cox et al., 2019; Elwyn et al., 2006; Green &amp; Levi, 2009; Oczkowski et al., 2016; Sudore et al., 2017). These interventions are diverse and often focus on different dimensions. To illustrate, some of the interventions are communication-based interventions (Oczkowski et al., 2016), interactive computer-based interventions (van der Smissen et al., 2020), educational video-based interventions (</w:t>
      </w:r>
      <w:r w:rsidRPr="001F64A9">
        <w:rPr>
          <w:rFonts w:asciiTheme="majorBidi" w:eastAsia="Times New Roman" w:hAnsiTheme="majorBidi" w:cstheme="majorBidi"/>
          <w:sz w:val="24"/>
          <w:szCs w:val="24"/>
        </w:rPr>
        <w:t>El-Jawari et al., 2016; Volandes et al., 2012</w:t>
      </w:r>
      <w:r w:rsidRPr="001F64A9">
        <w:rPr>
          <w:rFonts w:asciiTheme="majorBidi" w:hAnsiTheme="majorBidi" w:cstheme="majorBidi"/>
          <w:sz w:val="24"/>
          <w:szCs w:val="24"/>
          <w:lang w:val="en-GB"/>
        </w:rPr>
        <w:t xml:space="preserve">). </w:t>
      </w:r>
    </w:p>
    <w:p w14:paraId="52E3C1F6" w14:textId="77777777" w:rsidR="00EE5072" w:rsidRPr="001F64A9" w:rsidRDefault="00EE5072" w:rsidP="00EE5072">
      <w:pPr>
        <w:spacing w:before="100" w:beforeAutospacing="1" w:after="100" w:afterAutospacing="1" w:line="480" w:lineRule="auto"/>
        <w:ind w:firstLine="420"/>
        <w:rPr>
          <w:rFonts w:asciiTheme="majorBidi" w:eastAsia="Times New Roman" w:hAnsiTheme="majorBidi" w:cstheme="majorBidi"/>
          <w:sz w:val="24"/>
          <w:szCs w:val="24"/>
        </w:rPr>
      </w:pPr>
      <w:r w:rsidRPr="001F64A9">
        <w:rPr>
          <w:rFonts w:asciiTheme="majorBidi" w:hAnsiTheme="majorBidi" w:cstheme="majorBidi"/>
          <w:sz w:val="24"/>
          <w:szCs w:val="24"/>
          <w:lang w:val="en-GB"/>
        </w:rPr>
        <w:lastRenderedPageBreak/>
        <w:t xml:space="preserve">These decision aid interventions can often have different goals or metrics to measure success such as completion rates of advance directives (e.g., Jezewski et al., 2007), value histories (Doukas &amp; McCullough, 1991), detailed preferences (Emanuel &amp; Emanuel, 1989), and disease-specific advance directives (e.g., Singer et al., 1997). For example, Heyland et al. (2020) tested the efficacy of a decision support intervention, called the </w:t>
      </w:r>
      <w:r w:rsidRPr="001F64A9">
        <w:rPr>
          <w:rFonts w:asciiTheme="majorBidi" w:hAnsiTheme="majorBidi" w:cstheme="majorBidi"/>
          <w:i/>
          <w:iCs/>
          <w:sz w:val="24"/>
          <w:szCs w:val="24"/>
          <w:lang w:val="en-GB"/>
        </w:rPr>
        <w:t>Plan Well Guide</w:t>
      </w:r>
      <w:r w:rsidRPr="001F64A9">
        <w:rPr>
          <w:rFonts w:asciiTheme="majorBidi" w:hAnsiTheme="majorBidi" w:cstheme="majorBidi"/>
          <w:sz w:val="24"/>
          <w:szCs w:val="24"/>
          <w:lang w:val="en-GB"/>
        </w:rPr>
        <w:t xml:space="preserve">, for medical directives completion (i.e., Goals of Care Designation) and positive decisional outcomes. The </w:t>
      </w:r>
      <w:r w:rsidRPr="001F64A9">
        <w:rPr>
          <w:rFonts w:asciiTheme="majorBidi" w:hAnsiTheme="majorBidi" w:cstheme="majorBidi"/>
          <w:i/>
          <w:iCs/>
          <w:sz w:val="24"/>
          <w:szCs w:val="24"/>
          <w:lang w:val="en-GB"/>
        </w:rPr>
        <w:t>Plan Well Guide</w:t>
      </w:r>
      <w:r w:rsidRPr="001F64A9">
        <w:rPr>
          <w:rFonts w:asciiTheme="majorBidi" w:hAnsiTheme="majorBidi" w:cstheme="majorBidi"/>
          <w:sz w:val="24"/>
          <w:szCs w:val="24"/>
          <w:lang w:val="en-GB"/>
        </w:rPr>
        <w:t xml:space="preserve"> is a communication-based decision aid which doctors can use in end-of-life discussions with patients. They found a non-significant increase in completion rates of medical directives using the </w:t>
      </w:r>
      <w:r w:rsidRPr="001F64A9">
        <w:rPr>
          <w:rFonts w:asciiTheme="majorBidi" w:hAnsiTheme="majorBidi" w:cstheme="majorBidi"/>
          <w:i/>
          <w:iCs/>
          <w:sz w:val="24"/>
          <w:szCs w:val="24"/>
          <w:lang w:val="en-GB"/>
        </w:rPr>
        <w:t>Plan Well Guide</w:t>
      </w:r>
      <w:r w:rsidRPr="001F64A9">
        <w:rPr>
          <w:rFonts w:asciiTheme="majorBidi" w:hAnsiTheme="majorBidi" w:cstheme="majorBidi"/>
          <w:sz w:val="24"/>
          <w:szCs w:val="24"/>
          <w:lang w:val="en-GB"/>
        </w:rPr>
        <w:t>. However, significantly fewer patients in the experimental condition signed medical directives for intensive care unit (ICU) and CPR compared to patients in control condition. Similarly, patients in experimental condition had significantly lower decisional conflict (i.e., decision conflict related to patients’ preference for CPR, e.g., ‘clear what matters most’) scores as compared to control condition. Green and Levi (2008) developed an interactive web/computer-based decision aid (“</w:t>
      </w:r>
      <w:r w:rsidRPr="001F64A9">
        <w:rPr>
          <w:rFonts w:asciiTheme="majorBidi" w:hAnsiTheme="majorBidi" w:cstheme="majorBidi"/>
          <w:i/>
          <w:iCs/>
          <w:sz w:val="24"/>
          <w:szCs w:val="24"/>
          <w:lang w:val="en-GB"/>
        </w:rPr>
        <w:t>Making Your Wishes Known: Planning Your Medical Future</w:t>
      </w:r>
      <w:r w:rsidRPr="001F64A9">
        <w:rPr>
          <w:rFonts w:asciiTheme="majorBidi" w:hAnsiTheme="majorBidi" w:cstheme="majorBidi"/>
          <w:sz w:val="24"/>
          <w:szCs w:val="24"/>
          <w:lang w:val="en-GB"/>
        </w:rPr>
        <w:t xml:space="preserve">”) for end-of-life decision making. This decision aid guides patients the end-of-life planning steps, provides tailored educational interventions, value clarification tools, and a decision tool which transforms patients’ values and treatment preferences into a specific medical plan. They conducted a pilot study on cancer patients and found that patients were satisfied with the program and found it accurate in depicting their values and increased their perceived knowledge about end-of-life care options. </w:t>
      </w:r>
      <w:r w:rsidRPr="001F64A9">
        <w:rPr>
          <w:rFonts w:asciiTheme="majorBidi" w:eastAsia="Times New Roman" w:hAnsiTheme="majorBidi" w:cstheme="majorBidi"/>
          <w:sz w:val="24"/>
          <w:szCs w:val="24"/>
        </w:rPr>
        <w:t>El-Jawari et al. (2015)</w:t>
      </w:r>
      <w:r w:rsidRPr="001F64A9">
        <w:rPr>
          <w:rFonts w:asciiTheme="majorBidi" w:hAnsiTheme="majorBidi" w:cstheme="majorBidi"/>
          <w:sz w:val="24"/>
          <w:szCs w:val="24"/>
          <w:lang w:val="en-GB"/>
        </w:rPr>
        <w:t xml:space="preserve"> developed a video-based decision aid about CPR to help patients make their CPR related decisions. They found that after watching the video, patients’ intentions to get CPR significantly deceased and intentions to write DNR increased. </w:t>
      </w:r>
      <w:r w:rsidRPr="001F64A9">
        <w:rPr>
          <w:rFonts w:asciiTheme="majorBidi" w:eastAsia="Times New Roman" w:hAnsiTheme="majorBidi" w:cstheme="majorBidi"/>
          <w:sz w:val="24"/>
          <w:szCs w:val="24"/>
        </w:rPr>
        <w:t xml:space="preserve">There are number of similar video-based interventions which were found </w:t>
      </w:r>
      <w:r w:rsidRPr="001F64A9">
        <w:rPr>
          <w:rFonts w:asciiTheme="majorBidi" w:eastAsia="Times New Roman" w:hAnsiTheme="majorBidi" w:cstheme="majorBidi"/>
          <w:sz w:val="24"/>
          <w:szCs w:val="24"/>
        </w:rPr>
        <w:lastRenderedPageBreak/>
        <w:t xml:space="preserve">effective for increasing the advance directive completion rates (El-Jawari et al., 2016; Volandes et al., 2012). </w:t>
      </w:r>
    </w:p>
    <w:p w14:paraId="0694D39C" w14:textId="77777777" w:rsidR="00EE5072" w:rsidRPr="001F64A9" w:rsidRDefault="00EE5072" w:rsidP="00EE5072">
      <w:pPr>
        <w:spacing w:before="100" w:beforeAutospacing="1" w:after="100" w:afterAutospacing="1" w:line="480" w:lineRule="auto"/>
        <w:ind w:firstLine="420"/>
        <w:rPr>
          <w:rFonts w:asciiTheme="majorBidi" w:eastAsia="Times New Roman" w:hAnsiTheme="majorBidi" w:cstheme="majorBidi"/>
          <w:sz w:val="24"/>
          <w:szCs w:val="24"/>
        </w:rPr>
      </w:pPr>
      <w:r w:rsidRPr="001F64A9">
        <w:rPr>
          <w:rFonts w:asciiTheme="majorBidi" w:hAnsiTheme="majorBidi" w:cstheme="majorBidi"/>
          <w:sz w:val="24"/>
          <w:szCs w:val="24"/>
          <w:lang w:val="en-GB"/>
        </w:rPr>
        <w:t xml:space="preserve">Irrespective of the specific end-of-life decision outcomes in the literature, there is collective consensus on the notion that there should be a concordance between </w:t>
      </w:r>
      <w:r w:rsidRPr="001F64A9">
        <w:rPr>
          <w:rFonts w:asciiTheme="majorBidi" w:eastAsia="Times New Roman" w:hAnsiTheme="majorBidi" w:cstheme="majorBidi"/>
          <w:sz w:val="24"/>
          <w:szCs w:val="24"/>
        </w:rPr>
        <w:t xml:space="preserve">people’s end-of-life values and their treatment preferences so that people’s personal values could be respected (Fagerlin &amp; Schneider, 2004; </w:t>
      </w:r>
      <w:r w:rsidRPr="001F64A9">
        <w:rPr>
          <w:rFonts w:asciiTheme="majorBidi" w:hAnsiTheme="majorBidi" w:cstheme="majorBidi"/>
          <w:sz w:val="24"/>
          <w:szCs w:val="24"/>
          <w:lang w:val="en-GB"/>
        </w:rPr>
        <w:t>Green &amp; Levi, 2009; Heyland et al., 2016; Heyland et al., 2020; Howard et al., 2017</w:t>
      </w:r>
      <w:r w:rsidRPr="001F64A9">
        <w:rPr>
          <w:rFonts w:asciiTheme="majorBidi" w:eastAsia="Times New Roman" w:hAnsiTheme="majorBidi" w:cstheme="majorBidi"/>
          <w:sz w:val="24"/>
          <w:szCs w:val="24"/>
        </w:rPr>
        <w:t>).</w:t>
      </w:r>
      <w:r w:rsidRPr="001F64A9">
        <w:rPr>
          <w:rFonts w:asciiTheme="majorBidi" w:hAnsiTheme="majorBidi" w:cstheme="majorBidi"/>
          <w:sz w:val="24"/>
          <w:szCs w:val="24"/>
          <w:lang w:val="en-GB"/>
        </w:rPr>
        <w:t xml:space="preserve"> Concordance as I understand the term means aligning a decision with a (more deeply held) value (see credit card example above). The goal of helping people in end-of-life decision making is not achieved (or is achieved to a lesser extent) if a decision aid intervention does not promote or protect the concordance between end-of-life values and treatment preferences. </w:t>
      </w:r>
      <w:r w:rsidRPr="001F64A9">
        <w:rPr>
          <w:rFonts w:asciiTheme="majorBidi" w:eastAsia="Times New Roman" w:hAnsiTheme="majorBidi" w:cstheme="majorBidi"/>
          <w:sz w:val="24"/>
          <w:szCs w:val="24"/>
        </w:rPr>
        <w:t>Considering this is a main goal of end-of-life decision making (i.e., achieving concordance that contributes to beneficence), none of the studies in the literature that I know of have tested the effectiveness of interventions based on the concordance between end-of-life values and CPR/DNR preferences, nor compared this concordance across different interventions. This is an important gap in the empirical literature on end-of-life decision making because it shows the lack of a technique or evidence for evaluating different interventions in terms of beneficence. In this thesis, I have tried to fill this gap in the literature and defined the concordance between end-of-life values and CPR/DNR preferences as beneficence.</w:t>
      </w:r>
    </w:p>
    <w:p w14:paraId="1686C7F7" w14:textId="77777777" w:rsidR="00EE5072" w:rsidRPr="001F64A9" w:rsidRDefault="00EE5072" w:rsidP="00EE5072">
      <w:pPr>
        <w:spacing w:before="100" w:beforeAutospacing="1" w:after="100" w:afterAutospacing="1" w:line="480" w:lineRule="auto"/>
        <w:rPr>
          <w:rFonts w:asciiTheme="majorBidi" w:hAnsiTheme="majorBidi" w:cstheme="majorBidi"/>
          <w:b/>
          <w:bCs/>
          <w:sz w:val="24"/>
          <w:szCs w:val="24"/>
          <w:lang w:val="en-GB"/>
        </w:rPr>
      </w:pPr>
      <w:r w:rsidRPr="001F64A9">
        <w:rPr>
          <w:rFonts w:asciiTheme="majorBidi" w:hAnsiTheme="majorBidi" w:cstheme="majorBidi"/>
          <w:b/>
          <w:bCs/>
          <w:sz w:val="24"/>
          <w:szCs w:val="24"/>
          <w:lang w:val="en-GB"/>
        </w:rPr>
        <w:t>Interventions Aimed at DNRs</w:t>
      </w:r>
    </w:p>
    <w:p w14:paraId="4BB1FC5D" w14:textId="77777777" w:rsidR="00EE5072" w:rsidRPr="001F64A9" w:rsidRDefault="00EE5072" w:rsidP="00EE5072">
      <w:pPr>
        <w:spacing w:before="100" w:beforeAutospacing="1" w:after="100" w:afterAutospacing="1" w:line="480" w:lineRule="auto"/>
        <w:ind w:firstLine="720"/>
        <w:rPr>
          <w:rFonts w:asciiTheme="majorBidi" w:hAnsiTheme="majorBidi" w:cstheme="majorBidi"/>
          <w:sz w:val="24"/>
          <w:szCs w:val="24"/>
          <w:lang w:val="en-GB"/>
        </w:rPr>
      </w:pPr>
      <w:r w:rsidRPr="001F64A9">
        <w:rPr>
          <w:rFonts w:asciiTheme="majorBidi" w:hAnsiTheme="majorBidi" w:cstheme="majorBidi"/>
          <w:sz w:val="24"/>
          <w:szCs w:val="24"/>
          <w:lang w:val="en-GB"/>
        </w:rPr>
        <w:t xml:space="preserve">There are several studies that have attempted to evaluate interventions to increase DNR uptake. I will focus on two general kinds of interventions. The first is what has been called “non-rational persuasion” interventions and the second has been called “rational persuasion” </w:t>
      </w:r>
      <w:r w:rsidRPr="001F64A9">
        <w:rPr>
          <w:rFonts w:asciiTheme="majorBidi" w:hAnsiTheme="majorBidi" w:cstheme="majorBidi"/>
          <w:sz w:val="24"/>
          <w:szCs w:val="24"/>
          <w:lang w:val="en-GB"/>
        </w:rPr>
        <w:lastRenderedPageBreak/>
        <w:t xml:space="preserve">interventions. One way to understand the distinction between the two kinds of interventions is through the Dual System Model of cognition </w:t>
      </w:r>
      <w:r w:rsidRPr="001F64A9">
        <w:rPr>
          <w:rFonts w:asciiTheme="majorBidi" w:eastAsia="Times New Roman" w:hAnsiTheme="majorBidi" w:cstheme="majorBidi"/>
          <w:sz w:val="24"/>
          <w:szCs w:val="24"/>
        </w:rPr>
        <w:t>(Evans, 2008; Kahnman, 2003, 2011)</w:t>
      </w:r>
      <w:r w:rsidRPr="001F64A9">
        <w:rPr>
          <w:rFonts w:asciiTheme="majorBidi" w:hAnsiTheme="majorBidi" w:cstheme="majorBidi"/>
          <w:sz w:val="24"/>
          <w:szCs w:val="24"/>
          <w:lang w:val="en-GB"/>
        </w:rPr>
        <w:t xml:space="preserve">. </w:t>
      </w:r>
      <w:r w:rsidRPr="001F64A9">
        <w:rPr>
          <w:rFonts w:asciiTheme="majorBidi" w:eastAsia="Times New Roman" w:hAnsiTheme="majorBidi" w:cstheme="majorBidi"/>
          <w:sz w:val="24"/>
          <w:szCs w:val="24"/>
        </w:rPr>
        <w:t xml:space="preserve">According to the dual-system model, humans process the information through two systems, System I and System II, through which they make their decisions. System I is an automatic, passive, and fast system of information processing which requires little effort and produces intuitive reasoning to make judgments/decisions. System II requires more deliberation and effort to process the information and produces reflective reasoning for decision making. Irrational persuasion techniques—for example default nudge—work through System I by taking advantage of people’s cognitive biases (e.g., tendencies to stick with defaults perhaps). While rational persuasion techniques—for example, educational interventions—work through System II by utilizing deliberation and other cognitive resources (e.g., by providing information that a person consciously integrates in deliberation that results in an intention to act) (see Figure 1; Engelen, 2019; Kahnman, 2003; Schmidt &amp; Engelen, 2020; Tanner &amp; Feltz, 2022; Tverskey &amp; Kahnman, 1986). </w:t>
      </w:r>
    </w:p>
    <w:p w14:paraId="062B4704"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hAnsiTheme="majorBidi" w:cstheme="majorBidi"/>
          <w:sz w:val="24"/>
          <w:szCs w:val="24"/>
          <w:lang w:val="en-GB"/>
        </w:rPr>
        <w:t xml:space="preserve">There have been several interventions that appear non-rationally to influence decisions concerning DNRs. </w:t>
      </w:r>
      <w:r w:rsidRPr="001F64A9">
        <w:rPr>
          <w:rFonts w:asciiTheme="majorBidi" w:eastAsia="Times New Roman" w:hAnsiTheme="majorBidi" w:cstheme="majorBidi"/>
          <w:sz w:val="24"/>
          <w:szCs w:val="24"/>
        </w:rPr>
        <w:t xml:space="preserve">Halpern and colleagues (2013) investigated the effect of defaults nudge on end-of-life care decisions in seriously ill patients. They divided people into three groups. Two groups were given advance directives with default options: for one group, comfort care option was checked, and for other group, life-extending care option was checked. The third group was provided with a standard advance directive form with a forced choice (i.e., pick either comfort care of life extending care). They found that 77% of people in default comfort care group retained the checked option, 43% people in default life-extending care group chose comfort care, and 61% people in the forced choice group selected the comfort care option. Studies on college </w:t>
      </w:r>
      <w:r w:rsidRPr="001F64A9">
        <w:rPr>
          <w:rFonts w:asciiTheme="majorBidi" w:eastAsia="Times New Roman" w:hAnsiTheme="majorBidi" w:cstheme="majorBidi"/>
          <w:sz w:val="24"/>
          <w:szCs w:val="24"/>
        </w:rPr>
        <w:lastRenderedPageBreak/>
        <w:t xml:space="preserve">students (Kressel &amp; Chaoman, 2007) and older out-patients (Kressel, Chaoman &amp; Leventhal, 2007) reported similar results that people were more likely to decline life-extending interventions while completing advance directives when these options were made defaults as compared to when they were asked to decline life-extending interventions. Theoretically, the default option should not change one’s preference. Hence, one explanation of these results is that they work through non-rational persuasion (e.g., the tendency to simply stick with default options).  </w:t>
      </w:r>
    </w:p>
    <w:p w14:paraId="45502604"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Other than active use of defaults, the structure of options in advance directives have been used to perhaps non-rationally encourage some choices (Halpern, 2012; Halper et al., 2013). For example, in a frequently used document for advance directives “Five Wishes”, there are three options for different treatment choices at the end-of-life. “I want to have life support” is the first option in the list of those three clinical options. Evidence suggests that choices are affected by the order in which they are presented and that the first options often dominate. So, people would be more likely to select first treatment option (Bishop &amp; Smith, 1997; Krosnick &amp; Alwin, 1987). Again, the order of presentation is arguably a non-rational factor that, at least in some circumstances, should not influence one’s preference. </w:t>
      </w:r>
    </w:p>
    <w:p w14:paraId="2ECF3ED2" w14:textId="77777777" w:rsidR="00EE5072" w:rsidRPr="001F64A9" w:rsidRDefault="00EE5072" w:rsidP="00EE5072">
      <w:pPr>
        <w:spacing w:before="100" w:beforeAutospacing="1" w:after="100" w:afterAutospacing="1" w:line="480" w:lineRule="auto"/>
        <w:ind w:firstLine="720"/>
        <w:rPr>
          <w:rFonts w:asciiTheme="majorBidi" w:hAnsiTheme="majorBidi" w:cstheme="majorBidi"/>
          <w:sz w:val="24"/>
          <w:szCs w:val="24"/>
          <w:lang w:val="en-GB"/>
        </w:rPr>
      </w:pPr>
      <w:r w:rsidRPr="001F64A9">
        <w:rPr>
          <w:rFonts w:asciiTheme="majorBidi" w:hAnsiTheme="majorBidi" w:cstheme="majorBidi"/>
          <w:sz w:val="24"/>
          <w:szCs w:val="24"/>
          <w:shd w:val="clear" w:color="auto" w:fill="FFFFFF"/>
        </w:rPr>
        <w:t xml:space="preserve">There is plenty of literature which shows the effectiveness of message framing in medical decision making. For example, Tversky and Kahneman (1981 &amp; 1987) used a scenario with success rate of Program A and Program B to save people (out of 600) to study the framing effect. They found that 72% people chose Program A when they were presented with a positive frame (i.e., ‘people will be saved’) ‘If Program A is adopted, 200 people will be saved’ (i.e., risk-aversive option) as compared to 28% people whole selected Program B ‘If Program B is adopted, there is a 1/3 probability that 600 people will be saved, and a 2/3 probability that no people will </w:t>
      </w:r>
      <w:r w:rsidRPr="001F64A9">
        <w:rPr>
          <w:rFonts w:asciiTheme="majorBidi" w:hAnsiTheme="majorBidi" w:cstheme="majorBidi"/>
          <w:sz w:val="24"/>
          <w:szCs w:val="24"/>
          <w:shd w:val="clear" w:color="auto" w:fill="FFFFFF"/>
        </w:rPr>
        <w:lastRenderedPageBreak/>
        <w:t>be saved’. When they used a negative frame (i.e., ‘people will die’), 78% people chose Program B framed as ‘If Program B is adopted, there is a 1/3 probability that nobody will die, and a 2/3 probability that 600 people will die’, a risk-seeking option, as compared to 22% people who selected a Program A (i.e., a risk-aversive option) ‘If Program A is adopted, 400 people will die’. We can see that people’s preferences changed by 50% with different frames. Rothman et al. (1999) found that when people were given gain framed pamphlet about oral hygiene, people requested a free sample of prevention mouth rinse (i.e., risk aversive option) while when presented with a loss frame, more people requested a detection mouth rinse (i.e., risk-seeking option). Garcia-Retamero and Cokely (2011) found that more young adults were intended to use condoms (i.e., a risk aversive option) when presented with a grain/positive framed pamphlet (promoting condom use indorsing that condom use decreases the chance of both contracting STDs and of suffering several health conditions) as compared to a loss/negative frame (promoting condom use indorsing that not using condoms will increases the chance of both contracting STDs and of suffering several health conditions). While in terms of STDs screening behavior, young adults were more intendent to make an appointment with their doctor for STDs detection when presented with a loss/ negative frame as compared to a gain/positive frame. There are number of other studies reporting similar findings: cancer prevention and detection behaviors (Latimer et al., 2005), physical activity (Latimer et al., 2008), and skin cancer (Thomas et al., 2011).</w:t>
      </w:r>
    </w:p>
    <w:p w14:paraId="5FA9D02F"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Informing can be characterized as providing information about a given context (e.g., DNR/CPR decisions) which people can consciously use to help make decisions. The literature suggests that informing people about CPR and DNR can influence choices about writing a DNR </w:t>
      </w:r>
      <w:r w:rsidRPr="001F64A9">
        <w:rPr>
          <w:rFonts w:asciiTheme="majorBidi" w:eastAsia="Times New Roman" w:hAnsiTheme="majorBidi" w:cstheme="majorBidi"/>
          <w:sz w:val="24"/>
          <w:szCs w:val="24"/>
        </w:rPr>
        <w:lastRenderedPageBreak/>
        <w:t xml:space="preserve">or wanting CPR, mostly in the direction of wanting to have a DNR and reducing a desire for CPR (Becker et al., 2019; El-Jawari et al., 2016; El-Jawari et al., 2015; Volandes et al., 2012). </w:t>
      </w:r>
    </w:p>
    <w:p w14:paraId="10A4895F"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highlight w:val="yellow"/>
        </w:rPr>
      </w:pPr>
      <w:r w:rsidRPr="001F64A9">
        <w:rPr>
          <w:rFonts w:asciiTheme="majorBidi" w:eastAsia="Times New Roman" w:hAnsiTheme="majorBidi" w:cstheme="majorBidi"/>
          <w:sz w:val="24"/>
          <w:szCs w:val="24"/>
        </w:rPr>
        <w:t xml:space="preserve">One way to understand the way in which information can help people consciously made decisions is with the Skilled Decision Theory (Cokely et al., 2018, see Figure 2). This theory suggests that transparent and effective educational interventions can increase the representative understanding of decisions makers and subsequently the decision quality. Representative understanding involves having a sufficiently rich understanding of a topic that one can make informed decisions. One way to understand how one might think of representative understanding is by analogy to statistical sampling. One has a sufficiently large and representative sample, any random addition to that sample is not likely to substantially influence that samples’ representativeness of the relevant population. Likewise, when one has a representative understanding, then any additional random bit of information is not likely to substantially change one’s understanding so that it is no longer representative of the kind of decision to be made. Representative understanding can be achieved by having enough relevant, and representative, factual information about the problem at hand which can inform and integrate with people’s values and preferences (Cokely et al., 2018; Garcia-Retamero &amp; Cokely, 2013; Tanner &amp; Feltz, 2022). Well informed people tend to have personally meaningful and representative understanding, which helps them to choose better options for themselves (Cho et al., 2021; Cokely et al., 2018; Feltz &amp; Cokely, 2017). Informing thus can increase knowledge and help people more consistently connect their core values to choose options (Baron, 2008; Feltz et al., 2022; Tanner, 2021; Tanner &amp; Feltz, 2022). Education also helps to have an appropriate level of decision confidence (Tanner &amp; Feltz, 2022), which has been considered as an indicator of better </w:t>
      </w:r>
      <w:r w:rsidRPr="001F64A9">
        <w:rPr>
          <w:rFonts w:asciiTheme="majorBidi" w:eastAsia="Times New Roman" w:hAnsiTheme="majorBidi" w:cstheme="majorBidi"/>
          <w:sz w:val="24"/>
          <w:szCs w:val="24"/>
        </w:rPr>
        <w:lastRenderedPageBreak/>
        <w:t xml:space="preserve">decisions (Gronlund et al., 2015; Wixted et al., 2015; Ybarra et al., 2018). Effective informing, therefore, has the potential to at least protect if not promote beneficence for all individuals. </w:t>
      </w:r>
    </w:p>
    <w:p w14:paraId="1336C360" w14:textId="77777777" w:rsidR="00EE5072" w:rsidRPr="001F64A9" w:rsidRDefault="00EE5072" w:rsidP="00EE5072">
      <w:pPr>
        <w:spacing w:before="100" w:beforeAutospacing="1" w:after="100" w:afterAutospacing="1" w:line="480" w:lineRule="auto"/>
        <w:rPr>
          <w:rFonts w:asciiTheme="majorBidi" w:hAnsiTheme="majorBidi" w:cstheme="majorBidi"/>
          <w:sz w:val="24"/>
          <w:szCs w:val="24"/>
          <w:lang w:val="en-GB"/>
        </w:rPr>
      </w:pPr>
      <w:r w:rsidRPr="001F64A9">
        <w:rPr>
          <w:rFonts w:asciiTheme="majorBidi" w:eastAsia="Times New Roman" w:hAnsiTheme="majorBidi" w:cstheme="majorBidi"/>
          <w:b/>
          <w:bCs/>
          <w:sz w:val="24"/>
          <w:szCs w:val="24"/>
        </w:rPr>
        <w:t>Beneficence and Rational and Non-Rational Persuasion</w:t>
      </w:r>
    </w:p>
    <w:p w14:paraId="36F206C1"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The use of non-rational persuasion techniques may have some ethical issues (e.g., Schmidt &amp; Engelen, 2020). Non-rational persuasion techniques like framing (Bandsma, Rauws &amp; De Roo, 2021; Tversky &amp; Kahneman, 1981) often influence people on a single dimension (i.e., they tend to influence people to make only one exogenously decided choice (Thaler &amp; Sunstein, 2008)). For example, defaults can only default people into one choice, and policy makers often make that default choice one that are “better” on some standard. Non-rational nudging, therefore, has the potential to encourage a choice that is (1) similar to an individual’s antecedent preferences or (2) different from an individual’s antecedent preferences (Sunstein, 2018). In the second case, the use of non-rational persuasion techniques (e.g., nudges) can be problematic in terms of beneficence because nudges can influence people to choose options different from their values. The risk of this problem is especially worrisome in domains where there is substantial value heterogeneity like end-of-life care. That is, when a single outcome of a choice is nudged with defaults, that nudged choice is more likely to be chosen regardless of the values of the individual. Sometimes, the choice will be contrary to the person’s values (Hertwig, 2012). In those cases, beneficence is not promoted or protected since the values of the person are not actualized.</w:t>
      </w:r>
    </w:p>
    <w:p w14:paraId="7DF9DB86"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Alternatively, informing (e.g., DNR knowledge interventions) could help people to align their value without necessarily promoting any specific outcome. For example, people might be able to review factual information and recognize the trade-offs of having CPR and DNR. Given </w:t>
      </w:r>
      <w:r w:rsidRPr="001F64A9">
        <w:rPr>
          <w:rFonts w:asciiTheme="majorBidi" w:eastAsia="Times New Roman" w:hAnsiTheme="majorBidi" w:cstheme="majorBidi"/>
          <w:sz w:val="24"/>
          <w:szCs w:val="24"/>
        </w:rPr>
        <w:lastRenderedPageBreak/>
        <w:t>their own values, they can use that factual evaluation to make a choice consistent with their values (Lichtenstein &amp; Slovic, 2006). A well-designed educational tool could enhance patients’ ability to carefully align their values with their decisions/preferences in a transparent and reliable manner (Elwyn et al., 2006; Shiell, Hawe &amp; Seymour, 1997). The DNR educational intervention in this case might be an appropriate intervention to align a person’s CPR and DNR decision with their end-of-life care values, so that the CPR or DNR decisions and end-of-life values are connected. In this case, beneficence is protected (and perhaps promoted) since the person has actualized their personal values regardless of what those values are.</w:t>
      </w:r>
    </w:p>
    <w:p w14:paraId="75679378"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I have chosen end-of-life decision making about DNRs because previous research has suggested that there is value heterogeneity about DNRs and CPR (Becker et al., 2019; Halpern et al., 2013; Winter, 2013). That is, some people want to have DNRs whereas others do not want to have DNRs. In terms of beneficence, both values are equally acceptable to have since there is no known “correct” exogenous choice about whether people should want to have CPR. In general, nudges tend to work best in terms of beneficence when there is value homogeneity because then that single value could be the target of the encouraged choice. In those cases, nudges may (but are not certain to) increase beneficence because it is likely that the single value can be targeted and promoted. Education tends to provide information that a person can integrate with values, whatever those values are. So, providing information about DNRs could help some people actualize their values to get or not get a DNR. For example, if John really values avoiding pain at the end of life, then he may decide to have a DNR. However, if Sally wants to live as long as she can, she may decide not to have a DNR. Both values, on their surface, seem acceptable to have. Nudging, at least as it is commonly construed, can only promote one of John or Sally’s values. However, theoretically, since education only provides factual information, that information could </w:t>
      </w:r>
      <w:r w:rsidRPr="001F64A9">
        <w:rPr>
          <w:rFonts w:asciiTheme="majorBidi" w:eastAsia="Times New Roman" w:hAnsiTheme="majorBidi" w:cstheme="majorBidi"/>
          <w:sz w:val="24"/>
          <w:szCs w:val="24"/>
        </w:rPr>
        <w:lastRenderedPageBreak/>
        <w:t>be used to help John or Sally make a decision more consistent with their core values (maybe John finds out that CPR tends to cause injury, and Sally finds out the CPR is often the best chance for survival). The factual information need not promote any specific choice unlike framing.  Hence, DNR decisions provide a unique domain to test and contrast those two types of choice architecture (i.e., framing and informing) in terms of beneficence.</w:t>
      </w:r>
    </w:p>
    <w:p w14:paraId="21916319"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With this theoretical framework, we can test whether framing or informing help people make DNR decisions consistent with their end-of-life values. If the DNR decision is related to the relevant end-of-life values, then we can assume that beneficence has been promoted (or protected); and if their DNR decision is not related (or more weakly related) to relevant end-of-life values, then we can assume that beneficence has not been protected (or at least to a lesser extent). The link between values and decisions can be operationalized as a correlation. Correlation is the measurement of relationship among two variables (for example, Pearson-product-moment correlation (Rodgers &amp; Nicewander, 1988)). If the DNR/CPR decision is strongly correlated with relevant end-of-life values in correct direction, that provides some evidence that DNR/CPR decisions are aligned with person’s end-of-life values. Consequently, in that case beneficence is promoted (or protected). Following this conceptualization and the Principle of Beneficence Comparison, if one intervention strengthens the correlation between DNR/CPR decision with relevant end-of-life values more than another intervention, that intervention promotes beneficence more as compared to the other. Again, all things being equal, if one strategy promotes beneficence more than another, then that strategy is ethically preferred.</w:t>
      </w:r>
    </w:p>
    <w:p w14:paraId="61937D56"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One important criterion variable of this thesis is the decision to write DNR and get CPR. Given that the CPR and DNR terminologies are conceptual mirror images of each other (i.e., a </w:t>
      </w:r>
      <w:r w:rsidRPr="001F64A9">
        <w:rPr>
          <w:rFonts w:asciiTheme="majorBidi" w:eastAsia="Times New Roman" w:hAnsiTheme="majorBidi" w:cstheme="majorBidi"/>
          <w:sz w:val="24"/>
          <w:szCs w:val="24"/>
        </w:rPr>
        <w:lastRenderedPageBreak/>
        <w:t>desire to get CPR is the opposite of desiring a DNR), it was important to test whether people understand CPR and DNR differently (i.e., not perfectly negatively related). There is some suggestive evidence that people do in fact understand what DNRs and CPRs are differently (Bishop et al., 2010; Breault, 2011; O’Brien et al., 2016; Taha, Asfour &amp; Attia, 2010). DNR terminology is usually considered to produce negative emotional reactions because it represents the notion of guaranteed death (</w:t>
      </w:r>
      <w:r w:rsidRPr="001F64A9">
        <w:rPr>
          <w:rFonts w:asciiTheme="majorBidi" w:hAnsiTheme="majorBidi" w:cstheme="majorBidi"/>
          <w:sz w:val="24"/>
          <w:szCs w:val="24"/>
        </w:rPr>
        <w:t xml:space="preserve">Fritz et al., 2010; </w:t>
      </w:r>
      <w:r w:rsidRPr="001F64A9">
        <w:rPr>
          <w:rFonts w:asciiTheme="majorBidi" w:eastAsia="Times New Roman" w:hAnsiTheme="majorBidi" w:cstheme="majorBidi"/>
          <w:sz w:val="24"/>
          <w:szCs w:val="24"/>
        </w:rPr>
        <w:t xml:space="preserve">Koch, 2008). In the same vein, previous studies showed that people (i.e., both layman and health care workers) thought that DNR means the withholding of all life-support interventions, although DNR only means the withholding of CPR (Naghshbandi et al., 2019; O’Brien et al., 2016; Resnick, Cowart &amp; Kubrin, 1998; Taha, Asfour &amp; Attia, 2010). While CPR terminology is usually considered positive because CPR intervention is seen as a lifesaving intervention with higher survival rates (although based on misconceptions and lack of knowledge) (Halpern et al., 2013). Consequently, people can have differential understanding and preferences compared to CPR or other end-of-life terminologies (e.g., AND; </w:t>
      </w:r>
      <w:r w:rsidRPr="001F64A9">
        <w:rPr>
          <w:rFonts w:asciiTheme="majorBidi" w:hAnsiTheme="majorBidi" w:cstheme="majorBidi"/>
          <w:sz w:val="24"/>
          <w:szCs w:val="24"/>
        </w:rPr>
        <w:t>Fan, Wang &amp; Lin, 2018</w:t>
      </w:r>
      <w:r w:rsidRPr="001F64A9">
        <w:rPr>
          <w:rFonts w:asciiTheme="majorBidi" w:eastAsia="Times New Roman" w:hAnsiTheme="majorBidi" w:cstheme="majorBidi"/>
          <w:sz w:val="24"/>
          <w:szCs w:val="24"/>
        </w:rPr>
        <w:t xml:space="preserve">). </w:t>
      </w:r>
    </w:p>
    <w:p w14:paraId="723C427A" w14:textId="77777777" w:rsidR="00EE5072" w:rsidRPr="001F64A9" w:rsidRDefault="00EE5072" w:rsidP="00EE5072">
      <w:pPr>
        <w:spacing w:before="100" w:beforeAutospacing="1" w:after="100" w:afterAutospacing="1" w:line="480" w:lineRule="auto"/>
        <w:ind w:firstLine="720"/>
        <w:rPr>
          <w:rFonts w:asciiTheme="majorBidi" w:hAnsiTheme="majorBidi" w:cstheme="majorBidi"/>
          <w:sz w:val="24"/>
          <w:szCs w:val="24"/>
        </w:rPr>
      </w:pPr>
      <w:r w:rsidRPr="001F64A9">
        <w:rPr>
          <w:rFonts w:asciiTheme="majorBidi" w:eastAsia="Times New Roman" w:hAnsiTheme="majorBidi" w:cstheme="majorBidi"/>
          <w:sz w:val="24"/>
          <w:szCs w:val="24"/>
        </w:rPr>
        <w:t xml:space="preserve">Along with CPR and DNR terminologies, a relatively new term has been introduced to describe DNR: </w:t>
      </w:r>
      <w:r w:rsidRPr="001F64A9">
        <w:rPr>
          <w:rFonts w:asciiTheme="majorBidi" w:hAnsiTheme="majorBidi" w:cstheme="majorBidi"/>
          <w:i/>
          <w:iCs/>
          <w:sz w:val="24"/>
          <w:szCs w:val="24"/>
        </w:rPr>
        <w:t>intermediate support</w:t>
      </w:r>
      <w:r w:rsidRPr="001F64A9">
        <w:rPr>
          <w:rFonts w:asciiTheme="majorBidi" w:hAnsiTheme="majorBidi" w:cstheme="majorBidi"/>
          <w:sz w:val="24"/>
          <w:szCs w:val="24"/>
        </w:rPr>
        <w:t>-Allow-Natural-Death (</w:t>
      </w:r>
      <w:r w:rsidRPr="001F64A9">
        <w:rPr>
          <w:rFonts w:asciiTheme="majorBidi" w:hAnsiTheme="majorBidi" w:cstheme="majorBidi"/>
          <w:i/>
          <w:iCs/>
          <w:sz w:val="24"/>
          <w:szCs w:val="24"/>
        </w:rPr>
        <w:t>intermediate support</w:t>
      </w:r>
      <w:r w:rsidRPr="001F64A9">
        <w:rPr>
          <w:rFonts w:asciiTheme="majorBidi" w:hAnsiTheme="majorBidi" w:cstheme="majorBidi"/>
          <w:sz w:val="24"/>
          <w:szCs w:val="24"/>
        </w:rPr>
        <w:t xml:space="preserve">-AND). AND has been most frequently compared term with DNR (Knox &amp; Vereb, 2005; Venneman et al., 2008). Along with Meyer (2004), many others suggested that DNR term is more ambiguous, harsh, and insensitive than AND (e.g., Fritz et al., 2010; Sanders, Schepp &amp; Baird, 2011; Sehgal &amp; Wachter, 2007; Sokol, 2009; Venneman et al., 2006). Meyer (2010) suggested that AND is comparatively kinder and more accurate term which would increase DNR writing and allow terminally ill people to die with dignity. AND has been found more positive affect inducing and effective for DNR writing in health care providers (Jones et al., 2008; Knox &amp; Vereb, 2005; </w:t>
      </w:r>
      <w:r w:rsidRPr="001F64A9">
        <w:rPr>
          <w:rFonts w:asciiTheme="majorBidi" w:hAnsiTheme="majorBidi" w:cstheme="majorBidi"/>
          <w:sz w:val="24"/>
          <w:szCs w:val="24"/>
        </w:rPr>
        <w:lastRenderedPageBreak/>
        <w:t xml:space="preserve">Venneman et al., 2006), surrogates (Fairlie, 2018), and the general population (Fan, Wang &amp; Lin, 2018). However, some researchers have suggested that AND does not depict the correct meaning of withholding resuscitation and can increase confusion about end-of-life care (Chen &amp; Youngner, 2008). </w:t>
      </w:r>
    </w:p>
    <w:p w14:paraId="0CCF344A" w14:textId="77777777" w:rsidR="00EE5072" w:rsidRPr="001F64A9" w:rsidRDefault="00EE5072" w:rsidP="00EE5072">
      <w:pPr>
        <w:spacing w:before="100" w:beforeAutospacing="1" w:after="100" w:afterAutospacing="1" w:line="480" w:lineRule="auto"/>
        <w:ind w:firstLine="720"/>
        <w:rPr>
          <w:rFonts w:asciiTheme="majorBidi" w:hAnsiTheme="majorBidi" w:cstheme="majorBidi"/>
          <w:sz w:val="24"/>
          <w:szCs w:val="24"/>
        </w:rPr>
      </w:pPr>
      <w:r w:rsidRPr="001F64A9">
        <w:rPr>
          <w:rFonts w:asciiTheme="majorBidi" w:hAnsiTheme="majorBidi" w:cstheme="majorBidi"/>
          <w:sz w:val="24"/>
          <w:szCs w:val="24"/>
        </w:rPr>
        <w:t xml:space="preserve">To identify the potential differences in different DNR terminologies (i.e., CPR, AND, DNR), I conducted Experiment 1a and found that people have different understanding and positive feelings towards different DNR terminologies. Experiment 1b tested whether people have different understanding and negative feelings towards different DNR terminologies. An additional objective of Experiment 1b was to test the effect of different DNR terminologies on beneficence (i.e., correlation between EOL values and CPR/DNR preferences) and whether these terminologies differentiate in terms of preference to write DNRs. The findings indicated that people did not significantly differentiate in terms of understanding. In terms of emotional valence, people had significantly lower negative feelings toward CPR terminology. In terms of DNR preference decision, people preferred not to write a DNR order (i.e., preferred to get CPR) when they were presented with a DNR directive scenario with CPR terminology as compared to people in AND and DNR terminology conditions. Experiment 1c tested the interaction effect of informing and framing on preferences to get CPR and write DNRs. The findings indicated that informing predicted higher probabilities of DNR preference and lower probabilities of CPR preference while framing only predicted the higher probabilities of CPR preference. There was no effect of their interaction on CPR and DNR preferences. Experiment 2 tested whether informing and framing produced higher beneficence (i.e., correlation between EOL values and CPR/DNR preferences) and their effect on DNR knowledge, attitude towards CPR and DNR. Findings indicated that informing protected (or promoted) beneficence as compared to framing. </w:t>
      </w:r>
      <w:r w:rsidRPr="001F64A9">
        <w:rPr>
          <w:rFonts w:asciiTheme="majorBidi" w:hAnsiTheme="majorBidi" w:cstheme="majorBidi"/>
          <w:sz w:val="24"/>
          <w:szCs w:val="24"/>
        </w:rPr>
        <w:lastRenderedPageBreak/>
        <w:t>People’s DNR knowledge and positive attitudes toward DNR significantly increased (only) after watching a DNR educational intervention. While positive attitude toward CPR decreased after watching educational intervention and responding on a positive framing scenario. Experiment 2 also suggested that DNR knowledge gain explained the positive effect of educational intervention on DNR preference and a negative effect on CPR preference.</w:t>
      </w:r>
    </w:p>
    <w:p w14:paraId="0415B901" w14:textId="77777777" w:rsidR="00EE5072" w:rsidRPr="001F64A9" w:rsidRDefault="00EE5072" w:rsidP="00EE5072">
      <w:pPr>
        <w:spacing w:before="100" w:beforeAutospacing="1" w:after="100" w:afterAutospacing="1" w:line="48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b/>
          <w:bCs/>
          <w:sz w:val="24"/>
          <w:szCs w:val="24"/>
        </w:rPr>
        <w:t>Experiment 1a</w:t>
      </w:r>
    </w:p>
    <w:p w14:paraId="5066FEBB"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Experiment 1a was designed to test whether people generally have different understanding of CPR, </w:t>
      </w:r>
      <w:r w:rsidRPr="001F64A9">
        <w:rPr>
          <w:rFonts w:asciiTheme="majorBidi" w:eastAsia="Times New Roman" w:hAnsiTheme="majorBidi" w:cstheme="majorBidi"/>
          <w:i/>
          <w:iCs/>
          <w:sz w:val="24"/>
          <w:szCs w:val="24"/>
        </w:rPr>
        <w:t>intermediate support</w:t>
      </w:r>
      <w:r w:rsidRPr="001F64A9">
        <w:rPr>
          <w:rFonts w:asciiTheme="majorBidi" w:eastAsia="Times New Roman" w:hAnsiTheme="majorBidi" w:cstheme="majorBidi"/>
          <w:sz w:val="24"/>
          <w:szCs w:val="24"/>
        </w:rPr>
        <w:t xml:space="preserve">-AND, and DNR terminologies. Identifying potential differences in understanding can then help inform when, and where, educational or framing interventions are likely to have the best chance of influencing choices (e.g., if people understand DNR poorly, then education has a good chance of alleviating that ignorance). </w:t>
      </w:r>
    </w:p>
    <w:p w14:paraId="1A471B96"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The criterion variable to measure understanding was a checklist consisted of ten medical interventions which apply (or do not) during CPR, </w:t>
      </w:r>
      <w:r w:rsidRPr="001F64A9">
        <w:rPr>
          <w:rFonts w:asciiTheme="majorBidi" w:hAnsiTheme="majorBidi" w:cstheme="majorBidi"/>
          <w:i/>
          <w:iCs/>
          <w:sz w:val="24"/>
          <w:szCs w:val="24"/>
        </w:rPr>
        <w:t xml:space="preserve">intermediate </w:t>
      </w:r>
      <w:r w:rsidRPr="001F64A9">
        <w:rPr>
          <w:rFonts w:asciiTheme="majorBidi" w:eastAsia="Times New Roman" w:hAnsiTheme="majorBidi" w:cstheme="majorBidi"/>
          <w:i/>
          <w:iCs/>
          <w:sz w:val="24"/>
          <w:szCs w:val="24"/>
        </w:rPr>
        <w:t>support</w:t>
      </w:r>
      <w:r w:rsidRPr="001F64A9">
        <w:rPr>
          <w:rFonts w:asciiTheme="majorBidi" w:hAnsiTheme="majorBidi" w:cstheme="majorBidi"/>
          <w:sz w:val="24"/>
          <w:szCs w:val="24"/>
        </w:rPr>
        <w:t>-</w:t>
      </w:r>
      <w:r w:rsidRPr="001F64A9">
        <w:rPr>
          <w:rFonts w:asciiTheme="majorBidi" w:eastAsia="Times New Roman" w:hAnsiTheme="majorBidi" w:cstheme="majorBidi"/>
          <w:sz w:val="24"/>
          <w:szCs w:val="24"/>
        </w:rPr>
        <w:t>AND, and DNR conditions. There were two main hypotheses of this experiment:</w:t>
      </w:r>
    </w:p>
    <w:p w14:paraId="34FA0031"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rPr>
        <w:t>H1:</w:t>
      </w:r>
      <w:r w:rsidRPr="001F64A9">
        <w:rPr>
          <w:rFonts w:asciiTheme="majorBidi" w:eastAsia="Times New Roman" w:hAnsiTheme="majorBidi" w:cstheme="majorBidi"/>
          <w:sz w:val="24"/>
          <w:szCs w:val="24"/>
        </w:rPr>
        <w:t xml:space="preserve"> People will have more understanding of </w:t>
      </w:r>
      <w:r w:rsidRPr="001F64A9">
        <w:rPr>
          <w:rFonts w:asciiTheme="majorBidi" w:hAnsiTheme="majorBidi" w:cstheme="majorBidi"/>
          <w:i/>
          <w:iCs/>
          <w:sz w:val="24"/>
          <w:szCs w:val="24"/>
        </w:rPr>
        <w:t>intermediate</w:t>
      </w:r>
      <w:r w:rsidRPr="001F64A9">
        <w:rPr>
          <w:rFonts w:asciiTheme="majorBidi" w:eastAsia="Times New Roman" w:hAnsiTheme="majorBidi" w:cstheme="majorBidi"/>
          <w:i/>
          <w:iCs/>
          <w:sz w:val="24"/>
          <w:szCs w:val="24"/>
        </w:rPr>
        <w:t xml:space="preserve"> support</w:t>
      </w:r>
      <w:r w:rsidRPr="001F64A9">
        <w:rPr>
          <w:rFonts w:asciiTheme="majorBidi" w:hAnsiTheme="majorBidi" w:cstheme="majorBidi"/>
          <w:sz w:val="24"/>
          <w:szCs w:val="24"/>
        </w:rPr>
        <w:t>-</w:t>
      </w:r>
      <w:r w:rsidRPr="001F64A9">
        <w:rPr>
          <w:rFonts w:asciiTheme="majorBidi" w:eastAsia="Times New Roman" w:hAnsiTheme="majorBidi" w:cstheme="majorBidi"/>
          <w:sz w:val="24"/>
          <w:szCs w:val="24"/>
        </w:rPr>
        <w:t>AND terminology as compared to CPR and DNR terminologies.</w:t>
      </w:r>
    </w:p>
    <w:p w14:paraId="75E62234"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rPr>
        <w:t>H2:</w:t>
      </w:r>
      <w:r w:rsidRPr="001F64A9">
        <w:rPr>
          <w:rFonts w:asciiTheme="majorBidi" w:eastAsia="Times New Roman" w:hAnsiTheme="majorBidi" w:cstheme="majorBidi"/>
          <w:sz w:val="24"/>
          <w:szCs w:val="24"/>
        </w:rPr>
        <w:t xml:space="preserve"> People will have more positive valence about </w:t>
      </w:r>
      <w:r w:rsidRPr="001F64A9">
        <w:rPr>
          <w:rFonts w:asciiTheme="majorBidi" w:hAnsiTheme="majorBidi" w:cstheme="majorBidi"/>
          <w:i/>
          <w:iCs/>
          <w:sz w:val="24"/>
          <w:szCs w:val="24"/>
        </w:rPr>
        <w:t>intermediate</w:t>
      </w:r>
      <w:r w:rsidRPr="001F64A9">
        <w:rPr>
          <w:rFonts w:asciiTheme="majorBidi" w:eastAsia="Times New Roman" w:hAnsiTheme="majorBidi" w:cstheme="majorBidi"/>
          <w:i/>
          <w:iCs/>
          <w:sz w:val="24"/>
          <w:szCs w:val="24"/>
        </w:rPr>
        <w:t xml:space="preserve"> support</w:t>
      </w:r>
      <w:r w:rsidRPr="001F64A9">
        <w:rPr>
          <w:rFonts w:asciiTheme="majorBidi" w:hAnsiTheme="majorBidi" w:cstheme="majorBidi"/>
          <w:sz w:val="24"/>
          <w:szCs w:val="24"/>
        </w:rPr>
        <w:t>-</w:t>
      </w:r>
      <w:r w:rsidRPr="001F64A9">
        <w:rPr>
          <w:rFonts w:asciiTheme="majorBidi" w:eastAsia="Times New Roman" w:hAnsiTheme="majorBidi" w:cstheme="majorBidi"/>
          <w:sz w:val="24"/>
          <w:szCs w:val="24"/>
        </w:rPr>
        <w:t>AND as compared to CPR and DNR terminologies.</w:t>
      </w:r>
    </w:p>
    <w:p w14:paraId="18BB0CE5"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To test these two hypotheses, a three group between-subject design was used. The independent variable was terminology: (1) Cardiopulmonary Resuscitation, (2) </w:t>
      </w:r>
      <w:r w:rsidRPr="001F64A9">
        <w:rPr>
          <w:rFonts w:asciiTheme="majorBidi" w:eastAsia="Times New Roman" w:hAnsiTheme="majorBidi" w:cstheme="majorBidi"/>
          <w:i/>
          <w:iCs/>
          <w:sz w:val="24"/>
          <w:szCs w:val="24"/>
        </w:rPr>
        <w:t xml:space="preserve">intermediate </w:t>
      </w:r>
      <w:r w:rsidRPr="001F64A9">
        <w:rPr>
          <w:rFonts w:asciiTheme="majorBidi" w:eastAsia="Times New Roman" w:hAnsiTheme="majorBidi" w:cstheme="majorBidi"/>
          <w:i/>
          <w:iCs/>
          <w:sz w:val="24"/>
          <w:szCs w:val="24"/>
        </w:rPr>
        <w:lastRenderedPageBreak/>
        <w:t>support</w:t>
      </w:r>
      <w:r w:rsidRPr="001F64A9">
        <w:rPr>
          <w:rFonts w:asciiTheme="majorBidi" w:eastAsia="Times New Roman" w:hAnsiTheme="majorBidi" w:cstheme="majorBidi"/>
          <w:sz w:val="24"/>
          <w:szCs w:val="24"/>
        </w:rPr>
        <w:t>-Allow Natural Death, and (3) Do-not-Resuscitate Order. There were two dependent variables: understanding about CPR and positive emotional valence. The understanding about CPR was operationalized as scores on a 10-items understanding checklist about which interventions are withheld in CPR, intermediate-AND, and DNR. The positive emotional valence was operationalized as scores on a single item asking about how positive or negatively, they felt about CPR, intermediate-AND, and DNR (Lishner, Cooter &amp; Zald, 2008).</w:t>
      </w:r>
    </w:p>
    <w:p w14:paraId="5AEA6529" w14:textId="77777777" w:rsidR="00EE5072" w:rsidRPr="001F64A9" w:rsidRDefault="00EE5072" w:rsidP="00EE5072">
      <w:pPr>
        <w:spacing w:before="100" w:beforeAutospacing="1" w:after="100" w:afterAutospacing="1" w:line="480" w:lineRule="auto"/>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t>Method</w:t>
      </w:r>
    </w:p>
    <w:p w14:paraId="6D37CA08"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b/>
          <w:bCs/>
          <w:i/>
          <w:iCs/>
          <w:sz w:val="24"/>
          <w:szCs w:val="24"/>
        </w:rPr>
      </w:pPr>
      <w:r w:rsidRPr="001F64A9">
        <w:rPr>
          <w:rFonts w:asciiTheme="majorBidi" w:eastAsia="Times New Roman" w:hAnsiTheme="majorBidi" w:cstheme="majorBidi"/>
          <w:b/>
          <w:bCs/>
          <w:sz w:val="24"/>
          <w:szCs w:val="24"/>
        </w:rPr>
        <w:t xml:space="preserve">Participants. </w:t>
      </w:r>
      <w:r w:rsidRPr="001F64A9">
        <w:rPr>
          <w:rFonts w:asciiTheme="majorBidi" w:eastAsia="Times New Roman" w:hAnsiTheme="majorBidi" w:cstheme="majorBidi"/>
          <w:sz w:val="24"/>
          <w:szCs w:val="24"/>
        </w:rPr>
        <w:t>Participants were recruited from an online platform CloudResearch. CloudResearch as compared to other online data collection platforms (e.g., MTurk) is cost effective and provides high quality data (Douglas, Ewell &amp; Brauer, 2023). The recruited sample size consisted of (</w:t>
      </w:r>
      <w:r w:rsidRPr="001F64A9">
        <w:rPr>
          <w:rFonts w:asciiTheme="majorBidi" w:eastAsia="Times New Roman" w:hAnsiTheme="majorBidi" w:cstheme="majorBidi"/>
          <w:i/>
          <w:iCs/>
          <w:sz w:val="24"/>
          <w:szCs w:val="24"/>
        </w:rPr>
        <w:t>N</w:t>
      </w:r>
      <w:r w:rsidRPr="001F64A9">
        <w:rPr>
          <w:rFonts w:asciiTheme="majorBidi" w:eastAsia="Times New Roman" w:hAnsiTheme="majorBidi" w:cstheme="majorBidi"/>
          <w:sz w:val="24"/>
          <w:szCs w:val="24"/>
        </w:rPr>
        <w:t xml:space="preserve"> = 240), estimated through G*Power (Faul et al., 2009) with a medium effect size (</w:t>
      </w:r>
      <w:r w:rsidRPr="001F64A9">
        <w:rPr>
          <w:rFonts w:asciiTheme="majorBidi" w:eastAsia="Times New Roman" w:hAnsiTheme="majorBidi" w:cstheme="majorBidi"/>
          <w:i/>
          <w:iCs/>
          <w:sz w:val="24"/>
          <w:szCs w:val="24"/>
        </w:rPr>
        <w:t>d</w:t>
      </w:r>
      <w:r w:rsidRPr="001F64A9">
        <w:rPr>
          <w:rFonts w:asciiTheme="majorBidi" w:eastAsia="Times New Roman" w:hAnsiTheme="majorBidi" w:cstheme="majorBidi"/>
          <w:sz w:val="24"/>
          <w:szCs w:val="24"/>
        </w:rPr>
        <w:t xml:space="preserve"> = .50), 80% power, and an (</w:t>
      </w:r>
      <w:r w:rsidRPr="001F64A9">
        <w:rPr>
          <w:rFonts w:asciiTheme="majorBidi" w:eastAsia="Times New Roman" w:hAnsiTheme="majorBidi" w:cstheme="majorBidi"/>
          <w:i/>
          <w:iCs/>
          <w:sz w:val="24"/>
          <w:szCs w:val="24"/>
        </w:rPr>
        <w:t>α</w:t>
      </w:r>
      <w:r w:rsidRPr="001F64A9">
        <w:rPr>
          <w:rFonts w:asciiTheme="majorBidi" w:eastAsia="Times New Roman" w:hAnsiTheme="majorBidi" w:cstheme="majorBidi"/>
          <w:sz w:val="24"/>
          <w:szCs w:val="24"/>
        </w:rPr>
        <w:t xml:space="preserve"> = .05). 6 responses were discarded from the data because of the failure to correctly respond on attention check questions (e.g., A doctor works twenty-eight hours in a typical day), 4 responses were excluded because of the straight lining (i.e., participants respondent with identical responses on all items in a scale), and 5 responses were discarded because of the worry of computer bots (i.e., there were 0 number of clicks on a block of multiple items) (Andreadis &amp; Kartsounidou, 2020; Buchanan &amp; Scofield, 2018; DeSimone, Harms &amp; DeSimone, 2015). After data-screening, the remaining 225 responses were used for the data analysis. With respect to gender, there were 158 (70%) female, 63 (28%) male, 2 (1%) non-binary, and 2 (1%) preferred not to mention the gender. The average age of the participants was 45.44 (</w:t>
      </w:r>
      <w:r w:rsidRPr="001F64A9">
        <w:rPr>
          <w:rFonts w:asciiTheme="majorBidi" w:eastAsia="Times New Roman" w:hAnsiTheme="majorBidi" w:cstheme="majorBidi"/>
          <w:i/>
          <w:iCs/>
          <w:sz w:val="24"/>
          <w:szCs w:val="24"/>
        </w:rPr>
        <w:t>SD</w:t>
      </w:r>
      <w:r w:rsidRPr="001F64A9">
        <w:rPr>
          <w:rFonts w:asciiTheme="majorBidi" w:eastAsia="Times New Roman" w:hAnsiTheme="majorBidi" w:cstheme="majorBidi"/>
          <w:sz w:val="24"/>
          <w:szCs w:val="24"/>
        </w:rPr>
        <w:t xml:space="preserve"> = 13.36).</w:t>
      </w:r>
    </w:p>
    <w:p w14:paraId="104E8394" w14:textId="77777777" w:rsidR="00EE5072" w:rsidRPr="001F64A9" w:rsidRDefault="00EE5072" w:rsidP="00EE5072">
      <w:pPr>
        <w:spacing w:before="100" w:beforeAutospacing="1" w:after="100" w:afterAutospacing="1" w:line="480" w:lineRule="auto"/>
        <w:ind w:firstLine="360"/>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 xml:space="preserve">Materials. </w:t>
      </w:r>
      <w:r w:rsidRPr="001F64A9">
        <w:rPr>
          <w:rFonts w:asciiTheme="majorBidi" w:eastAsia="Times New Roman" w:hAnsiTheme="majorBidi" w:cstheme="majorBidi"/>
          <w:sz w:val="24"/>
          <w:szCs w:val="24"/>
        </w:rPr>
        <w:t xml:space="preserve">A 10-item understanding checklist was developed to assess the understanding of the term CPR, intermediate-AND, and DNR. The 10-items were potential medical interventions relevant to CPR. In CPR condition, none of the interventions are withheld. While 5 of the medical care interventions (2, 6, 7, 8, and 9 in the list below) are withheld in intermediate-AND and DNR (O’Brien et al., 2017; Taha, Asfour &amp; Attia, 2010). Participants were given the following instructions and prompts: </w:t>
      </w:r>
    </w:p>
    <w:p w14:paraId="2F1A832F" w14:textId="77777777" w:rsidR="00EE5072" w:rsidRPr="001F64A9" w:rsidRDefault="00EE5072" w:rsidP="00EE5072">
      <w:pPr>
        <w:spacing w:after="0" w:line="480" w:lineRule="auto"/>
        <w:ind w:left="360" w:firstLine="36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Please select all the interventions which do not apply in [Cardiopulmonary Resuscitation (CPR)/ Do Not Resucitate Order (DNR)/ Allow Natural Death (AND)]. [Cardiopulmonary Resuscitation (CPR)/ Do Not Resucitate Order (DNR)/ Allow Natural Death (AND)] means the withholding of:</w:t>
      </w:r>
    </w:p>
    <w:p w14:paraId="27276151" w14:textId="77777777" w:rsidR="00EE5072" w:rsidRPr="001F64A9" w:rsidRDefault="00EE5072" w:rsidP="00EE5072">
      <w:pPr>
        <w:pStyle w:val="ListParagraph"/>
        <w:numPr>
          <w:ilvl w:val="0"/>
          <w:numId w:val="2"/>
        </w:numPr>
        <w:spacing w:after="0" w:line="48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Medical Treatment (respective to the illness) / (Chemotherapy / Radiotherapy / Dialysis / Surgery)</w:t>
      </w:r>
    </w:p>
    <w:p w14:paraId="2CCD1F98" w14:textId="77777777" w:rsidR="00EE5072" w:rsidRPr="001F64A9" w:rsidRDefault="00EE5072" w:rsidP="00EE5072">
      <w:pPr>
        <w:pStyle w:val="ListParagraph"/>
        <w:numPr>
          <w:ilvl w:val="0"/>
          <w:numId w:val="2"/>
        </w:numPr>
        <w:spacing w:after="0" w:line="48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Chest Compressions</w:t>
      </w:r>
    </w:p>
    <w:p w14:paraId="5441C26A" w14:textId="77777777" w:rsidR="00EE5072" w:rsidRPr="001F64A9" w:rsidRDefault="00EE5072" w:rsidP="00EE5072">
      <w:pPr>
        <w:pStyle w:val="ListParagraph"/>
        <w:numPr>
          <w:ilvl w:val="0"/>
          <w:numId w:val="2"/>
        </w:numPr>
        <w:spacing w:after="0" w:line="48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Tube feeding (fluids and nutrition)</w:t>
      </w:r>
    </w:p>
    <w:p w14:paraId="79CC3F2F" w14:textId="77777777" w:rsidR="00EE5072" w:rsidRPr="001F64A9" w:rsidRDefault="00EE5072" w:rsidP="00EE5072">
      <w:pPr>
        <w:pStyle w:val="ListParagraph"/>
        <w:numPr>
          <w:ilvl w:val="0"/>
          <w:numId w:val="2"/>
        </w:numPr>
        <w:spacing w:after="0" w:line="48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Pre-existent oxygen administration</w:t>
      </w:r>
    </w:p>
    <w:p w14:paraId="2BA0F6BF" w14:textId="77777777" w:rsidR="00EE5072" w:rsidRPr="001F64A9" w:rsidRDefault="00EE5072" w:rsidP="00EE5072">
      <w:pPr>
        <w:pStyle w:val="ListParagraph"/>
        <w:numPr>
          <w:ilvl w:val="0"/>
          <w:numId w:val="2"/>
        </w:numPr>
        <w:spacing w:after="0" w:line="48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Provision of Care (for example, immunization, position changing, emotional support)</w:t>
      </w:r>
    </w:p>
    <w:p w14:paraId="5926BCDA" w14:textId="77777777" w:rsidR="00EE5072" w:rsidRPr="001F64A9" w:rsidRDefault="00EE5072" w:rsidP="00EE5072">
      <w:pPr>
        <w:pStyle w:val="ListParagraph"/>
        <w:numPr>
          <w:ilvl w:val="0"/>
          <w:numId w:val="2"/>
        </w:numPr>
        <w:spacing w:after="0" w:line="48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Electric shocks to restore the heartbeat rhythm (fibrillation)</w:t>
      </w:r>
    </w:p>
    <w:p w14:paraId="3E27CB44" w14:textId="77777777" w:rsidR="00EE5072" w:rsidRPr="001F64A9" w:rsidRDefault="00EE5072" w:rsidP="00EE5072">
      <w:pPr>
        <w:pStyle w:val="ListParagraph"/>
        <w:numPr>
          <w:ilvl w:val="0"/>
          <w:numId w:val="2"/>
        </w:numPr>
        <w:spacing w:after="0" w:line="48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Resuscitation Drugs</w:t>
      </w:r>
    </w:p>
    <w:p w14:paraId="17ADC1E7" w14:textId="77777777" w:rsidR="00EE5072" w:rsidRPr="001F64A9" w:rsidRDefault="00EE5072" w:rsidP="00EE5072">
      <w:pPr>
        <w:pStyle w:val="ListParagraph"/>
        <w:numPr>
          <w:ilvl w:val="0"/>
          <w:numId w:val="2"/>
        </w:numPr>
        <w:spacing w:after="0" w:line="48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Mouth to mouth or Mechanical Ventilation</w:t>
      </w:r>
    </w:p>
    <w:p w14:paraId="7FF4785B" w14:textId="77777777" w:rsidR="00EE5072" w:rsidRPr="001F64A9" w:rsidRDefault="00EE5072" w:rsidP="00EE5072">
      <w:pPr>
        <w:pStyle w:val="ListParagraph"/>
        <w:numPr>
          <w:ilvl w:val="0"/>
          <w:numId w:val="2"/>
        </w:numPr>
        <w:spacing w:after="0" w:line="48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Artificial ventilation (artificial airway insertion / tracheal intubation)</w:t>
      </w:r>
    </w:p>
    <w:p w14:paraId="60BA3929" w14:textId="77777777" w:rsidR="00EE5072" w:rsidRPr="001F64A9" w:rsidRDefault="00EE5072" w:rsidP="00EE5072">
      <w:pPr>
        <w:pStyle w:val="ListParagraph"/>
        <w:numPr>
          <w:ilvl w:val="0"/>
          <w:numId w:val="2"/>
        </w:numPr>
        <w:spacing w:after="0" w:line="48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Pain Medications</w:t>
      </w:r>
    </w:p>
    <w:p w14:paraId="632FCEB5" w14:textId="77777777" w:rsidR="00EE5072" w:rsidRPr="001F64A9" w:rsidRDefault="00EE5072" w:rsidP="00EE5072">
      <w:pPr>
        <w:spacing w:after="0"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lastRenderedPageBreak/>
        <w:t>The emotional valence was measured through a single item Empirical Valence Scale (Lishner, Cooter &amp; Zald, 2008). The item asked how the participants felt about the term CPR, intermediate-AND, and DNR, as following:</w:t>
      </w:r>
    </w:p>
    <w:p w14:paraId="3C19D669" w14:textId="77777777" w:rsidR="00EE5072" w:rsidRPr="001F64A9" w:rsidRDefault="00EE5072" w:rsidP="00EE5072">
      <w:pPr>
        <w:pStyle w:val="ListParagraph"/>
        <w:numPr>
          <w:ilvl w:val="0"/>
          <w:numId w:val="4"/>
        </w:numPr>
        <w:spacing w:after="0" w:line="480" w:lineRule="auto"/>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How do you feel about the term Cardiopulmonary Resuscitation/</w:t>
      </w:r>
      <w:r w:rsidRPr="001F64A9">
        <w:rPr>
          <w:rFonts w:asciiTheme="majorBidi" w:eastAsia="Times New Roman" w:hAnsiTheme="majorBidi" w:cstheme="majorBidi"/>
          <w:sz w:val="24"/>
          <w:szCs w:val="24"/>
        </w:rPr>
        <w:t xml:space="preserve"> intermediate-Allow Natural Death/Do-not-resuscitate Orders</w:t>
      </w:r>
      <w:r w:rsidRPr="001F64A9">
        <w:rPr>
          <w:rFonts w:asciiTheme="majorBidi" w:hAnsiTheme="majorBidi" w:cstheme="majorBidi"/>
          <w:sz w:val="24"/>
          <w:szCs w:val="24"/>
          <w:shd w:val="clear" w:color="auto" w:fill="FFFFFF"/>
        </w:rPr>
        <w:t>? (Most Unpleasant imaginable = 1, Most Pleasant Imaginable = 16)</w:t>
      </w:r>
    </w:p>
    <w:p w14:paraId="4643601F" w14:textId="77777777" w:rsidR="00EE5072" w:rsidRPr="001F64A9" w:rsidRDefault="00EE5072" w:rsidP="00EE5072">
      <w:pPr>
        <w:spacing w:after="0" w:line="480" w:lineRule="auto"/>
        <w:ind w:firstLine="360"/>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t xml:space="preserve">Procedure. </w:t>
      </w:r>
      <w:r w:rsidRPr="001F64A9">
        <w:rPr>
          <w:rFonts w:asciiTheme="majorBidi" w:eastAsia="Times New Roman" w:hAnsiTheme="majorBidi" w:cstheme="majorBidi"/>
          <w:sz w:val="24"/>
          <w:szCs w:val="24"/>
        </w:rPr>
        <w:t xml:space="preserve">The experiment was developed and executed online through Qualtrics program. The participants were randomly assigned to one of the three groups: CPR, </w:t>
      </w:r>
      <w:r w:rsidRPr="001F64A9">
        <w:rPr>
          <w:rFonts w:asciiTheme="majorBidi" w:eastAsia="Times New Roman" w:hAnsiTheme="majorBidi" w:cstheme="majorBidi"/>
          <w:i/>
          <w:iCs/>
          <w:sz w:val="24"/>
          <w:szCs w:val="24"/>
        </w:rPr>
        <w:t>intermediate support</w:t>
      </w:r>
      <w:r w:rsidRPr="001F64A9">
        <w:rPr>
          <w:rFonts w:asciiTheme="majorBidi" w:eastAsia="Times New Roman" w:hAnsiTheme="majorBidi" w:cstheme="majorBidi"/>
          <w:sz w:val="24"/>
          <w:szCs w:val="24"/>
        </w:rPr>
        <w:t xml:space="preserve">-AND, and DNR. The participants were asked to select all the interventions which do not apply in CPR/AND/DNR from the 10-item checklist. A total number correct was used in analyses. After completing the checklist task, participants were asked to rate their emotional valence between most unpleasant imaginable and most pleasant imaginable.  </w:t>
      </w:r>
    </w:p>
    <w:p w14:paraId="21CB6745" w14:textId="77777777" w:rsidR="00EE5072" w:rsidRPr="001F64A9" w:rsidRDefault="00EE5072" w:rsidP="00EE5072">
      <w:pPr>
        <w:spacing w:line="480" w:lineRule="auto"/>
        <w:rPr>
          <w:rFonts w:asciiTheme="majorBidi" w:hAnsiTheme="majorBidi" w:cstheme="majorBidi"/>
          <w:b/>
          <w:bCs/>
          <w:sz w:val="24"/>
          <w:szCs w:val="24"/>
        </w:rPr>
      </w:pPr>
      <w:r w:rsidRPr="001F64A9">
        <w:rPr>
          <w:rFonts w:asciiTheme="majorBidi" w:hAnsiTheme="majorBidi" w:cstheme="majorBidi"/>
          <w:b/>
          <w:bCs/>
          <w:sz w:val="24"/>
          <w:szCs w:val="24"/>
        </w:rPr>
        <w:t>Results and Discussion</w:t>
      </w:r>
    </w:p>
    <w:p w14:paraId="13458C06" w14:textId="77777777" w:rsidR="00EE5072" w:rsidRPr="001F64A9" w:rsidRDefault="00EE5072" w:rsidP="00EE5072">
      <w:pPr>
        <w:spacing w:line="480" w:lineRule="auto"/>
        <w:ind w:firstLine="720"/>
        <w:rPr>
          <w:rFonts w:asciiTheme="majorBidi" w:hAnsiTheme="majorBidi" w:cstheme="majorBidi"/>
          <w:b/>
          <w:bCs/>
          <w:i/>
          <w:iCs/>
          <w:sz w:val="24"/>
          <w:szCs w:val="24"/>
        </w:rPr>
      </w:pPr>
      <w:r w:rsidRPr="001F64A9">
        <w:rPr>
          <w:rFonts w:asciiTheme="majorBidi" w:hAnsiTheme="majorBidi" w:cstheme="majorBidi"/>
          <w:b/>
          <w:bCs/>
          <w:sz w:val="24"/>
          <w:szCs w:val="24"/>
        </w:rPr>
        <w:t xml:space="preserve">CPR Understanding. </w:t>
      </w:r>
      <w:r w:rsidRPr="001F64A9">
        <w:rPr>
          <w:rFonts w:asciiTheme="majorBidi" w:hAnsiTheme="majorBidi" w:cstheme="majorBidi"/>
          <w:sz w:val="24"/>
          <w:szCs w:val="24"/>
        </w:rPr>
        <w:t xml:space="preserve">For the understanding scores on CPR, AND, and DNR, a one-way ANOVA suggested marginally significant overall differences, </w:t>
      </w:r>
      <w:r w:rsidRPr="001F64A9">
        <w:rPr>
          <w:rFonts w:asciiTheme="majorBidi" w:hAnsiTheme="majorBidi" w:cstheme="majorBidi"/>
          <w:i/>
          <w:iCs/>
          <w:sz w:val="24"/>
          <w:szCs w:val="24"/>
        </w:rPr>
        <w:t>F</w:t>
      </w:r>
      <w:r w:rsidRPr="001F64A9">
        <w:rPr>
          <w:rFonts w:asciiTheme="majorBidi" w:hAnsiTheme="majorBidi" w:cstheme="majorBidi"/>
          <w:sz w:val="24"/>
          <w:szCs w:val="24"/>
        </w:rPr>
        <w:t xml:space="preserve">(2, 222) = 2.63, </w:t>
      </w:r>
      <w:r w:rsidRPr="001F64A9">
        <w:rPr>
          <w:rFonts w:asciiTheme="majorBidi" w:hAnsiTheme="majorBidi" w:cstheme="majorBidi"/>
          <w:i/>
          <w:iCs/>
          <w:sz w:val="24"/>
          <w:szCs w:val="24"/>
        </w:rPr>
        <w:t>p</w:t>
      </w:r>
      <w:r w:rsidRPr="001F64A9">
        <w:rPr>
          <w:rFonts w:asciiTheme="majorBidi" w:hAnsiTheme="majorBidi" w:cstheme="majorBidi"/>
          <w:sz w:val="24"/>
          <w:szCs w:val="24"/>
        </w:rPr>
        <w:t xml:space="preserve"> = .074, </w:t>
      </w:r>
      <w:r w:rsidRPr="001F64A9">
        <w:rPr>
          <w:rFonts w:asciiTheme="majorBidi" w:hAnsiTheme="majorBidi" w:cstheme="majorBidi"/>
          <w:i/>
          <w:iCs/>
          <w:sz w:val="24"/>
          <w:szCs w:val="24"/>
        </w:rPr>
        <w:t>η</w:t>
      </w:r>
      <w:r w:rsidRPr="001F64A9">
        <w:rPr>
          <w:rFonts w:asciiTheme="majorBidi" w:hAnsiTheme="majorBidi" w:cstheme="majorBidi"/>
          <w:i/>
          <w:iCs/>
          <w:sz w:val="24"/>
          <w:szCs w:val="24"/>
          <w:vertAlign w:val="superscript"/>
        </w:rPr>
        <w:t>2</w:t>
      </w:r>
      <w:r w:rsidRPr="001F64A9">
        <w:rPr>
          <w:rFonts w:asciiTheme="majorBidi" w:hAnsiTheme="majorBidi" w:cstheme="majorBidi"/>
          <w:sz w:val="24"/>
          <w:szCs w:val="24"/>
          <w:vertAlign w:val="superscript"/>
        </w:rPr>
        <w:t xml:space="preserve"> </w:t>
      </w:r>
      <w:r w:rsidRPr="001F64A9">
        <w:rPr>
          <w:rFonts w:asciiTheme="majorBidi" w:hAnsiTheme="majorBidi" w:cstheme="majorBidi"/>
          <w:sz w:val="24"/>
          <w:szCs w:val="24"/>
        </w:rPr>
        <w:t>= .02. Post-hoc analyses for paired-wise comparisons indicated the participants in AND group (</w:t>
      </w:r>
      <w:r w:rsidRPr="001F64A9">
        <w:rPr>
          <w:rFonts w:asciiTheme="majorBidi" w:hAnsiTheme="majorBidi" w:cstheme="majorBidi"/>
          <w:i/>
          <w:iCs/>
          <w:sz w:val="24"/>
          <w:szCs w:val="24"/>
        </w:rPr>
        <w:t>M</w:t>
      </w:r>
      <w:r w:rsidRPr="001F64A9">
        <w:rPr>
          <w:rFonts w:asciiTheme="majorBidi" w:hAnsiTheme="majorBidi" w:cstheme="majorBidi"/>
          <w:sz w:val="24"/>
          <w:szCs w:val="24"/>
        </w:rPr>
        <w:t xml:space="preserve"> = 6.28, </w:t>
      </w:r>
      <w:r w:rsidRPr="001F64A9">
        <w:rPr>
          <w:rFonts w:asciiTheme="majorBidi" w:hAnsiTheme="majorBidi" w:cstheme="majorBidi"/>
          <w:i/>
          <w:iCs/>
          <w:sz w:val="24"/>
          <w:szCs w:val="24"/>
        </w:rPr>
        <w:t>SD</w:t>
      </w:r>
      <w:r w:rsidRPr="001F64A9">
        <w:rPr>
          <w:rFonts w:asciiTheme="majorBidi" w:hAnsiTheme="majorBidi" w:cstheme="majorBidi"/>
          <w:sz w:val="24"/>
          <w:szCs w:val="24"/>
        </w:rPr>
        <w:t xml:space="preserve"> = 1.63) had significantly higher scores as compared to people in CPR (</w:t>
      </w:r>
      <w:r w:rsidRPr="001F64A9">
        <w:rPr>
          <w:rFonts w:asciiTheme="majorBidi" w:hAnsiTheme="majorBidi" w:cstheme="majorBidi"/>
          <w:i/>
          <w:iCs/>
          <w:sz w:val="24"/>
          <w:szCs w:val="24"/>
        </w:rPr>
        <w:t>M</w:t>
      </w:r>
      <w:r w:rsidRPr="001F64A9">
        <w:rPr>
          <w:rFonts w:asciiTheme="majorBidi" w:hAnsiTheme="majorBidi" w:cstheme="majorBidi"/>
          <w:sz w:val="24"/>
          <w:szCs w:val="24"/>
        </w:rPr>
        <w:t xml:space="preserve"> = 5.61, </w:t>
      </w:r>
      <w:r w:rsidRPr="001F64A9">
        <w:rPr>
          <w:rFonts w:asciiTheme="majorBidi" w:hAnsiTheme="majorBidi" w:cstheme="majorBidi"/>
          <w:i/>
          <w:iCs/>
          <w:sz w:val="24"/>
          <w:szCs w:val="24"/>
        </w:rPr>
        <w:t>SD</w:t>
      </w:r>
      <w:r w:rsidRPr="001F64A9">
        <w:rPr>
          <w:rFonts w:asciiTheme="majorBidi" w:hAnsiTheme="majorBidi" w:cstheme="majorBidi"/>
          <w:sz w:val="24"/>
          <w:szCs w:val="24"/>
        </w:rPr>
        <w:t xml:space="preserve"> = 2.13), and DNR groups (</w:t>
      </w:r>
      <w:r w:rsidRPr="001F64A9">
        <w:rPr>
          <w:rFonts w:asciiTheme="majorBidi" w:hAnsiTheme="majorBidi" w:cstheme="majorBidi"/>
          <w:i/>
          <w:iCs/>
          <w:sz w:val="24"/>
          <w:szCs w:val="24"/>
        </w:rPr>
        <w:t>M</w:t>
      </w:r>
      <w:r w:rsidRPr="001F64A9">
        <w:rPr>
          <w:rFonts w:asciiTheme="majorBidi" w:hAnsiTheme="majorBidi" w:cstheme="majorBidi"/>
          <w:sz w:val="24"/>
          <w:szCs w:val="24"/>
        </w:rPr>
        <w:t xml:space="preserve"> = 5.63, </w:t>
      </w:r>
      <w:r w:rsidRPr="001F64A9">
        <w:rPr>
          <w:rFonts w:asciiTheme="majorBidi" w:hAnsiTheme="majorBidi" w:cstheme="majorBidi"/>
          <w:i/>
          <w:iCs/>
          <w:sz w:val="24"/>
          <w:szCs w:val="24"/>
        </w:rPr>
        <w:t>SD</w:t>
      </w:r>
      <w:r w:rsidRPr="001F64A9">
        <w:rPr>
          <w:rFonts w:asciiTheme="majorBidi" w:hAnsiTheme="majorBidi" w:cstheme="majorBidi"/>
          <w:sz w:val="24"/>
          <w:szCs w:val="24"/>
        </w:rPr>
        <w:t xml:space="preserve"> = 2.17) (see Table 1, Figure 3). </w:t>
      </w:r>
    </w:p>
    <w:p w14:paraId="6E19805E" w14:textId="77777777" w:rsidR="00EE5072" w:rsidRPr="001F64A9" w:rsidRDefault="00EE5072" w:rsidP="00EE5072">
      <w:pPr>
        <w:spacing w:line="480" w:lineRule="auto"/>
        <w:ind w:firstLine="720"/>
        <w:rPr>
          <w:rFonts w:asciiTheme="majorBidi" w:hAnsiTheme="majorBidi" w:cstheme="majorBidi"/>
          <w:b/>
          <w:bCs/>
          <w:sz w:val="24"/>
          <w:szCs w:val="24"/>
        </w:rPr>
      </w:pPr>
      <w:r w:rsidRPr="001F64A9">
        <w:rPr>
          <w:rFonts w:asciiTheme="majorBidi" w:hAnsiTheme="majorBidi" w:cstheme="majorBidi"/>
          <w:b/>
          <w:bCs/>
          <w:sz w:val="24"/>
          <w:szCs w:val="24"/>
        </w:rPr>
        <w:t xml:space="preserve">Positive Valence. </w:t>
      </w:r>
      <w:r w:rsidRPr="001F64A9">
        <w:rPr>
          <w:rFonts w:asciiTheme="majorBidi" w:hAnsiTheme="majorBidi" w:cstheme="majorBidi"/>
          <w:sz w:val="24"/>
          <w:szCs w:val="24"/>
        </w:rPr>
        <w:t xml:space="preserve">The ANOVA model for emotional valence across the three conditions was non-significant, </w:t>
      </w:r>
      <w:r w:rsidRPr="001F64A9">
        <w:rPr>
          <w:rFonts w:asciiTheme="majorBidi" w:hAnsiTheme="majorBidi" w:cstheme="majorBidi"/>
          <w:i/>
          <w:iCs/>
          <w:sz w:val="24"/>
          <w:szCs w:val="24"/>
        </w:rPr>
        <w:t>F</w:t>
      </w:r>
      <w:r w:rsidRPr="001F64A9">
        <w:rPr>
          <w:rFonts w:asciiTheme="majorBidi" w:hAnsiTheme="majorBidi" w:cstheme="majorBidi"/>
          <w:sz w:val="24"/>
          <w:szCs w:val="24"/>
        </w:rPr>
        <w:t xml:space="preserve">(2, 222) = 2.18, </w:t>
      </w:r>
      <w:r w:rsidRPr="001F64A9">
        <w:rPr>
          <w:rFonts w:asciiTheme="majorBidi" w:hAnsiTheme="majorBidi" w:cstheme="majorBidi"/>
          <w:i/>
          <w:iCs/>
          <w:sz w:val="24"/>
          <w:szCs w:val="24"/>
        </w:rPr>
        <w:t>p</w:t>
      </w:r>
      <w:r w:rsidRPr="001F64A9">
        <w:rPr>
          <w:rFonts w:asciiTheme="majorBidi" w:hAnsiTheme="majorBidi" w:cstheme="majorBidi"/>
          <w:sz w:val="24"/>
          <w:szCs w:val="24"/>
        </w:rPr>
        <w:t xml:space="preserve"> = .115, </w:t>
      </w:r>
      <w:r w:rsidRPr="001F64A9">
        <w:rPr>
          <w:rFonts w:asciiTheme="majorBidi" w:hAnsiTheme="majorBidi" w:cstheme="majorBidi"/>
          <w:i/>
          <w:iCs/>
          <w:sz w:val="24"/>
          <w:szCs w:val="24"/>
        </w:rPr>
        <w:t>η</w:t>
      </w:r>
      <w:r w:rsidRPr="001F64A9">
        <w:rPr>
          <w:rFonts w:asciiTheme="majorBidi" w:hAnsiTheme="majorBidi" w:cstheme="majorBidi"/>
          <w:i/>
          <w:iCs/>
          <w:sz w:val="24"/>
          <w:szCs w:val="24"/>
          <w:vertAlign w:val="superscript"/>
        </w:rPr>
        <w:t>2</w:t>
      </w:r>
      <w:r w:rsidRPr="001F64A9">
        <w:rPr>
          <w:rFonts w:asciiTheme="majorBidi" w:hAnsiTheme="majorBidi" w:cstheme="majorBidi"/>
          <w:sz w:val="24"/>
          <w:szCs w:val="24"/>
          <w:vertAlign w:val="superscript"/>
        </w:rPr>
        <w:t xml:space="preserve"> </w:t>
      </w:r>
      <w:r w:rsidRPr="001F64A9">
        <w:rPr>
          <w:rFonts w:asciiTheme="majorBidi" w:hAnsiTheme="majorBidi" w:cstheme="majorBidi"/>
          <w:sz w:val="24"/>
          <w:szCs w:val="24"/>
        </w:rPr>
        <w:t>= .02. Post-hoc analyses for paired-wise comparisons indicated the participants in AND group (</w:t>
      </w:r>
      <w:r w:rsidRPr="001F64A9">
        <w:rPr>
          <w:rFonts w:asciiTheme="majorBidi" w:hAnsiTheme="majorBidi" w:cstheme="majorBidi"/>
          <w:i/>
          <w:iCs/>
          <w:sz w:val="24"/>
          <w:szCs w:val="24"/>
        </w:rPr>
        <w:t>M</w:t>
      </w:r>
      <w:r w:rsidRPr="001F64A9">
        <w:rPr>
          <w:rFonts w:asciiTheme="majorBidi" w:hAnsiTheme="majorBidi" w:cstheme="majorBidi"/>
          <w:sz w:val="24"/>
          <w:szCs w:val="24"/>
        </w:rPr>
        <w:t xml:space="preserve"> = 7.82, </w:t>
      </w:r>
      <w:r w:rsidRPr="001F64A9">
        <w:rPr>
          <w:rFonts w:asciiTheme="majorBidi" w:hAnsiTheme="majorBidi" w:cstheme="majorBidi"/>
          <w:i/>
          <w:iCs/>
          <w:sz w:val="24"/>
          <w:szCs w:val="24"/>
        </w:rPr>
        <w:t>SD</w:t>
      </w:r>
      <w:r w:rsidRPr="001F64A9">
        <w:rPr>
          <w:rFonts w:asciiTheme="majorBidi" w:hAnsiTheme="majorBidi" w:cstheme="majorBidi"/>
          <w:sz w:val="24"/>
          <w:szCs w:val="24"/>
        </w:rPr>
        <w:t xml:space="preserve"> = 3.58) had significantly higher scores as compared to people in DNR groups (</w:t>
      </w:r>
      <w:r w:rsidRPr="001F64A9">
        <w:rPr>
          <w:rFonts w:asciiTheme="majorBidi" w:hAnsiTheme="majorBidi" w:cstheme="majorBidi"/>
          <w:i/>
          <w:iCs/>
          <w:sz w:val="24"/>
          <w:szCs w:val="24"/>
        </w:rPr>
        <w:t>M</w:t>
      </w:r>
      <w:r w:rsidRPr="001F64A9">
        <w:rPr>
          <w:rFonts w:asciiTheme="majorBidi" w:hAnsiTheme="majorBidi" w:cstheme="majorBidi"/>
          <w:sz w:val="24"/>
          <w:szCs w:val="24"/>
        </w:rPr>
        <w:t xml:space="preserve"> = 6.66, </w:t>
      </w:r>
      <w:r w:rsidRPr="001F64A9">
        <w:rPr>
          <w:rFonts w:asciiTheme="majorBidi" w:hAnsiTheme="majorBidi" w:cstheme="majorBidi"/>
          <w:i/>
          <w:iCs/>
          <w:sz w:val="24"/>
          <w:szCs w:val="24"/>
        </w:rPr>
        <w:t>SD</w:t>
      </w:r>
      <w:r w:rsidRPr="001F64A9">
        <w:rPr>
          <w:rFonts w:asciiTheme="majorBidi" w:hAnsiTheme="majorBidi" w:cstheme="majorBidi"/>
          <w:sz w:val="24"/>
          <w:szCs w:val="24"/>
        </w:rPr>
        <w:t xml:space="preserve"> = 3.70). Although, the </w:t>
      </w:r>
      <w:r w:rsidRPr="001F64A9">
        <w:rPr>
          <w:rFonts w:asciiTheme="majorBidi" w:hAnsiTheme="majorBidi" w:cstheme="majorBidi"/>
          <w:sz w:val="24"/>
          <w:szCs w:val="24"/>
        </w:rPr>
        <w:lastRenderedPageBreak/>
        <w:t>valence scores in CPR (</w:t>
      </w:r>
      <w:r w:rsidRPr="001F64A9">
        <w:rPr>
          <w:rFonts w:asciiTheme="majorBidi" w:hAnsiTheme="majorBidi" w:cstheme="majorBidi"/>
          <w:i/>
          <w:iCs/>
          <w:sz w:val="24"/>
          <w:szCs w:val="24"/>
        </w:rPr>
        <w:t>M</w:t>
      </w:r>
      <w:r w:rsidRPr="001F64A9">
        <w:rPr>
          <w:rFonts w:asciiTheme="majorBidi" w:hAnsiTheme="majorBidi" w:cstheme="majorBidi"/>
          <w:sz w:val="24"/>
          <w:szCs w:val="24"/>
        </w:rPr>
        <w:t xml:space="preserve"> = 7.36, </w:t>
      </w:r>
      <w:r w:rsidRPr="001F64A9">
        <w:rPr>
          <w:rFonts w:asciiTheme="majorBidi" w:hAnsiTheme="majorBidi" w:cstheme="majorBidi"/>
          <w:i/>
          <w:iCs/>
          <w:sz w:val="24"/>
          <w:szCs w:val="24"/>
        </w:rPr>
        <w:t>SD</w:t>
      </w:r>
      <w:r w:rsidRPr="001F64A9">
        <w:rPr>
          <w:rFonts w:asciiTheme="majorBidi" w:hAnsiTheme="majorBidi" w:cstheme="majorBidi"/>
          <w:sz w:val="24"/>
          <w:szCs w:val="24"/>
        </w:rPr>
        <w:t xml:space="preserve"> = 3.05) were non-significantly different from valence scores in AND and DNR conditions (see Table 2, Figure 4). </w:t>
      </w:r>
    </w:p>
    <w:p w14:paraId="635E8D35" w14:textId="77777777" w:rsidR="00EE5072" w:rsidRPr="001F64A9" w:rsidRDefault="00EE5072" w:rsidP="00EE5072">
      <w:pPr>
        <w:spacing w:line="480" w:lineRule="auto"/>
        <w:ind w:firstLine="720"/>
        <w:rPr>
          <w:rFonts w:asciiTheme="majorBidi" w:hAnsiTheme="majorBidi" w:cstheme="majorBidi"/>
          <w:sz w:val="24"/>
          <w:szCs w:val="24"/>
        </w:rPr>
      </w:pPr>
      <w:r w:rsidRPr="001F64A9">
        <w:rPr>
          <w:rFonts w:asciiTheme="majorBidi" w:hAnsiTheme="majorBidi" w:cstheme="majorBidi"/>
          <w:i/>
          <w:iCs/>
          <w:sz w:val="24"/>
          <w:szCs w:val="24"/>
        </w:rPr>
        <w:t>H1</w:t>
      </w:r>
      <w:r w:rsidRPr="001F64A9">
        <w:rPr>
          <w:rFonts w:asciiTheme="majorBidi" w:hAnsiTheme="majorBidi" w:cstheme="majorBidi"/>
          <w:sz w:val="24"/>
          <w:szCs w:val="24"/>
        </w:rPr>
        <w:t xml:space="preserve"> was supported by the results of this experiment. People had comparatively higher understanding of AND terminology as compared to CPR and DNR. No studies previously have objectively tested the difference of understanding of AND, CPR, and DNR terminologies. The findings of the second hypothesis (i.e., </w:t>
      </w:r>
      <w:r w:rsidRPr="001F64A9">
        <w:rPr>
          <w:rFonts w:asciiTheme="majorBidi" w:hAnsiTheme="majorBidi" w:cstheme="majorBidi"/>
          <w:i/>
          <w:iCs/>
          <w:sz w:val="24"/>
          <w:szCs w:val="24"/>
        </w:rPr>
        <w:t>H2</w:t>
      </w:r>
      <w:r w:rsidRPr="001F64A9">
        <w:rPr>
          <w:rFonts w:asciiTheme="majorBidi" w:hAnsiTheme="majorBidi" w:cstheme="majorBidi"/>
          <w:sz w:val="24"/>
          <w:szCs w:val="24"/>
        </w:rPr>
        <w:t xml:space="preserve">) of this experiment have been supported by previous studies as number of researchers have reported that people show more positive affect toward AND terminology (Fairlie, 2018; Fan, Wang &amp; Lin, 2018; Knox &amp; Vereb, 2005; Venneman et al., 2006). </w:t>
      </w:r>
    </w:p>
    <w:p w14:paraId="3D5C1C38" w14:textId="77777777" w:rsidR="00EE5072" w:rsidRPr="001F64A9" w:rsidRDefault="00EE5072" w:rsidP="00EE5072">
      <w:pPr>
        <w:spacing w:line="480" w:lineRule="auto"/>
        <w:rPr>
          <w:rFonts w:asciiTheme="majorBidi" w:hAnsiTheme="majorBidi" w:cstheme="majorBidi"/>
          <w:sz w:val="24"/>
          <w:szCs w:val="24"/>
        </w:rPr>
      </w:pPr>
      <w:r w:rsidRPr="001F64A9">
        <w:rPr>
          <w:rFonts w:asciiTheme="majorBidi" w:hAnsiTheme="majorBidi" w:cstheme="majorBidi"/>
          <w:sz w:val="24"/>
          <w:szCs w:val="24"/>
        </w:rPr>
        <w:tab/>
        <w:t xml:space="preserve">Focusing on the main objective of Experiment 1a, I have found evidence that people understand CPR/AND/DNR terminologies differently and that people are more confused (i.e., have less understanding) about the term CPR and then DNR. This motivated the objectives of Experiment 1b to test whether these DNR terminologies differentiate in terms of beneficence and DNR preference. </w:t>
      </w:r>
    </w:p>
    <w:p w14:paraId="11B374C0" w14:textId="77777777" w:rsidR="00EE5072" w:rsidRPr="001F64A9" w:rsidRDefault="00EE5072" w:rsidP="00EE5072">
      <w:pPr>
        <w:spacing w:after="0" w:line="48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b/>
          <w:bCs/>
          <w:sz w:val="24"/>
          <w:szCs w:val="24"/>
        </w:rPr>
        <w:t>Experiment 1b</w:t>
      </w:r>
    </w:p>
    <w:p w14:paraId="2C92AC83" w14:textId="77777777" w:rsidR="00EE5072" w:rsidRPr="001F64A9" w:rsidRDefault="00EE5072" w:rsidP="00EE5072">
      <w:pPr>
        <w:spacing w:after="0"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Experiment 1a suggested that people understand CPR, AND, and DNR terminologies differently. This led to the main objective of Experiment 1b that whether CPR, AND, and DNR terminologies has an effect on beneficence and people’s preference to have DNRs. There were the following two hypotheses of this experiment:</w:t>
      </w:r>
    </w:p>
    <w:p w14:paraId="11F0F15D"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rPr>
        <w:t>H3:</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sz w:val="24"/>
          <w:szCs w:val="24"/>
          <w:lang w:val="en-GB"/>
        </w:rPr>
        <w:t>T</w:t>
      </w:r>
      <w:r w:rsidRPr="001F64A9">
        <w:rPr>
          <w:rFonts w:asciiTheme="majorBidi" w:eastAsia="Times New Roman" w:hAnsiTheme="majorBidi" w:cstheme="majorBidi"/>
          <w:sz w:val="24"/>
          <w:szCs w:val="24"/>
        </w:rPr>
        <w:t xml:space="preserve">he correlations between end-of-life values and DNR decision will be in the correct direction and significantly different across CPR, </w:t>
      </w:r>
      <w:r w:rsidRPr="001F64A9">
        <w:rPr>
          <w:rFonts w:asciiTheme="majorBidi" w:hAnsiTheme="majorBidi" w:cstheme="majorBidi"/>
          <w:i/>
          <w:iCs/>
          <w:sz w:val="24"/>
          <w:szCs w:val="24"/>
        </w:rPr>
        <w:t>intermediate support</w:t>
      </w:r>
      <w:r w:rsidRPr="001F64A9">
        <w:rPr>
          <w:rFonts w:asciiTheme="majorBidi" w:hAnsiTheme="majorBidi" w:cstheme="majorBidi"/>
          <w:sz w:val="24"/>
          <w:szCs w:val="24"/>
        </w:rPr>
        <w:t>-</w:t>
      </w:r>
      <w:r w:rsidRPr="001F64A9">
        <w:rPr>
          <w:rFonts w:asciiTheme="majorBidi" w:eastAsia="Times New Roman" w:hAnsiTheme="majorBidi" w:cstheme="majorBidi"/>
          <w:sz w:val="24"/>
          <w:szCs w:val="24"/>
        </w:rPr>
        <w:t>AND, and DNR terminologies conditions.</w:t>
      </w:r>
    </w:p>
    <w:p w14:paraId="6368331B"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rPr>
        <w:lastRenderedPageBreak/>
        <w:t>H4:</w:t>
      </w:r>
      <w:r w:rsidRPr="001F64A9">
        <w:rPr>
          <w:rFonts w:asciiTheme="majorBidi" w:eastAsia="Times New Roman" w:hAnsiTheme="majorBidi" w:cstheme="majorBidi"/>
          <w:sz w:val="24"/>
          <w:szCs w:val="24"/>
        </w:rPr>
        <w:t xml:space="preserve"> People in CPR condition will have lower DNR order preferences as compared to people in DNR and </w:t>
      </w:r>
      <w:r w:rsidRPr="001F64A9">
        <w:rPr>
          <w:rFonts w:asciiTheme="majorBidi" w:hAnsiTheme="majorBidi" w:cstheme="majorBidi"/>
          <w:i/>
          <w:iCs/>
          <w:sz w:val="24"/>
          <w:szCs w:val="24"/>
        </w:rPr>
        <w:t>intermediate support</w:t>
      </w:r>
      <w:r w:rsidRPr="001F64A9">
        <w:rPr>
          <w:rFonts w:asciiTheme="majorBidi" w:hAnsiTheme="majorBidi" w:cstheme="majorBidi"/>
          <w:sz w:val="24"/>
          <w:szCs w:val="24"/>
        </w:rPr>
        <w:t>-</w:t>
      </w:r>
      <w:r w:rsidRPr="001F64A9">
        <w:rPr>
          <w:rFonts w:asciiTheme="majorBidi" w:eastAsia="Times New Roman" w:hAnsiTheme="majorBidi" w:cstheme="majorBidi"/>
          <w:sz w:val="24"/>
          <w:szCs w:val="24"/>
        </w:rPr>
        <w:t xml:space="preserve">AND conditions.  </w:t>
      </w:r>
    </w:p>
    <w:p w14:paraId="2F7D8719" w14:textId="77777777" w:rsidR="00EE5072" w:rsidRPr="001F64A9" w:rsidRDefault="00EE5072" w:rsidP="00EE5072">
      <w:pPr>
        <w:spacing w:after="0" w:line="480" w:lineRule="auto"/>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t>Method</w:t>
      </w:r>
    </w:p>
    <w:p w14:paraId="7DB4A052" w14:textId="77777777" w:rsidR="00EE5072" w:rsidRPr="001F64A9" w:rsidRDefault="00EE5072" w:rsidP="00EE5072">
      <w:pPr>
        <w:spacing w:after="0" w:line="480" w:lineRule="auto"/>
        <w:ind w:firstLine="720"/>
        <w:rPr>
          <w:rFonts w:asciiTheme="majorBidi" w:eastAsia="Times New Roman" w:hAnsiTheme="majorBidi" w:cstheme="majorBidi"/>
          <w:b/>
          <w:bCs/>
          <w:i/>
          <w:iCs/>
          <w:sz w:val="24"/>
          <w:szCs w:val="24"/>
        </w:rPr>
      </w:pPr>
      <w:r w:rsidRPr="001F64A9">
        <w:rPr>
          <w:rFonts w:asciiTheme="majorBidi" w:eastAsia="Times New Roman" w:hAnsiTheme="majorBidi" w:cstheme="majorBidi"/>
          <w:b/>
          <w:bCs/>
          <w:sz w:val="24"/>
          <w:szCs w:val="24"/>
        </w:rPr>
        <w:t xml:space="preserve">Participants. </w:t>
      </w:r>
      <w:r w:rsidRPr="001F64A9">
        <w:rPr>
          <w:rFonts w:asciiTheme="majorBidi" w:hAnsiTheme="majorBidi" w:cstheme="majorBidi"/>
          <w:sz w:val="24"/>
          <w:szCs w:val="24"/>
        </w:rPr>
        <w:t xml:space="preserve">There were 300 total participants in the initial dataset, collected online from CloudResearch platform. Data was screened for data quality assurance </w:t>
      </w:r>
      <w:r w:rsidRPr="001F64A9">
        <w:rPr>
          <w:rFonts w:asciiTheme="majorBidi" w:eastAsia="Times New Roman" w:hAnsiTheme="majorBidi" w:cstheme="majorBidi"/>
          <w:sz w:val="24"/>
          <w:szCs w:val="24"/>
        </w:rPr>
        <w:t xml:space="preserve">(Andreadis &amp; Kartsounidou, 2020; Buchanan &amp; Scofield, 2018; DeSimone, Harms &amp; DeSimone, 2015). </w:t>
      </w:r>
      <w:r w:rsidRPr="001F64A9">
        <w:rPr>
          <w:rFonts w:asciiTheme="majorBidi" w:hAnsiTheme="majorBidi" w:cstheme="majorBidi"/>
          <w:sz w:val="24"/>
          <w:szCs w:val="24"/>
        </w:rPr>
        <w:t>After data screening, a total of 281 participants were used for the data analysis. With respect to gender, there were 162 (58%) female, 116 (41%) male, 2, (.7%) non-binary, and one participant (.3%) preferred not to mention the gender. The average age of the participants was 43.80 years (</w:t>
      </w:r>
      <w:r w:rsidRPr="001F64A9">
        <w:rPr>
          <w:rFonts w:asciiTheme="majorBidi" w:hAnsiTheme="majorBidi" w:cstheme="majorBidi"/>
          <w:i/>
          <w:iCs/>
          <w:sz w:val="24"/>
          <w:szCs w:val="24"/>
        </w:rPr>
        <w:t>SD</w:t>
      </w:r>
      <w:r w:rsidRPr="001F64A9">
        <w:rPr>
          <w:rFonts w:asciiTheme="majorBidi" w:hAnsiTheme="majorBidi" w:cstheme="majorBidi"/>
          <w:sz w:val="24"/>
          <w:szCs w:val="24"/>
        </w:rPr>
        <w:t xml:space="preserve"> = 13.47).</w:t>
      </w:r>
    </w:p>
    <w:p w14:paraId="15776C9E" w14:textId="77777777" w:rsidR="00EE5072" w:rsidRPr="001F64A9" w:rsidRDefault="00EE5072" w:rsidP="00EE5072">
      <w:pPr>
        <w:spacing w:after="0" w:line="480" w:lineRule="auto"/>
        <w:ind w:firstLine="720"/>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t xml:space="preserve">Material. </w:t>
      </w:r>
      <w:r w:rsidRPr="001F64A9">
        <w:rPr>
          <w:rFonts w:asciiTheme="majorBidi" w:hAnsiTheme="majorBidi" w:cstheme="majorBidi"/>
          <w:sz w:val="24"/>
          <w:szCs w:val="24"/>
        </w:rPr>
        <w:t>The understanding checklist was same as in Experiment 1A except an item ‘</w:t>
      </w:r>
      <w:r w:rsidRPr="001F64A9">
        <w:rPr>
          <w:rFonts w:asciiTheme="majorBidi" w:eastAsia="Times New Roman" w:hAnsiTheme="majorBidi" w:cstheme="majorBidi"/>
          <w:sz w:val="24"/>
          <w:szCs w:val="24"/>
        </w:rPr>
        <w:t>Mouth to mouth or Mechanical Ventilation</w:t>
      </w:r>
      <w:r w:rsidRPr="001F64A9">
        <w:rPr>
          <w:rFonts w:asciiTheme="majorBidi" w:hAnsiTheme="majorBidi" w:cstheme="majorBidi"/>
          <w:sz w:val="24"/>
          <w:szCs w:val="24"/>
        </w:rPr>
        <w:t>’ was divided into two items, ‘</w:t>
      </w:r>
      <w:r w:rsidRPr="001F64A9">
        <w:rPr>
          <w:rFonts w:asciiTheme="majorBidi" w:eastAsia="Times New Roman" w:hAnsiTheme="majorBidi" w:cstheme="majorBidi"/>
          <w:sz w:val="24"/>
          <w:szCs w:val="24"/>
        </w:rPr>
        <w:t>Mouth to mouth Ventilation</w:t>
      </w:r>
      <w:r w:rsidRPr="001F64A9">
        <w:rPr>
          <w:rFonts w:asciiTheme="majorBidi" w:hAnsiTheme="majorBidi" w:cstheme="majorBidi"/>
          <w:sz w:val="24"/>
          <w:szCs w:val="24"/>
        </w:rPr>
        <w:t>’ and ‘</w:t>
      </w:r>
      <w:r w:rsidRPr="001F64A9">
        <w:rPr>
          <w:rFonts w:asciiTheme="majorBidi" w:eastAsia="Times New Roman" w:hAnsiTheme="majorBidi" w:cstheme="majorBidi"/>
          <w:sz w:val="24"/>
          <w:szCs w:val="24"/>
        </w:rPr>
        <w:t>Mechanical Ventilation (in which doctors use ventilator)</w:t>
      </w:r>
      <w:r w:rsidRPr="001F64A9">
        <w:rPr>
          <w:rFonts w:asciiTheme="majorBidi" w:hAnsiTheme="majorBidi" w:cstheme="majorBidi"/>
          <w:sz w:val="24"/>
          <w:szCs w:val="24"/>
        </w:rPr>
        <w:t xml:space="preserve">’. The emotional valence about terminologies was measured through </w:t>
      </w:r>
      <w:r w:rsidRPr="001F64A9">
        <w:rPr>
          <w:rFonts w:asciiTheme="majorBidi" w:eastAsia="Times New Roman" w:hAnsiTheme="majorBidi" w:cstheme="majorBidi"/>
          <w:sz w:val="24"/>
          <w:szCs w:val="24"/>
        </w:rPr>
        <w:t xml:space="preserve">a single item “Please indicate how negative you felt about the term </w:t>
      </w:r>
      <w:r w:rsidRPr="001F64A9">
        <w:rPr>
          <w:rFonts w:asciiTheme="majorBidi" w:hAnsiTheme="majorBidi" w:cstheme="majorBidi"/>
          <w:sz w:val="24"/>
          <w:szCs w:val="24"/>
          <w:shd w:val="clear" w:color="auto" w:fill="FFFFFF"/>
        </w:rPr>
        <w:t>Cardiopulmonary Resuscitation/</w:t>
      </w:r>
      <w:r w:rsidRPr="001F64A9">
        <w:rPr>
          <w:rFonts w:asciiTheme="majorBidi" w:eastAsia="Times New Roman" w:hAnsiTheme="majorBidi" w:cstheme="majorBidi"/>
          <w:i/>
          <w:iCs/>
          <w:sz w:val="24"/>
          <w:szCs w:val="24"/>
        </w:rPr>
        <w:t>intermediate support</w:t>
      </w:r>
      <w:r w:rsidRPr="001F64A9">
        <w:rPr>
          <w:rFonts w:asciiTheme="majorBidi" w:eastAsia="Times New Roman" w:hAnsiTheme="majorBidi" w:cstheme="majorBidi"/>
          <w:sz w:val="24"/>
          <w:szCs w:val="24"/>
        </w:rPr>
        <w:t>-Allow Natural Death/Do-not-resuscitate Orders” with a 5-Likert response pattern ranging from Not at all unpleasant = 1 to Extremely unpleasant = 5.</w:t>
      </w:r>
      <w:r w:rsidRPr="001F64A9">
        <w:rPr>
          <w:rFonts w:asciiTheme="majorBidi" w:hAnsiTheme="majorBidi" w:cstheme="majorBidi"/>
          <w:sz w:val="24"/>
          <w:szCs w:val="24"/>
        </w:rPr>
        <w:t xml:space="preserve"> I choose to use 5-Likert scale instead of 16-Likert (in Experiment 1a) because there is some evidence that Likert scales can lose fidelity with a large number of response options (see Garratt, Helgeland &amp; Gulbrandsen, 2011; for systematic review, see Sitzia, 1999).</w:t>
      </w:r>
    </w:p>
    <w:p w14:paraId="218EA292" w14:textId="77777777" w:rsidR="00EE5072" w:rsidRPr="001F64A9" w:rsidRDefault="00EE5072" w:rsidP="00EE5072">
      <w:pPr>
        <w:spacing w:line="480" w:lineRule="auto"/>
        <w:ind w:firstLine="720"/>
        <w:rPr>
          <w:rFonts w:asciiTheme="majorBidi" w:hAnsiTheme="majorBidi" w:cstheme="majorBidi"/>
          <w:sz w:val="24"/>
          <w:szCs w:val="24"/>
        </w:rPr>
      </w:pPr>
      <w:r w:rsidRPr="001F64A9">
        <w:rPr>
          <w:rFonts w:asciiTheme="majorBidi" w:hAnsiTheme="majorBidi" w:cstheme="majorBidi"/>
          <w:sz w:val="24"/>
          <w:szCs w:val="24"/>
        </w:rPr>
        <w:t xml:space="preserve">The end-of-life values scale (Winter, 2013) was used to measure EOL values. The scale was consisted of 8 items with a 5-Likert response pattern ranging from Not at all important = 1 to Extremely important = 5. The scale has two factors: </w:t>
      </w:r>
      <w:r w:rsidRPr="001F64A9">
        <w:rPr>
          <w:rFonts w:asciiTheme="majorBidi" w:eastAsia="Times New Roman" w:hAnsiTheme="majorBidi" w:cstheme="majorBidi"/>
          <w:bCs/>
          <w:sz w:val="24"/>
          <w:szCs w:val="24"/>
        </w:rPr>
        <w:t xml:space="preserve">life-oriented values (i.e., religiosity, family </w:t>
      </w:r>
      <w:r w:rsidRPr="001F64A9">
        <w:rPr>
          <w:rFonts w:asciiTheme="majorBidi" w:eastAsia="Times New Roman" w:hAnsiTheme="majorBidi" w:cstheme="majorBidi"/>
          <w:bCs/>
          <w:sz w:val="24"/>
          <w:szCs w:val="24"/>
        </w:rPr>
        <w:lastRenderedPageBreak/>
        <w:t xml:space="preserve">wishes, and longevity) and pain and dependence oriented values (i.e., </w:t>
      </w:r>
      <w:r w:rsidRPr="001F64A9">
        <w:rPr>
          <w:rFonts w:asciiTheme="majorBidi" w:hAnsiTheme="majorBidi" w:cstheme="majorBidi"/>
          <w:bCs/>
          <w:sz w:val="24"/>
          <w:szCs w:val="24"/>
        </w:rPr>
        <w:t>dignified death</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spared pain</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emotionally</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financially</w:t>
      </w:r>
      <w:r w:rsidRPr="001F64A9">
        <w:rPr>
          <w:rFonts w:asciiTheme="majorBidi" w:eastAsia="Times New Roman" w:hAnsiTheme="majorBidi" w:cstheme="majorBidi"/>
          <w:bCs/>
          <w:sz w:val="24"/>
          <w:szCs w:val="24"/>
        </w:rPr>
        <w:t xml:space="preserve">, dependence). </w:t>
      </w:r>
      <w:r w:rsidRPr="001F64A9">
        <w:rPr>
          <w:rFonts w:asciiTheme="majorBidi" w:hAnsiTheme="majorBidi" w:cstheme="majorBidi"/>
          <w:sz w:val="24"/>
          <w:szCs w:val="24"/>
        </w:rPr>
        <w:t>The instructions and 8 items were following:</w:t>
      </w:r>
    </w:p>
    <w:p w14:paraId="77FF8537" w14:textId="77777777" w:rsidR="00EE5072" w:rsidRPr="001F64A9" w:rsidRDefault="00EE5072" w:rsidP="00EE5072">
      <w:pPr>
        <w:spacing w:line="480" w:lineRule="auto"/>
        <w:ind w:firstLine="360"/>
        <w:rPr>
          <w:rFonts w:asciiTheme="majorBidi" w:hAnsiTheme="majorBidi" w:cstheme="majorBidi"/>
          <w:sz w:val="24"/>
          <w:szCs w:val="24"/>
        </w:rPr>
      </w:pPr>
      <w:r w:rsidRPr="001F64A9">
        <w:rPr>
          <w:rFonts w:asciiTheme="majorBidi" w:hAnsiTheme="majorBidi" w:cstheme="majorBidi"/>
          <w:sz w:val="24"/>
          <w:szCs w:val="24"/>
        </w:rPr>
        <w:t>How important is/are:</w:t>
      </w:r>
    </w:p>
    <w:p w14:paraId="20A68871" w14:textId="77777777" w:rsidR="00EE5072" w:rsidRPr="001F64A9" w:rsidRDefault="00EE5072" w:rsidP="00EE5072">
      <w:pPr>
        <w:pStyle w:val="ListParagraph"/>
        <w:numPr>
          <w:ilvl w:val="0"/>
          <w:numId w:val="4"/>
        </w:numPr>
        <w:spacing w:line="480" w:lineRule="auto"/>
        <w:rPr>
          <w:rFonts w:asciiTheme="majorBidi" w:hAnsiTheme="majorBidi" w:cstheme="majorBidi"/>
          <w:sz w:val="24"/>
          <w:szCs w:val="24"/>
        </w:rPr>
      </w:pPr>
      <w:r w:rsidRPr="001F64A9">
        <w:rPr>
          <w:rFonts w:asciiTheme="majorBidi" w:hAnsiTheme="majorBidi" w:cstheme="majorBidi"/>
          <w:sz w:val="24"/>
          <w:szCs w:val="24"/>
        </w:rPr>
        <w:t>Your religious beliefs?</w:t>
      </w:r>
    </w:p>
    <w:p w14:paraId="2FCD1B76" w14:textId="77777777" w:rsidR="00EE5072" w:rsidRPr="001F64A9" w:rsidRDefault="00EE5072" w:rsidP="00EE5072">
      <w:pPr>
        <w:pStyle w:val="ListParagraph"/>
        <w:numPr>
          <w:ilvl w:val="0"/>
          <w:numId w:val="4"/>
        </w:numPr>
        <w:spacing w:line="480" w:lineRule="auto"/>
        <w:rPr>
          <w:rFonts w:asciiTheme="majorBidi" w:hAnsiTheme="majorBidi" w:cstheme="majorBidi"/>
          <w:sz w:val="24"/>
          <w:szCs w:val="24"/>
        </w:rPr>
      </w:pPr>
      <w:r w:rsidRPr="001F64A9">
        <w:rPr>
          <w:rFonts w:asciiTheme="majorBidi" w:hAnsiTheme="majorBidi" w:cstheme="majorBidi"/>
          <w:sz w:val="24"/>
          <w:szCs w:val="24"/>
        </w:rPr>
        <w:t>Your wish to have a dignified death?</w:t>
      </w:r>
    </w:p>
    <w:p w14:paraId="6AA3517C" w14:textId="77777777" w:rsidR="00EE5072" w:rsidRPr="001F64A9" w:rsidRDefault="00EE5072" w:rsidP="00EE5072">
      <w:pPr>
        <w:pStyle w:val="ListParagraph"/>
        <w:numPr>
          <w:ilvl w:val="0"/>
          <w:numId w:val="4"/>
        </w:numPr>
        <w:spacing w:line="480" w:lineRule="auto"/>
        <w:rPr>
          <w:rFonts w:asciiTheme="majorBidi" w:hAnsiTheme="majorBidi" w:cstheme="majorBidi"/>
          <w:sz w:val="24"/>
          <w:szCs w:val="24"/>
        </w:rPr>
      </w:pPr>
      <w:r w:rsidRPr="001F64A9">
        <w:rPr>
          <w:rFonts w:asciiTheme="majorBidi" w:hAnsiTheme="majorBidi" w:cstheme="majorBidi"/>
          <w:sz w:val="24"/>
          <w:szCs w:val="24"/>
        </w:rPr>
        <w:t>Your wish to be spared pain?</w:t>
      </w:r>
    </w:p>
    <w:p w14:paraId="1679F72A" w14:textId="77777777" w:rsidR="00EE5072" w:rsidRPr="001F64A9" w:rsidRDefault="00EE5072" w:rsidP="00EE5072">
      <w:pPr>
        <w:pStyle w:val="ListParagraph"/>
        <w:numPr>
          <w:ilvl w:val="0"/>
          <w:numId w:val="4"/>
        </w:numPr>
        <w:spacing w:line="480" w:lineRule="auto"/>
        <w:rPr>
          <w:rFonts w:asciiTheme="majorBidi" w:hAnsiTheme="majorBidi" w:cstheme="majorBidi"/>
          <w:sz w:val="24"/>
          <w:szCs w:val="24"/>
        </w:rPr>
      </w:pPr>
      <w:r w:rsidRPr="001F64A9">
        <w:rPr>
          <w:rFonts w:asciiTheme="majorBidi" w:hAnsiTheme="majorBidi" w:cstheme="majorBidi"/>
          <w:sz w:val="24"/>
          <w:szCs w:val="24"/>
        </w:rPr>
        <w:t>Your wish to avoid burdening family and friends emotionally?</w:t>
      </w:r>
    </w:p>
    <w:p w14:paraId="600BB60F" w14:textId="77777777" w:rsidR="00EE5072" w:rsidRPr="001F64A9" w:rsidRDefault="00EE5072" w:rsidP="00EE5072">
      <w:pPr>
        <w:pStyle w:val="ListParagraph"/>
        <w:numPr>
          <w:ilvl w:val="0"/>
          <w:numId w:val="4"/>
        </w:numPr>
        <w:spacing w:line="480" w:lineRule="auto"/>
        <w:rPr>
          <w:rFonts w:asciiTheme="majorBidi" w:hAnsiTheme="majorBidi" w:cstheme="majorBidi"/>
          <w:sz w:val="24"/>
          <w:szCs w:val="24"/>
        </w:rPr>
      </w:pPr>
      <w:r w:rsidRPr="001F64A9">
        <w:rPr>
          <w:rFonts w:asciiTheme="majorBidi" w:hAnsiTheme="majorBidi" w:cstheme="majorBidi"/>
          <w:sz w:val="24"/>
          <w:szCs w:val="24"/>
        </w:rPr>
        <w:t>Your wish to avoid burdening others financially?</w:t>
      </w:r>
    </w:p>
    <w:p w14:paraId="3C54594E" w14:textId="77777777" w:rsidR="00EE5072" w:rsidRPr="001F64A9" w:rsidRDefault="00EE5072" w:rsidP="00EE5072">
      <w:pPr>
        <w:pStyle w:val="ListParagraph"/>
        <w:numPr>
          <w:ilvl w:val="0"/>
          <w:numId w:val="4"/>
        </w:numPr>
        <w:spacing w:line="480" w:lineRule="auto"/>
        <w:rPr>
          <w:rFonts w:asciiTheme="majorBidi" w:hAnsiTheme="majorBidi" w:cstheme="majorBidi"/>
          <w:sz w:val="24"/>
          <w:szCs w:val="24"/>
        </w:rPr>
      </w:pPr>
      <w:r w:rsidRPr="001F64A9">
        <w:rPr>
          <w:rFonts w:asciiTheme="majorBidi" w:hAnsiTheme="majorBidi" w:cstheme="majorBidi"/>
          <w:sz w:val="24"/>
          <w:szCs w:val="24"/>
        </w:rPr>
        <w:t>Your wish to avoid being dependent on others?</w:t>
      </w:r>
    </w:p>
    <w:p w14:paraId="0AF2E8D8" w14:textId="77777777" w:rsidR="00EE5072" w:rsidRPr="001F64A9" w:rsidRDefault="00EE5072" w:rsidP="00EE5072">
      <w:pPr>
        <w:pStyle w:val="ListParagraph"/>
        <w:numPr>
          <w:ilvl w:val="0"/>
          <w:numId w:val="4"/>
        </w:numPr>
        <w:spacing w:line="480" w:lineRule="auto"/>
        <w:rPr>
          <w:rFonts w:asciiTheme="majorBidi" w:hAnsiTheme="majorBidi" w:cstheme="majorBidi"/>
          <w:sz w:val="24"/>
          <w:szCs w:val="24"/>
        </w:rPr>
      </w:pPr>
      <w:r w:rsidRPr="001F64A9">
        <w:rPr>
          <w:rFonts w:asciiTheme="majorBidi" w:hAnsiTheme="majorBidi" w:cstheme="majorBidi"/>
          <w:sz w:val="24"/>
          <w:szCs w:val="24"/>
        </w:rPr>
        <w:t>The wishes of other family members regarding your care?</w:t>
      </w:r>
    </w:p>
    <w:p w14:paraId="23DB6257" w14:textId="77777777" w:rsidR="00EE5072" w:rsidRPr="001F64A9" w:rsidRDefault="00EE5072" w:rsidP="00EE5072">
      <w:pPr>
        <w:pStyle w:val="ListParagraph"/>
        <w:numPr>
          <w:ilvl w:val="0"/>
          <w:numId w:val="4"/>
        </w:numPr>
        <w:spacing w:line="480" w:lineRule="auto"/>
        <w:rPr>
          <w:rFonts w:asciiTheme="majorBidi" w:hAnsiTheme="majorBidi" w:cstheme="majorBidi"/>
          <w:sz w:val="24"/>
          <w:szCs w:val="24"/>
        </w:rPr>
      </w:pPr>
      <w:r w:rsidRPr="001F64A9">
        <w:rPr>
          <w:rFonts w:asciiTheme="majorBidi" w:hAnsiTheme="majorBidi" w:cstheme="majorBidi"/>
          <w:sz w:val="24"/>
          <w:szCs w:val="24"/>
        </w:rPr>
        <w:t>Your wish to live as long as possible?</w:t>
      </w:r>
    </w:p>
    <w:p w14:paraId="32585C1A" w14:textId="77777777" w:rsidR="00EE5072" w:rsidRPr="001F64A9" w:rsidRDefault="00EE5072" w:rsidP="00EE5072">
      <w:pPr>
        <w:spacing w:line="480" w:lineRule="auto"/>
        <w:ind w:firstLine="360"/>
        <w:rPr>
          <w:rFonts w:asciiTheme="majorBidi" w:hAnsiTheme="majorBidi" w:cstheme="majorBidi"/>
          <w:sz w:val="24"/>
          <w:szCs w:val="24"/>
        </w:rPr>
      </w:pPr>
      <w:r w:rsidRPr="001F64A9">
        <w:rPr>
          <w:rFonts w:asciiTheme="majorBidi" w:hAnsiTheme="majorBidi" w:cstheme="majorBidi"/>
          <w:sz w:val="24"/>
          <w:szCs w:val="24"/>
        </w:rPr>
        <w:t xml:space="preserve">In order to measure preference about getting </w:t>
      </w:r>
      <w:r w:rsidRPr="001F64A9">
        <w:rPr>
          <w:rFonts w:asciiTheme="majorBidi" w:hAnsiTheme="majorBidi" w:cstheme="majorBidi"/>
          <w:sz w:val="24"/>
          <w:szCs w:val="24"/>
          <w:shd w:val="clear" w:color="auto" w:fill="FFFFFF"/>
        </w:rPr>
        <w:t xml:space="preserve">cardiopulmonary resuscitation (CPR) / </w:t>
      </w:r>
      <w:r w:rsidRPr="001F64A9">
        <w:rPr>
          <w:rFonts w:asciiTheme="majorBidi" w:hAnsiTheme="majorBidi" w:cstheme="majorBidi"/>
          <w:i/>
          <w:iCs/>
          <w:sz w:val="24"/>
          <w:szCs w:val="24"/>
          <w:shd w:val="clear" w:color="auto" w:fill="FFFFFF"/>
        </w:rPr>
        <w:t>intermediate support</w:t>
      </w:r>
      <w:r w:rsidRPr="001F64A9">
        <w:rPr>
          <w:rFonts w:asciiTheme="majorBidi" w:hAnsiTheme="majorBidi" w:cstheme="majorBidi"/>
          <w:sz w:val="24"/>
          <w:szCs w:val="24"/>
          <w:shd w:val="clear" w:color="auto" w:fill="FFFFFF"/>
        </w:rPr>
        <w:t>-Allow Natural Death order (AND) / do-not-resuscitate order (DNR), following question was presented:</w:t>
      </w:r>
    </w:p>
    <w:p w14:paraId="02D229A4" w14:textId="77777777" w:rsidR="00EE5072" w:rsidRPr="001F64A9" w:rsidRDefault="00EE5072" w:rsidP="00EE5072">
      <w:pPr>
        <w:pStyle w:val="ListParagraph"/>
        <w:numPr>
          <w:ilvl w:val="0"/>
          <w:numId w:val="6"/>
        </w:numPr>
        <w:spacing w:after="0" w:line="480" w:lineRule="auto"/>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If you were to get so sick that your heart stopped beating, would you want doctors to perform [cardiopulmonary resuscitation (CPR) / have intermediate support-Allow Natural Death order (AND) / have do-not-resuscitate order (DNR)] on you in this case? (Yes / No)</w:t>
      </w:r>
    </w:p>
    <w:p w14:paraId="53942409" w14:textId="77777777" w:rsidR="00EE5072" w:rsidRPr="001F64A9" w:rsidRDefault="00EE5072" w:rsidP="00EE5072">
      <w:pPr>
        <w:spacing w:after="0" w:line="480" w:lineRule="auto"/>
        <w:ind w:firstLine="360"/>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t xml:space="preserve">Procedure. </w:t>
      </w:r>
      <w:r w:rsidRPr="001F64A9">
        <w:rPr>
          <w:rFonts w:asciiTheme="majorBidi" w:eastAsia="Times New Roman" w:hAnsiTheme="majorBidi" w:cstheme="majorBidi"/>
          <w:sz w:val="24"/>
          <w:szCs w:val="24"/>
        </w:rPr>
        <w:t xml:space="preserve">The experiment was hosted online through Qualtrics program. The participants were randomly assigned to one of the three groups: CPR, </w:t>
      </w:r>
      <w:r w:rsidRPr="001F64A9">
        <w:rPr>
          <w:rFonts w:asciiTheme="majorBidi" w:eastAsia="Times New Roman" w:hAnsiTheme="majorBidi" w:cstheme="majorBidi"/>
          <w:i/>
          <w:iCs/>
          <w:sz w:val="24"/>
          <w:szCs w:val="24"/>
        </w:rPr>
        <w:t>intermediate support</w:t>
      </w:r>
      <w:r w:rsidRPr="001F64A9">
        <w:rPr>
          <w:rFonts w:asciiTheme="majorBidi" w:eastAsia="Times New Roman" w:hAnsiTheme="majorBidi" w:cstheme="majorBidi"/>
          <w:sz w:val="24"/>
          <w:szCs w:val="24"/>
        </w:rPr>
        <w:t xml:space="preserve">-AND, and DNR. The participants were asked to respond on EOL values scale for pre-test measurement so that </w:t>
      </w:r>
      <w:r w:rsidRPr="001F64A9">
        <w:rPr>
          <w:rFonts w:asciiTheme="majorBidi" w:eastAsia="Times New Roman" w:hAnsiTheme="majorBidi" w:cstheme="majorBidi"/>
          <w:sz w:val="24"/>
          <w:szCs w:val="24"/>
        </w:rPr>
        <w:lastRenderedPageBreak/>
        <w:t xml:space="preserve">manipulations could not have any effect on values ratings. The participants were then asked to select all the interventions which do not apply in CPR/AND/DNR (respective to their assigned condition) from the 11-item checklist. A total number of correct responses was used in the analyses. After completing the checklist task, participants were asked to respond to preference questions and rate the emotional valence. </w:t>
      </w:r>
    </w:p>
    <w:p w14:paraId="75375498" w14:textId="77777777" w:rsidR="00EE5072" w:rsidRPr="001F64A9" w:rsidRDefault="00EE5072" w:rsidP="00EE5072">
      <w:pPr>
        <w:spacing w:after="0" w:line="480" w:lineRule="auto"/>
        <w:rPr>
          <w:rFonts w:asciiTheme="majorBidi" w:hAnsiTheme="majorBidi" w:cstheme="majorBidi"/>
          <w:b/>
          <w:bCs/>
          <w:sz w:val="24"/>
          <w:szCs w:val="24"/>
          <w:shd w:val="clear" w:color="auto" w:fill="FFFFFF"/>
        </w:rPr>
      </w:pPr>
      <w:r w:rsidRPr="001F64A9">
        <w:rPr>
          <w:rFonts w:asciiTheme="majorBidi" w:hAnsiTheme="majorBidi" w:cstheme="majorBidi"/>
          <w:b/>
          <w:bCs/>
          <w:sz w:val="24"/>
          <w:szCs w:val="24"/>
          <w:shd w:val="clear" w:color="auto" w:fill="FFFFFF"/>
        </w:rPr>
        <w:t>Results and Discussion</w:t>
      </w:r>
    </w:p>
    <w:p w14:paraId="66B54E91" w14:textId="77777777" w:rsidR="00EE5072" w:rsidRPr="001F64A9" w:rsidRDefault="00EE5072" w:rsidP="00EE5072">
      <w:pPr>
        <w:spacing w:after="0" w:line="480" w:lineRule="auto"/>
        <w:ind w:firstLine="720"/>
        <w:rPr>
          <w:rFonts w:asciiTheme="majorBidi" w:hAnsiTheme="majorBidi" w:cstheme="majorBidi"/>
          <w:b/>
          <w:bCs/>
          <w:sz w:val="24"/>
          <w:szCs w:val="24"/>
          <w:shd w:val="clear" w:color="auto" w:fill="FFFFFF"/>
        </w:rPr>
      </w:pPr>
      <w:r w:rsidRPr="001F64A9">
        <w:rPr>
          <w:rFonts w:asciiTheme="majorBidi" w:hAnsiTheme="majorBidi" w:cstheme="majorBidi"/>
          <w:b/>
          <w:bCs/>
          <w:sz w:val="24"/>
          <w:szCs w:val="24"/>
          <w:shd w:val="clear" w:color="auto" w:fill="FFFFFF"/>
        </w:rPr>
        <w:t xml:space="preserve">CPR Understanding. </w:t>
      </w:r>
      <w:r w:rsidRPr="001F64A9">
        <w:rPr>
          <w:rFonts w:asciiTheme="majorBidi" w:hAnsiTheme="majorBidi" w:cstheme="majorBidi"/>
          <w:sz w:val="24"/>
          <w:szCs w:val="24"/>
        </w:rPr>
        <w:t xml:space="preserve">For the understanding scores on CPR, AND, and DNR, a one-way ANOVA suggested non-significant overall differences, </w:t>
      </w:r>
      <w:r w:rsidRPr="001F64A9">
        <w:rPr>
          <w:rFonts w:asciiTheme="majorBidi" w:hAnsiTheme="majorBidi" w:cstheme="majorBidi"/>
          <w:i/>
          <w:iCs/>
          <w:sz w:val="24"/>
          <w:szCs w:val="24"/>
        </w:rPr>
        <w:t>F</w:t>
      </w:r>
      <w:r w:rsidRPr="001F64A9">
        <w:rPr>
          <w:rFonts w:asciiTheme="majorBidi" w:hAnsiTheme="majorBidi" w:cstheme="majorBidi"/>
          <w:sz w:val="24"/>
          <w:szCs w:val="24"/>
        </w:rPr>
        <w:t xml:space="preserve">(2, 278) = .99, </w:t>
      </w:r>
      <w:r w:rsidRPr="001F64A9">
        <w:rPr>
          <w:rFonts w:asciiTheme="majorBidi" w:hAnsiTheme="majorBidi" w:cstheme="majorBidi"/>
          <w:i/>
          <w:iCs/>
          <w:sz w:val="24"/>
          <w:szCs w:val="24"/>
        </w:rPr>
        <w:t>p</w:t>
      </w:r>
      <w:r w:rsidRPr="001F64A9">
        <w:rPr>
          <w:rFonts w:asciiTheme="majorBidi" w:hAnsiTheme="majorBidi" w:cstheme="majorBidi"/>
          <w:sz w:val="24"/>
          <w:szCs w:val="24"/>
        </w:rPr>
        <w:t xml:space="preserve"> = .37, </w:t>
      </w:r>
      <w:r w:rsidRPr="001F64A9">
        <w:rPr>
          <w:rFonts w:asciiTheme="majorBidi" w:hAnsiTheme="majorBidi" w:cstheme="majorBidi"/>
          <w:i/>
          <w:iCs/>
          <w:sz w:val="24"/>
          <w:szCs w:val="24"/>
        </w:rPr>
        <w:t>η</w:t>
      </w:r>
      <w:r w:rsidRPr="001F64A9">
        <w:rPr>
          <w:rFonts w:asciiTheme="majorBidi" w:hAnsiTheme="majorBidi" w:cstheme="majorBidi"/>
          <w:i/>
          <w:iCs/>
          <w:sz w:val="24"/>
          <w:szCs w:val="24"/>
          <w:vertAlign w:val="superscript"/>
        </w:rPr>
        <w:t>2</w:t>
      </w:r>
      <w:r w:rsidRPr="001F64A9">
        <w:rPr>
          <w:rFonts w:asciiTheme="majorBidi" w:hAnsiTheme="majorBidi" w:cstheme="majorBidi"/>
          <w:sz w:val="24"/>
          <w:szCs w:val="24"/>
          <w:vertAlign w:val="superscript"/>
        </w:rPr>
        <w:t xml:space="preserve"> </w:t>
      </w:r>
      <w:r w:rsidRPr="001F64A9">
        <w:rPr>
          <w:rFonts w:asciiTheme="majorBidi" w:hAnsiTheme="majorBidi" w:cstheme="majorBidi"/>
          <w:sz w:val="24"/>
          <w:szCs w:val="24"/>
        </w:rPr>
        <w:t>= .02. Consequently, the post-hoc analyses for paired-wise comparisons indicated the understanding score differences in AND group (</w:t>
      </w:r>
      <w:r w:rsidRPr="001F64A9">
        <w:rPr>
          <w:rFonts w:asciiTheme="majorBidi" w:hAnsiTheme="majorBidi" w:cstheme="majorBidi"/>
          <w:i/>
          <w:iCs/>
          <w:sz w:val="24"/>
          <w:szCs w:val="24"/>
        </w:rPr>
        <w:t>M</w:t>
      </w:r>
      <w:r w:rsidRPr="001F64A9">
        <w:rPr>
          <w:rFonts w:asciiTheme="majorBidi" w:hAnsiTheme="majorBidi" w:cstheme="majorBidi"/>
          <w:sz w:val="24"/>
          <w:szCs w:val="24"/>
        </w:rPr>
        <w:t xml:space="preserve"> = 7.11, </w:t>
      </w:r>
      <w:r w:rsidRPr="001F64A9">
        <w:rPr>
          <w:rFonts w:asciiTheme="majorBidi" w:hAnsiTheme="majorBidi" w:cstheme="majorBidi"/>
          <w:i/>
          <w:iCs/>
          <w:sz w:val="24"/>
          <w:szCs w:val="24"/>
        </w:rPr>
        <w:t>SD</w:t>
      </w:r>
      <w:r w:rsidRPr="001F64A9">
        <w:rPr>
          <w:rFonts w:asciiTheme="majorBidi" w:hAnsiTheme="majorBidi" w:cstheme="majorBidi"/>
          <w:sz w:val="24"/>
          <w:szCs w:val="24"/>
        </w:rPr>
        <w:t xml:space="preserve"> = 2.47), CPR group (</w:t>
      </w:r>
      <w:r w:rsidRPr="001F64A9">
        <w:rPr>
          <w:rFonts w:asciiTheme="majorBidi" w:hAnsiTheme="majorBidi" w:cstheme="majorBidi"/>
          <w:i/>
          <w:iCs/>
          <w:sz w:val="24"/>
          <w:szCs w:val="24"/>
        </w:rPr>
        <w:t>M</w:t>
      </w:r>
      <w:r w:rsidRPr="001F64A9">
        <w:rPr>
          <w:rFonts w:asciiTheme="majorBidi" w:hAnsiTheme="majorBidi" w:cstheme="majorBidi"/>
          <w:sz w:val="24"/>
          <w:szCs w:val="24"/>
        </w:rPr>
        <w:t xml:space="preserve"> = 6.62, </w:t>
      </w:r>
      <w:r w:rsidRPr="001F64A9">
        <w:rPr>
          <w:rFonts w:asciiTheme="majorBidi" w:hAnsiTheme="majorBidi" w:cstheme="majorBidi"/>
          <w:i/>
          <w:iCs/>
          <w:sz w:val="24"/>
          <w:szCs w:val="24"/>
        </w:rPr>
        <w:t>SD</w:t>
      </w:r>
      <w:r w:rsidRPr="001F64A9">
        <w:rPr>
          <w:rFonts w:asciiTheme="majorBidi" w:hAnsiTheme="majorBidi" w:cstheme="majorBidi"/>
          <w:sz w:val="24"/>
          <w:szCs w:val="24"/>
        </w:rPr>
        <w:t xml:space="preserve"> = 2.57), and DNR groups (</w:t>
      </w:r>
      <w:r w:rsidRPr="001F64A9">
        <w:rPr>
          <w:rFonts w:asciiTheme="majorBidi" w:hAnsiTheme="majorBidi" w:cstheme="majorBidi"/>
          <w:i/>
          <w:iCs/>
          <w:sz w:val="24"/>
          <w:szCs w:val="24"/>
        </w:rPr>
        <w:t>M</w:t>
      </w:r>
      <w:r w:rsidRPr="001F64A9">
        <w:rPr>
          <w:rFonts w:asciiTheme="majorBidi" w:hAnsiTheme="majorBidi" w:cstheme="majorBidi"/>
          <w:sz w:val="24"/>
          <w:szCs w:val="24"/>
        </w:rPr>
        <w:t xml:space="preserve"> = 7.07, </w:t>
      </w:r>
      <w:r w:rsidRPr="001F64A9">
        <w:rPr>
          <w:rFonts w:asciiTheme="majorBidi" w:hAnsiTheme="majorBidi" w:cstheme="majorBidi"/>
          <w:i/>
          <w:iCs/>
          <w:sz w:val="24"/>
          <w:szCs w:val="24"/>
        </w:rPr>
        <w:t>SD</w:t>
      </w:r>
      <w:r w:rsidRPr="001F64A9">
        <w:rPr>
          <w:rFonts w:asciiTheme="majorBidi" w:hAnsiTheme="majorBidi" w:cstheme="majorBidi"/>
          <w:sz w:val="24"/>
          <w:szCs w:val="24"/>
        </w:rPr>
        <w:t xml:space="preserve"> = 2.93) were non-significant (see Table 3, Figure 5). Although, the scores’ comparative magnitude of understanding scores was in the same order as in Experiment 1a: AND &gt; DNR &gt; CPR. </w:t>
      </w:r>
    </w:p>
    <w:p w14:paraId="5493FA8C" w14:textId="77777777" w:rsidR="00EE5072" w:rsidRPr="001F64A9" w:rsidRDefault="00EE5072" w:rsidP="00EE5072">
      <w:pPr>
        <w:spacing w:line="480" w:lineRule="auto"/>
        <w:ind w:firstLine="720"/>
        <w:rPr>
          <w:rFonts w:asciiTheme="majorBidi" w:hAnsiTheme="majorBidi" w:cstheme="majorBidi"/>
          <w:b/>
          <w:bCs/>
          <w:sz w:val="24"/>
          <w:szCs w:val="24"/>
        </w:rPr>
      </w:pPr>
      <w:r w:rsidRPr="001F64A9">
        <w:rPr>
          <w:rFonts w:asciiTheme="majorBidi" w:hAnsiTheme="majorBidi" w:cstheme="majorBidi"/>
          <w:b/>
          <w:bCs/>
          <w:sz w:val="24"/>
          <w:szCs w:val="24"/>
        </w:rPr>
        <w:t xml:space="preserve">Negative Valence. </w:t>
      </w:r>
      <w:r w:rsidRPr="001F64A9">
        <w:rPr>
          <w:rFonts w:asciiTheme="majorBidi" w:hAnsiTheme="majorBidi" w:cstheme="majorBidi"/>
          <w:sz w:val="24"/>
          <w:szCs w:val="24"/>
        </w:rPr>
        <w:t xml:space="preserve">The ANOVA model for negative valence across the three conditions (CPR, AND, DNR) was significant, </w:t>
      </w:r>
      <w:r w:rsidRPr="001F64A9">
        <w:rPr>
          <w:rFonts w:asciiTheme="majorBidi" w:hAnsiTheme="majorBidi" w:cstheme="majorBidi"/>
          <w:i/>
          <w:iCs/>
          <w:sz w:val="24"/>
          <w:szCs w:val="24"/>
        </w:rPr>
        <w:t>F</w:t>
      </w:r>
      <w:r w:rsidRPr="001F64A9">
        <w:rPr>
          <w:rFonts w:asciiTheme="majorBidi" w:hAnsiTheme="majorBidi" w:cstheme="majorBidi"/>
          <w:sz w:val="24"/>
          <w:szCs w:val="24"/>
        </w:rPr>
        <w:t xml:space="preserve">(2, 278) = 7.64, </w:t>
      </w:r>
      <w:r w:rsidRPr="001F64A9">
        <w:rPr>
          <w:rFonts w:asciiTheme="majorBidi" w:hAnsiTheme="majorBidi" w:cstheme="majorBidi"/>
          <w:i/>
          <w:iCs/>
          <w:sz w:val="24"/>
          <w:szCs w:val="24"/>
        </w:rPr>
        <w:t>p</w:t>
      </w:r>
      <w:r w:rsidRPr="001F64A9">
        <w:rPr>
          <w:rFonts w:asciiTheme="majorBidi" w:hAnsiTheme="majorBidi" w:cstheme="majorBidi"/>
          <w:sz w:val="24"/>
          <w:szCs w:val="24"/>
        </w:rPr>
        <w:t xml:space="preserve"> &lt; .001, </w:t>
      </w:r>
      <w:r w:rsidRPr="001F64A9">
        <w:rPr>
          <w:rFonts w:asciiTheme="majorBidi" w:hAnsiTheme="majorBidi" w:cstheme="majorBidi"/>
          <w:i/>
          <w:iCs/>
          <w:sz w:val="24"/>
          <w:szCs w:val="24"/>
        </w:rPr>
        <w:t>η</w:t>
      </w:r>
      <w:r w:rsidRPr="001F64A9">
        <w:rPr>
          <w:rFonts w:asciiTheme="majorBidi" w:hAnsiTheme="majorBidi" w:cstheme="majorBidi"/>
          <w:i/>
          <w:iCs/>
          <w:sz w:val="24"/>
          <w:szCs w:val="24"/>
          <w:vertAlign w:val="superscript"/>
        </w:rPr>
        <w:t>2</w:t>
      </w:r>
      <w:r w:rsidRPr="001F64A9">
        <w:rPr>
          <w:rFonts w:asciiTheme="majorBidi" w:hAnsiTheme="majorBidi" w:cstheme="majorBidi"/>
          <w:sz w:val="24"/>
          <w:szCs w:val="24"/>
          <w:vertAlign w:val="superscript"/>
        </w:rPr>
        <w:t xml:space="preserve"> </w:t>
      </w:r>
      <w:r w:rsidRPr="001F64A9">
        <w:rPr>
          <w:rFonts w:asciiTheme="majorBidi" w:hAnsiTheme="majorBidi" w:cstheme="majorBidi"/>
          <w:sz w:val="24"/>
          <w:szCs w:val="24"/>
        </w:rPr>
        <w:t>= .05. The post-hoc analyses for paired-wise comparisons indicated the negative valence score scores in CPR group (</w:t>
      </w:r>
      <w:r w:rsidRPr="001F64A9">
        <w:rPr>
          <w:rFonts w:asciiTheme="majorBidi" w:hAnsiTheme="majorBidi" w:cstheme="majorBidi"/>
          <w:i/>
          <w:iCs/>
          <w:sz w:val="24"/>
          <w:szCs w:val="24"/>
        </w:rPr>
        <w:t>M</w:t>
      </w:r>
      <w:r w:rsidRPr="001F64A9">
        <w:rPr>
          <w:rFonts w:asciiTheme="majorBidi" w:hAnsiTheme="majorBidi" w:cstheme="majorBidi"/>
          <w:sz w:val="24"/>
          <w:szCs w:val="24"/>
        </w:rPr>
        <w:t xml:space="preserve"> = 2.04, </w:t>
      </w:r>
      <w:r w:rsidRPr="001F64A9">
        <w:rPr>
          <w:rFonts w:asciiTheme="majorBidi" w:hAnsiTheme="majorBidi" w:cstheme="majorBidi"/>
          <w:i/>
          <w:iCs/>
          <w:sz w:val="24"/>
          <w:szCs w:val="24"/>
        </w:rPr>
        <w:t>SD</w:t>
      </w:r>
      <w:r w:rsidRPr="001F64A9">
        <w:rPr>
          <w:rFonts w:asciiTheme="majorBidi" w:hAnsiTheme="majorBidi" w:cstheme="majorBidi"/>
          <w:sz w:val="24"/>
          <w:szCs w:val="24"/>
        </w:rPr>
        <w:t xml:space="preserve"> = 1.13) were significantly lower than AND group (</w:t>
      </w:r>
      <w:r w:rsidRPr="001F64A9">
        <w:rPr>
          <w:rFonts w:asciiTheme="majorBidi" w:hAnsiTheme="majorBidi" w:cstheme="majorBidi"/>
          <w:i/>
          <w:iCs/>
          <w:sz w:val="24"/>
          <w:szCs w:val="24"/>
        </w:rPr>
        <w:t>M</w:t>
      </w:r>
      <w:r w:rsidRPr="001F64A9">
        <w:rPr>
          <w:rFonts w:asciiTheme="majorBidi" w:hAnsiTheme="majorBidi" w:cstheme="majorBidi"/>
          <w:sz w:val="24"/>
          <w:szCs w:val="24"/>
        </w:rPr>
        <w:t xml:space="preserve"> = 2.71, </w:t>
      </w:r>
      <w:r w:rsidRPr="001F64A9">
        <w:rPr>
          <w:rFonts w:asciiTheme="majorBidi" w:hAnsiTheme="majorBidi" w:cstheme="majorBidi"/>
          <w:i/>
          <w:iCs/>
          <w:sz w:val="24"/>
          <w:szCs w:val="24"/>
        </w:rPr>
        <w:t>SD</w:t>
      </w:r>
      <w:r w:rsidRPr="001F64A9">
        <w:rPr>
          <w:rFonts w:asciiTheme="majorBidi" w:hAnsiTheme="majorBidi" w:cstheme="majorBidi"/>
          <w:sz w:val="24"/>
          <w:szCs w:val="24"/>
        </w:rPr>
        <w:t xml:space="preserve"> = 1.20) and DNR groups (</w:t>
      </w:r>
      <w:r w:rsidRPr="001F64A9">
        <w:rPr>
          <w:rFonts w:asciiTheme="majorBidi" w:hAnsiTheme="majorBidi" w:cstheme="majorBidi"/>
          <w:i/>
          <w:iCs/>
          <w:sz w:val="24"/>
          <w:szCs w:val="24"/>
        </w:rPr>
        <w:t>M</w:t>
      </w:r>
      <w:r w:rsidRPr="001F64A9">
        <w:rPr>
          <w:rFonts w:asciiTheme="majorBidi" w:hAnsiTheme="majorBidi" w:cstheme="majorBidi"/>
          <w:sz w:val="24"/>
          <w:szCs w:val="24"/>
        </w:rPr>
        <w:t xml:space="preserve"> = 2.46, </w:t>
      </w:r>
      <w:r w:rsidRPr="001F64A9">
        <w:rPr>
          <w:rFonts w:asciiTheme="majorBidi" w:hAnsiTheme="majorBidi" w:cstheme="majorBidi"/>
          <w:i/>
          <w:iCs/>
          <w:sz w:val="24"/>
          <w:szCs w:val="24"/>
        </w:rPr>
        <w:t>SD</w:t>
      </w:r>
      <w:r w:rsidRPr="001F64A9">
        <w:rPr>
          <w:rFonts w:asciiTheme="majorBidi" w:hAnsiTheme="majorBidi" w:cstheme="majorBidi"/>
          <w:sz w:val="24"/>
          <w:szCs w:val="24"/>
        </w:rPr>
        <w:t xml:space="preserve"> = 1.21). While the difference between AND and DNR were non-significant (see Table 4, Figure 6).</w:t>
      </w:r>
    </w:p>
    <w:p w14:paraId="4BFFBFF3" w14:textId="77777777" w:rsidR="00EE5072" w:rsidRPr="001F64A9" w:rsidRDefault="00EE5072" w:rsidP="00EE5072">
      <w:pPr>
        <w:spacing w:line="480" w:lineRule="auto"/>
        <w:ind w:firstLine="720"/>
        <w:rPr>
          <w:rFonts w:asciiTheme="majorBidi" w:hAnsiTheme="majorBidi" w:cstheme="majorBidi"/>
          <w:b/>
          <w:bCs/>
          <w:sz w:val="24"/>
          <w:szCs w:val="24"/>
        </w:rPr>
      </w:pPr>
      <w:r w:rsidRPr="001F64A9">
        <w:rPr>
          <w:rFonts w:asciiTheme="majorBidi" w:hAnsiTheme="majorBidi" w:cstheme="majorBidi"/>
          <w:b/>
          <w:bCs/>
          <w:sz w:val="24"/>
          <w:szCs w:val="24"/>
        </w:rPr>
        <w:t>DNR Preference.</w:t>
      </w:r>
      <w:r w:rsidRPr="001F64A9">
        <w:rPr>
          <w:rFonts w:asciiTheme="majorBidi" w:hAnsiTheme="majorBidi" w:cstheme="majorBidi"/>
          <w:b/>
          <w:bCs/>
          <w:i/>
          <w:iCs/>
          <w:sz w:val="24"/>
          <w:szCs w:val="24"/>
        </w:rPr>
        <w:t xml:space="preserve"> </w:t>
      </w:r>
      <w:r w:rsidRPr="001F64A9">
        <w:rPr>
          <w:rFonts w:asciiTheme="majorBidi" w:hAnsiTheme="majorBidi" w:cstheme="majorBidi"/>
          <w:sz w:val="24"/>
          <w:szCs w:val="24"/>
        </w:rPr>
        <w:t xml:space="preserve">A chi-square test was performed to evaluate whether the preference to write DNR was related to different terminologies (i.e., CPR, AND, DNR). Results indicated that DNR writing preferences are significantly related with different DNR terminologies, </w:t>
      </w:r>
      <w:r w:rsidRPr="001F64A9">
        <w:rPr>
          <w:rFonts w:asciiTheme="majorBidi" w:hAnsiTheme="majorBidi" w:cstheme="majorBidi"/>
          <w:i/>
          <w:iCs/>
          <w:sz w:val="24"/>
          <w:szCs w:val="24"/>
        </w:rPr>
        <w:t>χ</w:t>
      </w:r>
      <w:r w:rsidRPr="001F64A9">
        <w:rPr>
          <w:rFonts w:asciiTheme="majorBidi" w:hAnsiTheme="majorBidi" w:cstheme="majorBidi"/>
          <w:i/>
          <w:iCs/>
          <w:sz w:val="24"/>
          <w:szCs w:val="24"/>
          <w:vertAlign w:val="superscript"/>
        </w:rPr>
        <w:t>2</w:t>
      </w:r>
      <w:r w:rsidRPr="001F64A9">
        <w:rPr>
          <w:rFonts w:asciiTheme="majorBidi" w:hAnsiTheme="majorBidi" w:cstheme="majorBidi"/>
          <w:sz w:val="24"/>
          <w:szCs w:val="24"/>
          <w:vertAlign w:val="superscript"/>
        </w:rPr>
        <w:t xml:space="preserve"> </w:t>
      </w:r>
      <w:r w:rsidRPr="001F64A9">
        <w:rPr>
          <w:rFonts w:asciiTheme="majorBidi" w:hAnsiTheme="majorBidi" w:cstheme="majorBidi"/>
          <w:sz w:val="24"/>
          <w:szCs w:val="24"/>
        </w:rPr>
        <w:t xml:space="preserve">(2) = 38.83, </w:t>
      </w:r>
      <w:r w:rsidRPr="001F64A9">
        <w:rPr>
          <w:rFonts w:asciiTheme="majorBidi" w:hAnsiTheme="majorBidi" w:cstheme="majorBidi"/>
          <w:i/>
          <w:iCs/>
          <w:sz w:val="24"/>
          <w:szCs w:val="24"/>
        </w:rPr>
        <w:t>p</w:t>
      </w:r>
      <w:r w:rsidRPr="001F64A9">
        <w:rPr>
          <w:rFonts w:asciiTheme="majorBidi" w:hAnsiTheme="majorBidi" w:cstheme="majorBidi"/>
          <w:sz w:val="24"/>
          <w:szCs w:val="24"/>
        </w:rPr>
        <w:t xml:space="preserve"> &lt; .001 (see Table 5). People in the CPR condition were less likely to write DNR as </w:t>
      </w:r>
      <w:r w:rsidRPr="001F64A9">
        <w:rPr>
          <w:rFonts w:asciiTheme="majorBidi" w:hAnsiTheme="majorBidi" w:cstheme="majorBidi"/>
          <w:sz w:val="24"/>
          <w:szCs w:val="24"/>
        </w:rPr>
        <w:lastRenderedPageBreak/>
        <w:t xml:space="preserve">compared to people in DNR and AND conditions. Although, no previous studied in my knowledge have compared the effect of CPR terminologies with DNR and AND terminologies. But most of studies using CPR terminology in treatment preferences scenarios show that more people tend to prefer CPR as compared to no CPR option in control conditions (i.e., when using no intervention) (e.g., Halpern et al., 2013; El-Jawari et al., 2015; El-Jawari et al., 2016). This may suggest that people’s CPR preferences at least partially depend on the terminology. </w:t>
      </w:r>
    </w:p>
    <w:p w14:paraId="2D73A71E" w14:textId="77777777" w:rsidR="00EE5072" w:rsidRPr="001F64A9" w:rsidRDefault="00EE5072" w:rsidP="00EE5072">
      <w:pPr>
        <w:spacing w:line="480" w:lineRule="auto"/>
        <w:ind w:firstLine="720"/>
        <w:jc w:val="both"/>
        <w:rPr>
          <w:rFonts w:asciiTheme="majorBidi" w:eastAsia="Times New Roman" w:hAnsiTheme="majorBidi" w:cstheme="majorBidi"/>
          <w:b/>
          <w:sz w:val="24"/>
          <w:szCs w:val="24"/>
        </w:rPr>
      </w:pPr>
      <w:r w:rsidRPr="001F64A9">
        <w:rPr>
          <w:rFonts w:asciiTheme="majorBidi" w:eastAsia="Times New Roman" w:hAnsiTheme="majorBidi" w:cstheme="majorBidi"/>
          <w:b/>
          <w:sz w:val="24"/>
          <w:szCs w:val="24"/>
        </w:rPr>
        <w:t xml:space="preserve">Correlation Differences across Terminologies. </w:t>
      </w:r>
      <w:r w:rsidRPr="001F64A9">
        <w:rPr>
          <w:rFonts w:asciiTheme="majorBidi" w:eastAsia="Times New Roman" w:hAnsiTheme="majorBidi" w:cstheme="majorBidi"/>
          <w:bCs/>
          <w:sz w:val="24"/>
          <w:szCs w:val="24"/>
        </w:rPr>
        <w:t xml:space="preserve">The correlation between DNR preference and end-of-life values (life-oriented values, pain and dependence-oriented values) shows the concordance between one’s DNR decision and one’s end-of-life values (i.e., strength/magnitude of beneficence). The correlation DNR preference should be negative with life-oriented values (i.e., religiosity, family wishes, and longevity) and positive with pain and dependence-oriented values (i.e., </w:t>
      </w:r>
      <w:r w:rsidRPr="001F64A9">
        <w:rPr>
          <w:rFonts w:asciiTheme="majorBidi" w:hAnsiTheme="majorBidi" w:cstheme="majorBidi"/>
          <w:bCs/>
          <w:sz w:val="24"/>
          <w:szCs w:val="24"/>
        </w:rPr>
        <w:t>dignified death</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spared pain</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emotionally</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financially</w:t>
      </w:r>
      <w:r w:rsidRPr="001F64A9">
        <w:rPr>
          <w:rFonts w:asciiTheme="majorBidi" w:eastAsia="Times New Roman" w:hAnsiTheme="majorBidi" w:cstheme="majorBidi"/>
          <w:bCs/>
          <w:sz w:val="24"/>
          <w:szCs w:val="24"/>
        </w:rPr>
        <w:t xml:space="preserve">, dependence). In addition to the direction and magnitude of the zero-order correlations, we can also look and see if the terminology influenced the strength of the correlations. To do so, we can make pair-wise comparisons of correlations across groups (Paul, 1989). To make these pairwise comparisons, I used the </w:t>
      </w:r>
      <w:r w:rsidRPr="001F64A9">
        <w:rPr>
          <w:rFonts w:asciiTheme="majorBidi" w:eastAsia="Times New Roman" w:hAnsiTheme="majorBidi" w:cstheme="majorBidi"/>
          <w:bCs/>
          <w:i/>
          <w:iCs/>
          <w:sz w:val="24"/>
          <w:szCs w:val="24"/>
        </w:rPr>
        <w:t xml:space="preserve">INCOR </w:t>
      </w:r>
      <w:r w:rsidRPr="001F64A9">
        <w:rPr>
          <w:rFonts w:asciiTheme="majorBidi" w:eastAsia="Times New Roman" w:hAnsiTheme="majorBidi" w:cstheme="majorBidi"/>
          <w:bCs/>
          <w:sz w:val="24"/>
          <w:szCs w:val="24"/>
        </w:rPr>
        <w:t>statistical software</w:t>
      </w:r>
      <w:r w:rsidRPr="001F64A9">
        <w:rPr>
          <w:rFonts w:asciiTheme="majorBidi" w:eastAsia="Times New Roman" w:hAnsiTheme="majorBidi" w:cstheme="majorBidi"/>
          <w:bCs/>
          <w:i/>
          <w:iCs/>
          <w:sz w:val="24"/>
          <w:szCs w:val="24"/>
        </w:rPr>
        <w:t xml:space="preserve"> </w:t>
      </w:r>
      <w:r w:rsidRPr="001F64A9">
        <w:rPr>
          <w:rFonts w:asciiTheme="majorBidi" w:eastAsia="Times New Roman" w:hAnsiTheme="majorBidi" w:cstheme="majorBidi"/>
          <w:bCs/>
          <w:sz w:val="24"/>
          <w:szCs w:val="24"/>
        </w:rPr>
        <w:t xml:space="preserve">(Silver et al., 2008) to compare the strength of correlations across four groups (positive frame, negative frame, educational video, irrelevant/control video). </w:t>
      </w:r>
    </w:p>
    <w:p w14:paraId="48DEFB92" w14:textId="77777777" w:rsidR="00EE5072" w:rsidRPr="001F64A9" w:rsidRDefault="00EE5072" w:rsidP="00EE5072">
      <w:pPr>
        <w:spacing w:line="480" w:lineRule="auto"/>
        <w:ind w:firstLine="720"/>
        <w:rPr>
          <w:rFonts w:asciiTheme="majorBidi" w:eastAsia="Times New Roman" w:hAnsiTheme="majorBidi" w:cstheme="majorBidi"/>
          <w:bCs/>
          <w:sz w:val="24"/>
          <w:szCs w:val="24"/>
        </w:rPr>
      </w:pPr>
      <w:r w:rsidRPr="001F64A9">
        <w:rPr>
          <w:rFonts w:asciiTheme="majorBidi" w:eastAsia="Times New Roman" w:hAnsiTheme="majorBidi" w:cstheme="majorBidi"/>
          <w:bCs/>
          <w:sz w:val="24"/>
          <w:szCs w:val="24"/>
        </w:rPr>
        <w:t xml:space="preserve">The DNR decision (i.e., DNR writing preference) was negatively correlated with life-oriented values (i.e., religiosity, family wishes, and longevity) in all three conditions: AND, CPR, and DNR (see Table 6). The DNR decision was positively correlated with pain and dependence-oriented values (i.e., </w:t>
      </w:r>
      <w:r w:rsidRPr="001F64A9">
        <w:rPr>
          <w:rFonts w:asciiTheme="majorBidi" w:hAnsiTheme="majorBidi" w:cstheme="majorBidi"/>
          <w:bCs/>
          <w:sz w:val="24"/>
          <w:szCs w:val="24"/>
        </w:rPr>
        <w:t>dignified death</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spared pain</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emotionally</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financially</w:t>
      </w:r>
      <w:r w:rsidRPr="001F64A9">
        <w:rPr>
          <w:rFonts w:asciiTheme="majorBidi" w:eastAsia="Times New Roman" w:hAnsiTheme="majorBidi" w:cstheme="majorBidi"/>
          <w:bCs/>
          <w:sz w:val="24"/>
          <w:szCs w:val="24"/>
        </w:rPr>
        <w:t xml:space="preserve">, dependence) in AND and DNR conditions but was negatively correlated in CPR condition (see Table 7). In terms of correlation between DNR decision and life-oriented values, </w:t>
      </w:r>
      <w:r w:rsidRPr="001F64A9">
        <w:rPr>
          <w:rFonts w:asciiTheme="majorBidi" w:eastAsia="Times New Roman" w:hAnsiTheme="majorBidi" w:cstheme="majorBidi"/>
          <w:bCs/>
          <w:sz w:val="24"/>
          <w:szCs w:val="24"/>
        </w:rPr>
        <w:lastRenderedPageBreak/>
        <w:t xml:space="preserve">the pairwise correlation comparisons revealed that the correlation in DNR condition was in correct direction and significantly different from correlations in CPR and AND conditions, while correlations in CPR and AND conditions were non-significantly different from each other (see Figure 6). In terms of correlation between DNR decision and pain and dependence oriented values (i.e., </w:t>
      </w:r>
      <w:r w:rsidRPr="001F64A9">
        <w:rPr>
          <w:rFonts w:asciiTheme="majorBidi" w:hAnsiTheme="majorBidi" w:cstheme="majorBidi"/>
          <w:bCs/>
          <w:sz w:val="24"/>
          <w:szCs w:val="24"/>
        </w:rPr>
        <w:t>dignified death</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spared pain</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emotionally</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financially</w:t>
      </w:r>
      <w:r w:rsidRPr="001F64A9">
        <w:rPr>
          <w:rFonts w:asciiTheme="majorBidi" w:eastAsia="Times New Roman" w:hAnsiTheme="majorBidi" w:cstheme="majorBidi"/>
          <w:bCs/>
          <w:sz w:val="24"/>
          <w:szCs w:val="24"/>
        </w:rPr>
        <w:t xml:space="preserve">, dependence), the pairwise correlation comparisons revealed that the correlation in DNR condition was in correct direction and significantly different from correlation in CPR and marginally significant from correlation in </w:t>
      </w:r>
      <w:r w:rsidRPr="001F64A9">
        <w:rPr>
          <w:rFonts w:asciiTheme="majorBidi" w:hAnsiTheme="majorBidi" w:cstheme="majorBidi"/>
          <w:i/>
          <w:iCs/>
          <w:sz w:val="24"/>
          <w:szCs w:val="24"/>
        </w:rPr>
        <w:t>intermediate support</w:t>
      </w:r>
      <w:r w:rsidRPr="001F64A9">
        <w:rPr>
          <w:rFonts w:asciiTheme="majorBidi" w:hAnsiTheme="majorBidi" w:cstheme="majorBidi"/>
          <w:sz w:val="24"/>
          <w:szCs w:val="24"/>
        </w:rPr>
        <w:t>-</w:t>
      </w:r>
      <w:r w:rsidRPr="001F64A9">
        <w:rPr>
          <w:rFonts w:asciiTheme="majorBidi" w:eastAsia="Times New Roman" w:hAnsiTheme="majorBidi" w:cstheme="majorBidi"/>
          <w:bCs/>
          <w:sz w:val="24"/>
          <w:szCs w:val="24"/>
        </w:rPr>
        <w:t>AND conditions, while correlations in CPR and AND conditions were marginally significantly different from each other (see Figure 7).</w:t>
      </w:r>
    </w:p>
    <w:p w14:paraId="2D65E96E" w14:textId="77777777" w:rsidR="00EE5072" w:rsidRPr="001F64A9" w:rsidRDefault="00EE5072" w:rsidP="00EE5072">
      <w:pPr>
        <w:spacing w:line="480" w:lineRule="auto"/>
        <w:ind w:firstLine="720"/>
        <w:rPr>
          <w:rFonts w:asciiTheme="majorBidi" w:hAnsiTheme="majorBidi" w:cstheme="majorBidi"/>
          <w:sz w:val="24"/>
          <w:szCs w:val="24"/>
        </w:rPr>
      </w:pPr>
      <w:r w:rsidRPr="001F64A9">
        <w:rPr>
          <w:rFonts w:asciiTheme="majorBidi" w:hAnsiTheme="majorBidi" w:cstheme="majorBidi"/>
          <w:sz w:val="24"/>
          <w:szCs w:val="24"/>
        </w:rPr>
        <w:t xml:space="preserve">Results of Experiment 1b suggested that different DNR terminologies can have different impacts on beneficence. We can see that people were better at making a DNR decision which was aligned with their relevant values when presented with DNR terminology scenario, as compared to people in other conditions. People’s values were not as strongly related to their decisions to write a DNR especially with respect to </w:t>
      </w:r>
      <w:r w:rsidRPr="001F64A9">
        <w:rPr>
          <w:rFonts w:asciiTheme="majorBidi" w:eastAsia="Times New Roman" w:hAnsiTheme="majorBidi" w:cstheme="majorBidi"/>
          <w:bCs/>
          <w:sz w:val="24"/>
          <w:szCs w:val="24"/>
        </w:rPr>
        <w:t xml:space="preserve">pain and dependence-oriented values (i.e., </w:t>
      </w:r>
      <w:r w:rsidRPr="001F64A9">
        <w:rPr>
          <w:rFonts w:asciiTheme="majorBidi" w:hAnsiTheme="majorBidi" w:cstheme="majorBidi"/>
          <w:bCs/>
          <w:sz w:val="24"/>
          <w:szCs w:val="24"/>
        </w:rPr>
        <w:t>dignified death</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spared pain</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emotionally</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financially</w:t>
      </w:r>
      <w:r w:rsidRPr="001F64A9">
        <w:rPr>
          <w:rFonts w:asciiTheme="majorBidi" w:eastAsia="Times New Roman" w:hAnsiTheme="majorBidi" w:cstheme="majorBidi"/>
          <w:bCs/>
          <w:sz w:val="24"/>
          <w:szCs w:val="24"/>
        </w:rPr>
        <w:t xml:space="preserve">, dependence) </w:t>
      </w:r>
      <w:r w:rsidRPr="001F64A9">
        <w:rPr>
          <w:rFonts w:asciiTheme="majorBidi" w:hAnsiTheme="majorBidi" w:cstheme="majorBidi"/>
          <w:sz w:val="24"/>
          <w:szCs w:val="24"/>
        </w:rPr>
        <w:t xml:space="preserve">in the CPR condition. Similarly, people had lower level of negative valence toward CPR and people in CPR condition had the least number of DNR writing decision. One explanation is that people were emotionally charged with CPR terminology which in turn resulted in lower DNR writing decision as compared to DNR and </w:t>
      </w:r>
      <w:r w:rsidRPr="001F64A9">
        <w:rPr>
          <w:rFonts w:asciiTheme="majorBidi" w:hAnsiTheme="majorBidi" w:cstheme="majorBidi"/>
          <w:i/>
          <w:iCs/>
          <w:sz w:val="24"/>
          <w:szCs w:val="24"/>
        </w:rPr>
        <w:t>intermediate support</w:t>
      </w:r>
      <w:r w:rsidRPr="001F64A9">
        <w:rPr>
          <w:rFonts w:asciiTheme="majorBidi" w:hAnsiTheme="majorBidi" w:cstheme="majorBidi"/>
          <w:sz w:val="24"/>
          <w:szCs w:val="24"/>
        </w:rPr>
        <w:t>-AND conditions (future research should be conducted to test this assumption). These findings suggest that CPR could be a potential candidate for being selected for decision support because people were less able to align their values with the DNR decisions when presented with a situation containing CPR terminology.</w:t>
      </w:r>
    </w:p>
    <w:p w14:paraId="39B8EF30" w14:textId="77777777" w:rsidR="00EE5072" w:rsidRPr="001F64A9" w:rsidRDefault="00EE5072" w:rsidP="00EE5072">
      <w:pPr>
        <w:spacing w:before="100" w:beforeAutospacing="1" w:after="100" w:afterAutospacing="1" w:line="480" w:lineRule="auto"/>
        <w:jc w:val="center"/>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Experiment 1c</w:t>
      </w:r>
    </w:p>
    <w:p w14:paraId="06BCD032"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The main objective of Experiment 1c was to test the effectiveness of framing and informing for the decision to write a DNR and get CPR. In order to investigate the ethical cost associated with the use of two persuasion techniques (i.e., framing and informing), it was important to first establish the effectiveness of both interventions for people’s decision about writing a DNR and getting CPR. The main goal here was to compare whether informing is more effective for DNR, and CPR decisions as compared to framing nudge. Here, I have defined informing as providing general information about DNRs i.e., information about the prevalence of CPR and DNRs, survival rates and outcomes of CPR, and procedural information about DNRs.  Several researchers have used CPR educational videos to inform patients and the general population about CPR (Becker et al., 2019; El-Jawari et al., 2016; El-Jawari et al., 2015; Volandes et al., 2012). For framing nudge, two frames—positive/gain frame and negative/loss frame—were used in order to test their effect on DNR and CPR decision (Garcia-Retamero &amp; Cokely, 2011; Tverskey &amp; Kahneman, 1981). The main criterion variables here were the decision to write a DNR and get CPR, which were operationalized as a binary choice i.e., Yes and No. The three main hypotheses of experiment 1 were following:</w:t>
      </w:r>
    </w:p>
    <w:p w14:paraId="148BB3C8" w14:textId="77777777" w:rsidR="00EE5072" w:rsidRPr="001F64A9" w:rsidRDefault="00EE5072" w:rsidP="00EE5072">
      <w:pPr>
        <w:spacing w:before="100" w:beforeAutospacing="1" w:after="100" w:afterAutospacing="1" w:line="480" w:lineRule="auto"/>
        <w:ind w:firstLine="720"/>
        <w:jc w:val="both"/>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rPr>
        <w:t>H5:</w:t>
      </w:r>
      <w:r w:rsidRPr="001F64A9">
        <w:rPr>
          <w:rFonts w:asciiTheme="majorBidi" w:eastAsia="Times New Roman" w:hAnsiTheme="majorBidi" w:cstheme="majorBidi"/>
          <w:sz w:val="24"/>
          <w:szCs w:val="24"/>
        </w:rPr>
        <w:t xml:space="preserve"> informing (i.e., DNR knowledge video) will increase the probability of decision to write a DNR and decrease the probability of decision to have CPR compared to a control condition. </w:t>
      </w:r>
    </w:p>
    <w:p w14:paraId="4E7CBA2D" w14:textId="77777777" w:rsidR="00EE5072" w:rsidRPr="001F64A9" w:rsidRDefault="00EE5072" w:rsidP="00EE5072">
      <w:pPr>
        <w:spacing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rPr>
        <w:t>H6:</w:t>
      </w:r>
      <w:r w:rsidRPr="001F64A9">
        <w:rPr>
          <w:rFonts w:asciiTheme="majorBidi" w:eastAsia="Times New Roman" w:hAnsiTheme="majorBidi" w:cstheme="majorBidi"/>
          <w:sz w:val="24"/>
          <w:szCs w:val="24"/>
        </w:rPr>
        <w:t xml:space="preserve"> positive frame will decrease the probability of decision to write a DNR and increase the probability of decision to have CPR.</w:t>
      </w:r>
    </w:p>
    <w:p w14:paraId="21FF24DE" w14:textId="77777777" w:rsidR="00EE5072" w:rsidRPr="001F64A9" w:rsidRDefault="00EE5072" w:rsidP="00EE5072">
      <w:pPr>
        <w:spacing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rPr>
        <w:t>H7:</w:t>
      </w:r>
      <w:r w:rsidRPr="001F64A9">
        <w:rPr>
          <w:rFonts w:asciiTheme="majorBidi" w:eastAsia="Times New Roman" w:hAnsiTheme="majorBidi" w:cstheme="majorBidi"/>
          <w:sz w:val="24"/>
          <w:szCs w:val="24"/>
        </w:rPr>
        <w:t xml:space="preserve"> negative frame will increase the probability of decision to write a DNR and decrease the probability of decision to have CPR.</w:t>
      </w:r>
    </w:p>
    <w:p w14:paraId="54362E4A" w14:textId="77777777" w:rsidR="00EE5072" w:rsidRPr="001F64A9" w:rsidRDefault="00EE5072" w:rsidP="00EE5072">
      <w:pPr>
        <w:spacing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lastRenderedPageBreak/>
        <w:t xml:space="preserve">Following the main objective of Experiment 1c (was to investigate the effectiveness of informing and framing on the decisions to get CPR and write a DNR), a 2x2 between subject factorial design was implemented. The main motivation behind using 2x2 factorial design was to test not only the main effects of informing and framing nudge, but also the effect of interaction between both interventions on decisions to get CPR and write a DNR. The interaction effect of informing and framing had not been hypothesized because there is no evidence that I know of that framing and education interact. Tanner (2021) (Tanner and Feltz (2022)) used a similar design by testing the interaction effect of informing and defaults nudge on the strength of acceptance for recycled water and found that the interaction effect was non-significant. It was important to test this interaction because of the planned series of studies, in particular the design of Experiment 2 (see below). Thus, the interaction effect in this experiment was exploratory. </w:t>
      </w:r>
    </w:p>
    <w:p w14:paraId="3D9ABE53" w14:textId="77777777" w:rsidR="00EE5072" w:rsidRPr="001F64A9" w:rsidRDefault="00EE5072" w:rsidP="00EE5072">
      <w:pPr>
        <w:spacing w:line="480" w:lineRule="auto"/>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t>Method</w:t>
      </w:r>
    </w:p>
    <w:p w14:paraId="74845023" w14:textId="77777777" w:rsidR="00EE5072" w:rsidRPr="001F64A9" w:rsidRDefault="00EE5072" w:rsidP="00EE5072">
      <w:pPr>
        <w:spacing w:line="480" w:lineRule="auto"/>
        <w:ind w:firstLine="720"/>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t xml:space="preserve">Participants. </w:t>
      </w:r>
      <w:r w:rsidRPr="001F64A9">
        <w:rPr>
          <w:rFonts w:asciiTheme="majorBidi" w:hAnsiTheme="majorBidi" w:cstheme="majorBidi"/>
          <w:sz w:val="24"/>
          <w:szCs w:val="24"/>
        </w:rPr>
        <w:t>441 undergraduate psychology students were recruited from a large public university. Participants were compensated for their participation with partial research credits. The experiment was hosted on Qualtrics. Similar data screening tools were used as in Experiment 1a, 1b, and 1c. 24 responses were excluded from the dataset because of the failure to correctly respond on attention check questions and 2 responses were excluded because of the straight lining (Andreadis &amp; Kartsounidou, 2020; DeSimone, Harms &amp; DeSimone, 2015). The remaining 415 responses were used for the data analysis.</w:t>
      </w:r>
      <w:r w:rsidRPr="001F64A9">
        <w:rPr>
          <w:rFonts w:asciiTheme="majorBidi" w:eastAsia="Times New Roman" w:hAnsiTheme="majorBidi" w:cstheme="majorBidi"/>
          <w:sz w:val="24"/>
          <w:szCs w:val="24"/>
        </w:rPr>
        <w:t xml:space="preserve"> 81% were female (</w:t>
      </w:r>
      <w:r w:rsidRPr="001F64A9">
        <w:rPr>
          <w:rFonts w:asciiTheme="majorBidi" w:eastAsia="Times New Roman" w:hAnsiTheme="majorBidi" w:cstheme="majorBidi"/>
          <w:i/>
          <w:iCs/>
          <w:sz w:val="24"/>
          <w:szCs w:val="24"/>
        </w:rPr>
        <w:t>N</w:t>
      </w:r>
      <w:r w:rsidRPr="001F64A9">
        <w:rPr>
          <w:rFonts w:asciiTheme="majorBidi" w:eastAsia="Times New Roman" w:hAnsiTheme="majorBidi" w:cstheme="majorBidi"/>
          <w:sz w:val="24"/>
          <w:szCs w:val="24"/>
        </w:rPr>
        <w:t xml:space="preserve"> = 335) in the sample. The average age of the participants was 18.69 (</w:t>
      </w:r>
      <w:r w:rsidRPr="001F64A9">
        <w:rPr>
          <w:rFonts w:asciiTheme="majorBidi" w:eastAsia="Times New Roman" w:hAnsiTheme="majorBidi" w:cstheme="majorBidi"/>
          <w:i/>
          <w:iCs/>
          <w:sz w:val="24"/>
          <w:szCs w:val="24"/>
        </w:rPr>
        <w:t>SD</w:t>
      </w:r>
      <w:r w:rsidRPr="001F64A9">
        <w:rPr>
          <w:rFonts w:asciiTheme="majorBidi" w:eastAsia="Times New Roman" w:hAnsiTheme="majorBidi" w:cstheme="majorBidi"/>
          <w:sz w:val="24"/>
          <w:szCs w:val="24"/>
        </w:rPr>
        <w:t xml:space="preserve"> = 1.47). A sensitivity analysis for logistic regression with an interaction (Demidinko, 2007, 2008) was conducted. With respect to CPR preference, an alternate Odd Ration of 3.63 could be reliably detected with following parameters: with a sample size of 415; α of .05; a power of .80; a 50% probability of being </w:t>
      </w:r>
      <w:r w:rsidRPr="001F64A9">
        <w:rPr>
          <w:rFonts w:asciiTheme="majorBidi" w:eastAsia="Times New Roman" w:hAnsiTheme="majorBidi" w:cstheme="majorBidi"/>
          <w:sz w:val="24"/>
          <w:szCs w:val="24"/>
        </w:rPr>
        <w:lastRenderedPageBreak/>
        <w:t xml:space="preserve">selected in informing and framing with the Odd Ratio of 1.0 (selected based on random assignment of participants); an Odd Ratio of .22 for preferring CPR in informing and of 3.15 in framing conditions (selected based on experiment findings); and a 40% prevalence of CPR administration in population (see </w:t>
      </w:r>
      <w:r w:rsidRPr="001F64A9">
        <w:rPr>
          <w:rFonts w:asciiTheme="majorBidi" w:hAnsiTheme="majorBidi" w:cstheme="majorBidi"/>
          <w:sz w:val="24"/>
          <w:szCs w:val="24"/>
          <w:lang w:val="en-GB"/>
        </w:rPr>
        <w:t>Heart Disease and Stroke Statistics-2023 report; Tsao et al., 2023</w:t>
      </w:r>
      <w:r w:rsidRPr="001F64A9">
        <w:rPr>
          <w:rFonts w:asciiTheme="majorBidi" w:eastAsia="Times New Roman" w:hAnsiTheme="majorBidi" w:cstheme="majorBidi"/>
          <w:sz w:val="24"/>
          <w:szCs w:val="24"/>
        </w:rPr>
        <w:t>). With respect to DNR preference, an alternate Odd Ration of 3.57 could be reliably detected with following parameters: with a sample size of 415; α of .05; a power of .80; 50% probability of being selected in informing and framing with the Odd Ratio of 1.0 (selected based on random assignment of participants); an Odd Ratio of 2.68 for preferring DNR in informing and of .65 in framing conditions (selected based on experiment findings); and a 23% prevalence of documented DNR orders in international population (reported prevalence range: 15%-31%; McNeill et al., 2012; Mills et al., 2017; Shanmuganathan et al., 2011).</w:t>
      </w:r>
    </w:p>
    <w:p w14:paraId="130354B1" w14:textId="77777777" w:rsidR="00EE5072" w:rsidRPr="001F64A9" w:rsidRDefault="00EE5072" w:rsidP="00EE5072">
      <w:pPr>
        <w:spacing w:line="480" w:lineRule="auto"/>
        <w:ind w:firstLine="720"/>
        <w:rPr>
          <w:rFonts w:asciiTheme="majorBidi" w:hAnsiTheme="majorBidi" w:cstheme="majorBidi"/>
          <w:b/>
          <w:bCs/>
          <w:sz w:val="24"/>
          <w:szCs w:val="24"/>
        </w:rPr>
      </w:pPr>
      <w:r w:rsidRPr="001F64A9">
        <w:rPr>
          <w:rFonts w:asciiTheme="majorBidi" w:hAnsiTheme="majorBidi" w:cstheme="majorBidi"/>
          <w:b/>
          <w:bCs/>
          <w:sz w:val="24"/>
          <w:szCs w:val="24"/>
        </w:rPr>
        <w:t xml:space="preserve">Materials. </w:t>
      </w:r>
      <w:r w:rsidRPr="001F64A9">
        <w:rPr>
          <w:rFonts w:asciiTheme="majorBidi" w:eastAsia="Times New Roman" w:hAnsiTheme="majorBidi" w:cstheme="majorBidi"/>
          <w:sz w:val="24"/>
          <w:szCs w:val="24"/>
        </w:rPr>
        <w:t xml:space="preserve">There were two independent variables in this experiment: informing and framing. The first independent variable informing had two conditions: (1) a DNR information video and (2) non-DNR information video. The participants in the DNR information video condition watched a video consisting of DNR and CPR related information (https://youtu.be/7aBjwWbJBC0). The content of the video contained information about the prevalence of CPR and DNR, survival rates and outcomes of CPR, and general information about DNR. The participants in the non-DNR information video condition watched a video in which a professor was writing a mathematical problem on a black board (https://youtu.be/9NtSTlwb11A). </w:t>
      </w:r>
    </w:p>
    <w:p w14:paraId="01D4B517" w14:textId="77777777" w:rsidR="00EE5072" w:rsidRPr="001F64A9" w:rsidRDefault="00EE5072" w:rsidP="00EE5072">
      <w:pPr>
        <w:spacing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The second independent variable, message framing, also had two conditions: (1) negative frame and (2) positive frame. These messages prompts were presented after particpatns were </w:t>
      </w:r>
      <w:r w:rsidRPr="001F64A9">
        <w:rPr>
          <w:rFonts w:asciiTheme="majorBidi" w:eastAsia="Times New Roman" w:hAnsiTheme="majorBidi" w:cstheme="majorBidi"/>
          <w:sz w:val="24"/>
          <w:szCs w:val="24"/>
        </w:rPr>
        <w:lastRenderedPageBreak/>
        <w:t xml:space="preserve">exposed to either the educational or control video. In the negative frame, the participants were presented with the following statement: </w:t>
      </w:r>
    </w:p>
    <w:p w14:paraId="5833DBF7" w14:textId="77777777" w:rsidR="00EE5072" w:rsidRPr="001F64A9" w:rsidRDefault="00EE5072" w:rsidP="00EE5072">
      <w:pPr>
        <w:pStyle w:val="ListParagraph"/>
        <w:numPr>
          <w:ilvl w:val="0"/>
          <w:numId w:val="8"/>
        </w:numPr>
        <w:spacing w:line="48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“Imagine that your heart has stopped beating. According to research, there is a 90% chance that you will not survive after receiving CPR treatment”. </w:t>
      </w:r>
    </w:p>
    <w:p w14:paraId="588A7DCE" w14:textId="77777777" w:rsidR="00EE5072" w:rsidRPr="001F64A9" w:rsidRDefault="00EE5072" w:rsidP="00EE5072">
      <w:pPr>
        <w:spacing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In the positive frame, the participants were presented with following statement: </w:t>
      </w:r>
    </w:p>
    <w:p w14:paraId="540927F8" w14:textId="77777777" w:rsidR="00EE5072" w:rsidRPr="001F64A9" w:rsidRDefault="00EE5072" w:rsidP="00EE5072">
      <w:pPr>
        <w:pStyle w:val="ListParagraph"/>
        <w:numPr>
          <w:ilvl w:val="0"/>
          <w:numId w:val="8"/>
        </w:numPr>
        <w:spacing w:line="48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“Imagine that your heart has stopped beating. According to research, there ia a 10% chance that you will survive after receiving CPR treatment”. </w:t>
      </w:r>
    </w:p>
    <w:p w14:paraId="7E4F30A7" w14:textId="77777777" w:rsidR="00EE5072" w:rsidRPr="001F64A9" w:rsidRDefault="00EE5072" w:rsidP="00EE5072">
      <w:pPr>
        <w:spacing w:line="480" w:lineRule="auto"/>
        <w:ind w:firstLine="720"/>
        <w:rPr>
          <w:rFonts w:asciiTheme="majorBidi" w:hAnsiTheme="majorBidi" w:cstheme="majorBidi"/>
          <w:sz w:val="24"/>
          <w:szCs w:val="24"/>
        </w:rPr>
      </w:pPr>
      <w:r w:rsidRPr="001F64A9">
        <w:rPr>
          <w:rFonts w:asciiTheme="majorBidi" w:eastAsia="Times New Roman" w:hAnsiTheme="majorBidi" w:cstheme="majorBidi"/>
          <w:sz w:val="24"/>
          <w:szCs w:val="24"/>
        </w:rPr>
        <w:t xml:space="preserve">There were two dependent variables: decision to get CPR and write DNR. </w:t>
      </w:r>
      <w:r w:rsidRPr="001F64A9">
        <w:rPr>
          <w:rFonts w:asciiTheme="majorBidi" w:hAnsiTheme="majorBidi" w:cstheme="majorBidi"/>
          <w:sz w:val="24"/>
          <w:szCs w:val="24"/>
        </w:rPr>
        <w:t xml:space="preserve"> The CPR and DNR decisions were operationalized through taking people’s preference to get CPR and write DNR on a binary response pattern Yes or No. </w:t>
      </w:r>
    </w:p>
    <w:p w14:paraId="3F0A7586" w14:textId="77777777" w:rsidR="00EE5072" w:rsidRPr="001F64A9" w:rsidRDefault="00EE5072" w:rsidP="00EE5072">
      <w:pPr>
        <w:spacing w:line="480" w:lineRule="auto"/>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t>Results and Discussion</w:t>
      </w:r>
    </w:p>
    <w:p w14:paraId="0F4B5D17" w14:textId="77777777" w:rsidR="00EE5072" w:rsidRPr="001F64A9" w:rsidRDefault="00EE5072" w:rsidP="00EE5072">
      <w:pPr>
        <w:spacing w:line="480" w:lineRule="auto"/>
        <w:ind w:firstLine="720"/>
        <w:rPr>
          <w:rFonts w:asciiTheme="majorBidi" w:hAnsiTheme="majorBidi" w:cstheme="majorBidi"/>
          <w:sz w:val="24"/>
          <w:szCs w:val="24"/>
        </w:rPr>
      </w:pPr>
      <w:r w:rsidRPr="001F64A9">
        <w:rPr>
          <w:rFonts w:asciiTheme="majorBidi" w:hAnsiTheme="majorBidi" w:cstheme="majorBidi"/>
          <w:sz w:val="24"/>
          <w:szCs w:val="24"/>
        </w:rPr>
        <w:t>For preference to write a DNR, the findings indicated no main effect of framing nudge (</w:t>
      </w:r>
      <w:r w:rsidRPr="001F64A9">
        <w:rPr>
          <w:rFonts w:asciiTheme="majorBidi" w:hAnsiTheme="majorBidi" w:cstheme="majorBidi"/>
          <w:i/>
          <w:iCs/>
          <w:sz w:val="24"/>
          <w:szCs w:val="24"/>
        </w:rPr>
        <w:t>OR</w:t>
      </w:r>
      <w:r w:rsidRPr="001F64A9">
        <w:rPr>
          <w:rFonts w:asciiTheme="majorBidi" w:hAnsiTheme="majorBidi" w:cstheme="majorBidi"/>
          <w:sz w:val="24"/>
          <w:szCs w:val="24"/>
        </w:rPr>
        <w:t xml:space="preserve"> = .65, </w:t>
      </w:r>
      <w:r w:rsidRPr="001F64A9">
        <w:rPr>
          <w:rFonts w:asciiTheme="majorBidi" w:hAnsiTheme="majorBidi" w:cstheme="majorBidi"/>
          <w:i/>
          <w:iCs/>
          <w:sz w:val="24"/>
          <w:szCs w:val="24"/>
        </w:rPr>
        <w:t>p</w:t>
      </w:r>
      <w:r w:rsidRPr="001F64A9">
        <w:rPr>
          <w:rFonts w:asciiTheme="majorBidi" w:hAnsiTheme="majorBidi" w:cstheme="majorBidi"/>
          <w:sz w:val="24"/>
          <w:szCs w:val="24"/>
        </w:rPr>
        <w:t xml:space="preserve"> = .379, 95% CI [.24, 1.65]) and no interaction effect of informing and framing nudge (</w:t>
      </w:r>
      <w:r w:rsidRPr="001F64A9">
        <w:rPr>
          <w:rFonts w:asciiTheme="majorBidi" w:hAnsiTheme="majorBidi" w:cstheme="majorBidi"/>
          <w:i/>
          <w:iCs/>
          <w:sz w:val="24"/>
          <w:szCs w:val="24"/>
        </w:rPr>
        <w:t>OR</w:t>
      </w:r>
      <w:r w:rsidRPr="001F64A9">
        <w:rPr>
          <w:rFonts w:asciiTheme="majorBidi" w:hAnsiTheme="majorBidi" w:cstheme="majorBidi"/>
          <w:sz w:val="24"/>
          <w:szCs w:val="24"/>
        </w:rPr>
        <w:t xml:space="preserve"> = .79, </w:t>
      </w:r>
      <w:r w:rsidRPr="001F64A9">
        <w:rPr>
          <w:rFonts w:asciiTheme="majorBidi" w:hAnsiTheme="majorBidi" w:cstheme="majorBidi"/>
          <w:i/>
          <w:iCs/>
          <w:sz w:val="24"/>
          <w:szCs w:val="24"/>
        </w:rPr>
        <w:t>p</w:t>
      </w:r>
      <w:r w:rsidRPr="001F64A9">
        <w:rPr>
          <w:rFonts w:asciiTheme="majorBidi" w:hAnsiTheme="majorBidi" w:cstheme="majorBidi"/>
          <w:sz w:val="24"/>
          <w:szCs w:val="24"/>
        </w:rPr>
        <w:t xml:space="preserve"> &gt; .684, 95% CI [.25, 2.60]) on preference to write a DNR. The main effect of informing was significant (</w:t>
      </w:r>
      <w:r w:rsidRPr="001F64A9">
        <w:rPr>
          <w:rFonts w:asciiTheme="majorBidi" w:hAnsiTheme="majorBidi" w:cstheme="majorBidi"/>
          <w:i/>
          <w:iCs/>
          <w:sz w:val="24"/>
          <w:szCs w:val="24"/>
        </w:rPr>
        <w:t>OR</w:t>
      </w:r>
      <w:r w:rsidRPr="001F64A9">
        <w:rPr>
          <w:rFonts w:asciiTheme="majorBidi" w:hAnsiTheme="majorBidi" w:cstheme="majorBidi"/>
          <w:sz w:val="24"/>
          <w:szCs w:val="24"/>
        </w:rPr>
        <w:t xml:space="preserve"> = 2.68, </w:t>
      </w:r>
      <w:r w:rsidRPr="001F64A9">
        <w:rPr>
          <w:rFonts w:asciiTheme="majorBidi" w:hAnsiTheme="majorBidi" w:cstheme="majorBidi"/>
          <w:i/>
          <w:iCs/>
          <w:sz w:val="24"/>
          <w:szCs w:val="24"/>
        </w:rPr>
        <w:t>p</w:t>
      </w:r>
      <w:r w:rsidRPr="001F64A9">
        <w:rPr>
          <w:rFonts w:asciiTheme="majorBidi" w:hAnsiTheme="majorBidi" w:cstheme="majorBidi"/>
          <w:sz w:val="24"/>
          <w:szCs w:val="24"/>
        </w:rPr>
        <w:t xml:space="preserve"> = .006, 95% CI [1.34, 5.57]) (see Table 8, Figure 8). This means that people who watched DNR knowledge video were 268% more likely to write a DNR for as compared to the people who watched random video. The overall model explained 37% of the variance (</w:t>
      </w:r>
      <w:r w:rsidRPr="001F64A9">
        <w:rPr>
          <w:rFonts w:asciiTheme="majorBidi" w:eastAsia="Times New Roman" w:hAnsiTheme="majorBidi" w:cstheme="majorBidi"/>
          <w:sz w:val="24"/>
          <w:szCs w:val="24"/>
        </w:rPr>
        <w:t xml:space="preserve">McFadden </w:t>
      </w:r>
      <w:r w:rsidRPr="001F64A9">
        <w:rPr>
          <w:rFonts w:asciiTheme="majorBidi" w:eastAsia="Times New Roman" w:hAnsiTheme="majorBidi" w:cstheme="majorBidi"/>
          <w:i/>
          <w:iCs/>
          <w:sz w:val="24"/>
          <w:szCs w:val="24"/>
        </w:rPr>
        <w:t>R</w:t>
      </w:r>
      <w:r w:rsidRPr="001F64A9">
        <w:rPr>
          <w:rFonts w:asciiTheme="majorBidi" w:eastAsia="Times New Roman" w:hAnsiTheme="majorBidi" w:cstheme="majorBidi"/>
          <w:i/>
          <w:iCs/>
          <w:sz w:val="24"/>
          <w:szCs w:val="24"/>
          <w:vertAlign w:val="superscript"/>
        </w:rPr>
        <w:t>2</w:t>
      </w:r>
      <w:r w:rsidRPr="001F64A9">
        <w:rPr>
          <w:rFonts w:asciiTheme="majorBidi" w:eastAsia="Times New Roman" w:hAnsiTheme="majorBidi" w:cstheme="majorBidi"/>
          <w:sz w:val="24"/>
          <w:szCs w:val="24"/>
        </w:rPr>
        <w:t xml:space="preserve"> = .37</w:t>
      </w:r>
      <w:r w:rsidRPr="001F64A9">
        <w:rPr>
          <w:rFonts w:asciiTheme="majorBidi" w:hAnsiTheme="majorBidi" w:cstheme="majorBidi"/>
          <w:sz w:val="24"/>
          <w:szCs w:val="24"/>
        </w:rPr>
        <w:t xml:space="preserve">) in preference to write a DNR. </w:t>
      </w:r>
    </w:p>
    <w:p w14:paraId="593EF2CD" w14:textId="77777777" w:rsidR="00EE5072" w:rsidRPr="001F64A9" w:rsidRDefault="00EE5072" w:rsidP="00EE5072">
      <w:pPr>
        <w:spacing w:line="480" w:lineRule="auto"/>
        <w:ind w:firstLine="720"/>
        <w:rPr>
          <w:rFonts w:asciiTheme="majorBidi" w:hAnsiTheme="majorBidi" w:cstheme="majorBidi"/>
          <w:sz w:val="24"/>
          <w:szCs w:val="24"/>
        </w:rPr>
      </w:pPr>
      <w:r w:rsidRPr="001F64A9">
        <w:rPr>
          <w:rFonts w:asciiTheme="majorBidi" w:hAnsiTheme="majorBidi" w:cstheme="majorBidi"/>
          <w:sz w:val="24"/>
          <w:szCs w:val="24"/>
        </w:rPr>
        <w:t>For preference to get CPR, the main effects of framing nudge (</w:t>
      </w:r>
      <w:r w:rsidRPr="001F64A9">
        <w:rPr>
          <w:rFonts w:asciiTheme="majorBidi" w:hAnsiTheme="majorBidi" w:cstheme="majorBidi"/>
          <w:i/>
          <w:iCs/>
          <w:sz w:val="24"/>
          <w:szCs w:val="24"/>
        </w:rPr>
        <w:t>OR</w:t>
      </w:r>
      <w:r w:rsidRPr="001F64A9">
        <w:rPr>
          <w:rFonts w:asciiTheme="majorBidi" w:hAnsiTheme="majorBidi" w:cstheme="majorBidi"/>
          <w:sz w:val="24"/>
          <w:szCs w:val="24"/>
        </w:rPr>
        <w:t xml:space="preserve"> = 3.15, </w:t>
      </w:r>
      <w:r w:rsidRPr="001F64A9">
        <w:rPr>
          <w:rFonts w:asciiTheme="majorBidi" w:hAnsiTheme="majorBidi" w:cstheme="majorBidi"/>
          <w:i/>
          <w:iCs/>
          <w:sz w:val="24"/>
          <w:szCs w:val="24"/>
        </w:rPr>
        <w:t>p</w:t>
      </w:r>
      <w:r w:rsidRPr="001F64A9">
        <w:rPr>
          <w:rFonts w:asciiTheme="majorBidi" w:hAnsiTheme="majorBidi" w:cstheme="majorBidi"/>
          <w:sz w:val="24"/>
          <w:szCs w:val="24"/>
        </w:rPr>
        <w:t xml:space="preserve"> = .03, 95% CI [1.20, 9.86]) and informing (</w:t>
      </w:r>
      <w:r w:rsidRPr="001F64A9">
        <w:rPr>
          <w:rFonts w:asciiTheme="majorBidi" w:hAnsiTheme="majorBidi" w:cstheme="majorBidi"/>
          <w:i/>
          <w:iCs/>
          <w:sz w:val="24"/>
          <w:szCs w:val="24"/>
        </w:rPr>
        <w:t>OR</w:t>
      </w:r>
      <w:r w:rsidRPr="001F64A9">
        <w:rPr>
          <w:rFonts w:asciiTheme="majorBidi" w:hAnsiTheme="majorBidi" w:cstheme="majorBidi"/>
          <w:sz w:val="24"/>
          <w:szCs w:val="24"/>
        </w:rPr>
        <w:t xml:space="preserve"> = .22, </w:t>
      </w:r>
      <w:r w:rsidRPr="001F64A9">
        <w:rPr>
          <w:rFonts w:asciiTheme="majorBidi" w:hAnsiTheme="majorBidi" w:cstheme="majorBidi"/>
          <w:i/>
          <w:iCs/>
          <w:sz w:val="24"/>
          <w:szCs w:val="24"/>
        </w:rPr>
        <w:t>p</w:t>
      </w:r>
      <w:r w:rsidRPr="001F64A9">
        <w:rPr>
          <w:rFonts w:asciiTheme="majorBidi" w:hAnsiTheme="majorBidi" w:cstheme="majorBidi"/>
          <w:sz w:val="24"/>
          <w:szCs w:val="24"/>
        </w:rPr>
        <w:t xml:space="preserve"> &lt; .01, 95% CI [.11, .40]) were found statistically significant. For framing, these results suggest that people who were presented with a positive </w:t>
      </w:r>
      <w:r w:rsidRPr="001F64A9">
        <w:rPr>
          <w:rFonts w:asciiTheme="majorBidi" w:hAnsiTheme="majorBidi" w:cstheme="majorBidi"/>
          <w:sz w:val="24"/>
          <w:szCs w:val="24"/>
        </w:rPr>
        <w:lastRenderedPageBreak/>
        <w:t>frame were 315% more likely to prefer to get CPR as compared to people who were presented with a negative frame. For informing, these results suggest that people who watched DNR knowledge video were 78% less likely to prefer to get CPR as compared to people who watched the random video. The interaction effect of informing and framing nudge (</w:t>
      </w:r>
      <w:r w:rsidRPr="001F64A9">
        <w:rPr>
          <w:rFonts w:asciiTheme="majorBidi" w:hAnsiTheme="majorBidi" w:cstheme="majorBidi"/>
          <w:i/>
          <w:iCs/>
          <w:sz w:val="24"/>
          <w:szCs w:val="24"/>
        </w:rPr>
        <w:t>OR</w:t>
      </w:r>
      <w:r w:rsidRPr="001F64A9">
        <w:rPr>
          <w:rFonts w:asciiTheme="majorBidi" w:hAnsiTheme="majorBidi" w:cstheme="majorBidi"/>
          <w:sz w:val="24"/>
          <w:szCs w:val="24"/>
        </w:rPr>
        <w:t xml:space="preserve"> = .49, </w:t>
      </w:r>
      <w:r w:rsidRPr="001F64A9">
        <w:rPr>
          <w:rFonts w:asciiTheme="majorBidi" w:hAnsiTheme="majorBidi" w:cstheme="majorBidi"/>
          <w:i/>
          <w:iCs/>
          <w:sz w:val="24"/>
          <w:szCs w:val="24"/>
        </w:rPr>
        <w:t>p</w:t>
      </w:r>
      <w:r w:rsidRPr="001F64A9">
        <w:rPr>
          <w:rFonts w:asciiTheme="majorBidi" w:hAnsiTheme="majorBidi" w:cstheme="majorBidi"/>
          <w:sz w:val="24"/>
          <w:szCs w:val="24"/>
        </w:rPr>
        <w:t xml:space="preserve"> = .224, 95% CI [.14, 1.48]) on preference to get CPR was not statistically significant (see Table 9, Figure 9). The overall model explained 12% of the variance (</w:t>
      </w:r>
      <w:r w:rsidRPr="001F64A9">
        <w:rPr>
          <w:rFonts w:asciiTheme="majorBidi" w:eastAsia="Times New Roman" w:hAnsiTheme="majorBidi" w:cstheme="majorBidi"/>
          <w:sz w:val="24"/>
          <w:szCs w:val="24"/>
        </w:rPr>
        <w:t xml:space="preserve">McFadden </w:t>
      </w:r>
      <w:r w:rsidRPr="001F64A9">
        <w:rPr>
          <w:rFonts w:asciiTheme="majorBidi" w:eastAsia="Times New Roman" w:hAnsiTheme="majorBidi" w:cstheme="majorBidi"/>
          <w:i/>
          <w:iCs/>
          <w:sz w:val="24"/>
          <w:szCs w:val="24"/>
        </w:rPr>
        <w:t>R</w:t>
      </w:r>
      <w:r w:rsidRPr="001F64A9">
        <w:rPr>
          <w:rFonts w:asciiTheme="majorBidi" w:eastAsia="Times New Roman" w:hAnsiTheme="majorBidi" w:cstheme="majorBidi"/>
          <w:i/>
          <w:iCs/>
          <w:sz w:val="24"/>
          <w:szCs w:val="24"/>
          <w:vertAlign w:val="superscript"/>
        </w:rPr>
        <w:t>2</w:t>
      </w:r>
      <w:r w:rsidRPr="001F64A9">
        <w:rPr>
          <w:rFonts w:asciiTheme="majorBidi" w:eastAsia="Times New Roman" w:hAnsiTheme="majorBidi" w:cstheme="majorBidi"/>
          <w:sz w:val="24"/>
          <w:szCs w:val="24"/>
        </w:rPr>
        <w:t xml:space="preserve"> = .12</w:t>
      </w:r>
      <w:r w:rsidRPr="001F64A9">
        <w:rPr>
          <w:rFonts w:asciiTheme="majorBidi" w:hAnsiTheme="majorBidi" w:cstheme="majorBidi"/>
          <w:sz w:val="24"/>
          <w:szCs w:val="24"/>
        </w:rPr>
        <w:t>) in preference to get CPR.</w:t>
      </w:r>
    </w:p>
    <w:p w14:paraId="5EF58C32" w14:textId="77777777" w:rsidR="00EE5072" w:rsidRPr="001F64A9" w:rsidRDefault="00EE5072" w:rsidP="00EE5072">
      <w:pPr>
        <w:spacing w:line="480" w:lineRule="auto"/>
        <w:ind w:firstLine="720"/>
        <w:rPr>
          <w:rFonts w:asciiTheme="majorBidi" w:eastAsia="Times New Roman" w:hAnsiTheme="majorBidi" w:cstheme="majorBidi"/>
          <w:sz w:val="24"/>
          <w:szCs w:val="24"/>
        </w:rPr>
      </w:pPr>
      <w:r w:rsidRPr="001F64A9">
        <w:rPr>
          <w:rFonts w:asciiTheme="majorBidi" w:hAnsiTheme="majorBidi" w:cstheme="majorBidi"/>
          <w:sz w:val="24"/>
          <w:szCs w:val="24"/>
        </w:rPr>
        <w:t>The results from experiment 1c data were consistent with the hypothesis that</w:t>
      </w:r>
      <w:r w:rsidRPr="001F64A9">
        <w:rPr>
          <w:rFonts w:asciiTheme="majorBidi" w:eastAsia="Times New Roman" w:hAnsiTheme="majorBidi" w:cstheme="majorBidi"/>
          <w:sz w:val="24"/>
          <w:szCs w:val="24"/>
        </w:rPr>
        <w:t xml:space="preserve"> informing (i.e., DNR information video) increased the probability of decision to write a DNR and decreased the probability of decision to have CPR. The framing (i.e., positive frame) increased the probability of decision to have CPR but not DNR. </w:t>
      </w:r>
    </w:p>
    <w:p w14:paraId="0D103F52" w14:textId="77777777" w:rsidR="00EE5072" w:rsidRPr="001F64A9" w:rsidRDefault="00EE5072" w:rsidP="00EE5072">
      <w:pPr>
        <w:spacing w:line="480" w:lineRule="auto"/>
        <w:jc w:val="center"/>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t>Experiment 2</w:t>
      </w:r>
    </w:p>
    <w:p w14:paraId="4359E882" w14:textId="77777777" w:rsidR="00EE5072" w:rsidRPr="001F64A9" w:rsidRDefault="00EE5072" w:rsidP="00EE5072">
      <w:pPr>
        <w:spacing w:before="100" w:beforeAutospacing="1" w:after="100" w:afterAutospacing="1"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The second objective, which is the key objective of this thesis, was to compare the effect of framing and informing on beneficence. Beneficence as criterion variable was operationally defined as the correlation between end-of-life values and DNR (and CPR) decision. The correlation between end-of-life values and treatment choices (CPR, DNR, comfort care) have been previously studied by a few researchers to investigate the concordance among different EOL values and the concordance between EOL values and treatment choices (Heyland et al., 2020; Howard et al., 2017). But none of these studies used the correlation as criterion to compare the interventions. The end-of-life values were operationally defined in accordance with Winter (2013). Winter (2013) defined and measured end-of-life values through eight values divided into two factors: Life oriented-values) religious beliefs, family wishes for one’s care, and length of </w:t>
      </w:r>
      <w:r w:rsidRPr="001F64A9">
        <w:rPr>
          <w:rFonts w:asciiTheme="majorBidi" w:eastAsia="Times New Roman" w:hAnsiTheme="majorBidi" w:cstheme="majorBidi"/>
          <w:sz w:val="24"/>
          <w:szCs w:val="24"/>
        </w:rPr>
        <w:lastRenderedPageBreak/>
        <w:t xml:space="preserve">life; </w:t>
      </w:r>
      <w:r w:rsidRPr="001F64A9">
        <w:rPr>
          <w:rFonts w:asciiTheme="majorBidi" w:eastAsia="Times New Roman" w:hAnsiTheme="majorBidi" w:cstheme="majorBidi"/>
          <w:bCs/>
          <w:sz w:val="24"/>
          <w:szCs w:val="24"/>
        </w:rPr>
        <w:t>Pain and dependence-oriented values</w:t>
      </w:r>
      <w:r w:rsidRPr="001F64A9">
        <w:rPr>
          <w:rFonts w:asciiTheme="majorBidi" w:eastAsia="Times New Roman" w:hAnsiTheme="majorBidi" w:cstheme="majorBidi"/>
          <w:sz w:val="24"/>
          <w:szCs w:val="24"/>
        </w:rPr>
        <w:t>) dignified death, decreased pain, avoid burdening family and friends emotionally, avoid burdening others financially, and avoid being dependent on others. Winter’s (2013) 8-end-of-life values have been considered as among key values important for end-of-life treatment care decision making and studied multiple times (Ejem et al., 2019; Frechman et al., 2020; Heyland et al., 2020; Howard et al., 2017; Modes et al., 2019). The main four hypotheses of experiment 2 were following:</w:t>
      </w:r>
    </w:p>
    <w:p w14:paraId="6B399426" w14:textId="77777777" w:rsidR="00EE5072" w:rsidRPr="001F64A9" w:rsidRDefault="00EE5072" w:rsidP="00EE5072">
      <w:pPr>
        <w:spacing w:before="100" w:beforeAutospacing="1" w:after="100" w:afterAutospacing="1" w:line="480" w:lineRule="auto"/>
        <w:ind w:firstLine="720"/>
        <w:jc w:val="both"/>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rPr>
        <w:t>H8:</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sz w:val="24"/>
          <w:szCs w:val="24"/>
          <w:lang w:val="en-GB"/>
        </w:rPr>
        <w:t>I</w:t>
      </w:r>
      <w:r w:rsidRPr="001F64A9">
        <w:rPr>
          <w:rFonts w:asciiTheme="majorBidi" w:eastAsia="Times New Roman" w:hAnsiTheme="majorBidi" w:cstheme="majorBidi"/>
          <w:sz w:val="24"/>
          <w:szCs w:val="24"/>
        </w:rPr>
        <w:t>n the education condition, the correlation between end-of-life values and DNR decision will be in the correct direction, larger, and significantly different from the correlation between end-of-life values and DNR decision in control condition (i.e., no education), positive frame and negative frame.</w:t>
      </w:r>
    </w:p>
    <w:p w14:paraId="1AF5563D" w14:textId="77777777" w:rsidR="00EE5072" w:rsidRPr="001F64A9" w:rsidRDefault="00EE5072" w:rsidP="00EE5072">
      <w:pPr>
        <w:spacing w:before="100" w:beforeAutospacing="1" w:after="100" w:afterAutospacing="1" w:line="480" w:lineRule="auto"/>
        <w:ind w:firstLine="720"/>
        <w:jc w:val="both"/>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rPr>
        <w:t>H9:</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sz w:val="24"/>
          <w:szCs w:val="24"/>
          <w:lang w:val="en-GB"/>
        </w:rPr>
        <w:t>I</w:t>
      </w:r>
      <w:r w:rsidRPr="001F64A9">
        <w:rPr>
          <w:rFonts w:asciiTheme="majorBidi" w:eastAsia="Times New Roman" w:hAnsiTheme="majorBidi" w:cstheme="majorBidi"/>
          <w:sz w:val="24"/>
          <w:szCs w:val="24"/>
        </w:rPr>
        <w:t>n the education condition, the correlation between end-of-life values and CPR decision will be in the correct direction, larger, and significantly different from the correlation between end-of-life values and CPR decision in control condition (i.e., no education), positive frame and negative frame.</w:t>
      </w:r>
    </w:p>
    <w:p w14:paraId="50FA334F" w14:textId="77777777" w:rsidR="00EE5072" w:rsidRPr="001F64A9" w:rsidRDefault="00EE5072" w:rsidP="00EE5072">
      <w:pPr>
        <w:spacing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rPr>
        <w:t>H10:</w:t>
      </w:r>
      <w:r w:rsidRPr="001F64A9">
        <w:rPr>
          <w:rFonts w:asciiTheme="majorBidi" w:eastAsia="Times New Roman" w:hAnsiTheme="majorBidi" w:cstheme="majorBidi"/>
          <w:sz w:val="24"/>
          <w:szCs w:val="24"/>
        </w:rPr>
        <w:t xml:space="preserve"> The correlation of end-of-life values with DNR decision will be larger in negative frame than the correlation in positive frame and significantly different from the correlation in control condition.</w:t>
      </w:r>
    </w:p>
    <w:p w14:paraId="298F2CAD" w14:textId="77777777" w:rsidR="00EE5072" w:rsidRPr="001F64A9" w:rsidRDefault="00EE5072" w:rsidP="00EE5072">
      <w:pPr>
        <w:spacing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rPr>
        <w:t>H11:</w:t>
      </w:r>
      <w:r w:rsidRPr="001F64A9">
        <w:rPr>
          <w:rFonts w:asciiTheme="majorBidi" w:eastAsia="Times New Roman" w:hAnsiTheme="majorBidi" w:cstheme="majorBidi"/>
          <w:sz w:val="24"/>
          <w:szCs w:val="24"/>
        </w:rPr>
        <w:t xml:space="preserve"> The correlation of end-of-life values with CPR decision will be larger in positive frame than the correlation in negative frame and significantly different from the correlation in control condition.</w:t>
      </w:r>
    </w:p>
    <w:p w14:paraId="74B1AD8E" w14:textId="77777777" w:rsidR="00EE5072" w:rsidRPr="001F64A9" w:rsidRDefault="00EE5072" w:rsidP="00EE5072">
      <w:pPr>
        <w:spacing w:line="480" w:lineRule="auto"/>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t>Method</w:t>
      </w:r>
    </w:p>
    <w:p w14:paraId="5F5C1014" w14:textId="77777777" w:rsidR="00EE5072" w:rsidRPr="001F64A9" w:rsidRDefault="00EE5072" w:rsidP="00EE5072">
      <w:pPr>
        <w:spacing w:before="100" w:beforeAutospacing="1" w:after="100" w:afterAutospacing="1" w:line="480" w:lineRule="auto"/>
        <w:ind w:firstLine="720"/>
        <w:jc w:val="both"/>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 xml:space="preserve">Participants. </w:t>
      </w:r>
      <w:r w:rsidRPr="001F64A9">
        <w:rPr>
          <w:rFonts w:asciiTheme="majorBidi" w:eastAsia="Times New Roman" w:hAnsiTheme="majorBidi" w:cstheme="majorBidi"/>
          <w:sz w:val="24"/>
          <w:szCs w:val="24"/>
        </w:rPr>
        <w:t xml:space="preserve">The participants of this study were recruited from an online platform Cloud Research (Douglas, Ewell &amp; Brauer, 2023). The recruited sample size consisted of 400 participants. There are no simulation studies present for sensitivity or power analysis for executing correlation comparisons through </w:t>
      </w:r>
      <w:r w:rsidRPr="001F64A9">
        <w:rPr>
          <w:rFonts w:asciiTheme="majorBidi" w:eastAsia="Times New Roman" w:hAnsiTheme="majorBidi" w:cstheme="majorBidi"/>
          <w:i/>
          <w:iCs/>
          <w:sz w:val="24"/>
          <w:szCs w:val="24"/>
        </w:rPr>
        <w:t>INCOR</w:t>
      </w:r>
      <w:r w:rsidRPr="001F64A9">
        <w:rPr>
          <w:rFonts w:asciiTheme="majorBidi" w:eastAsia="Times New Roman" w:hAnsiTheme="majorBidi" w:cstheme="majorBidi"/>
          <w:sz w:val="24"/>
          <w:szCs w:val="24"/>
        </w:rPr>
        <w:t xml:space="preserve"> (Silver et al., 2008). Considering the four independent conditions of the design, I recruited 100 participants per condition. After data-screening, the remaining 381 responses were used for the data analysis. With respect to gender, there were 152 (66%) female, 126 (33%) male, and 3 (1%) non-binary. The average age of the participants was 44.30 (</w:t>
      </w:r>
      <w:r w:rsidRPr="001F64A9">
        <w:rPr>
          <w:rFonts w:asciiTheme="majorBidi" w:eastAsia="Times New Roman" w:hAnsiTheme="majorBidi" w:cstheme="majorBidi"/>
          <w:i/>
          <w:iCs/>
          <w:sz w:val="24"/>
          <w:szCs w:val="24"/>
        </w:rPr>
        <w:t>SD</w:t>
      </w:r>
      <w:r w:rsidRPr="001F64A9">
        <w:rPr>
          <w:rFonts w:asciiTheme="majorBidi" w:eastAsia="Times New Roman" w:hAnsiTheme="majorBidi" w:cstheme="majorBidi"/>
          <w:sz w:val="24"/>
          <w:szCs w:val="24"/>
        </w:rPr>
        <w:t xml:space="preserve"> = 14.06).</w:t>
      </w:r>
    </w:p>
    <w:p w14:paraId="69E1B3E4" w14:textId="77777777" w:rsidR="00EE5072" w:rsidRPr="001F64A9" w:rsidRDefault="00EE5072" w:rsidP="00EE5072">
      <w:pPr>
        <w:spacing w:line="480" w:lineRule="auto"/>
        <w:ind w:firstLine="360"/>
        <w:rPr>
          <w:rFonts w:asciiTheme="majorBidi" w:hAnsiTheme="majorBidi" w:cstheme="majorBidi"/>
          <w:sz w:val="24"/>
          <w:szCs w:val="24"/>
        </w:rPr>
      </w:pPr>
      <w:r w:rsidRPr="001F64A9">
        <w:rPr>
          <w:rFonts w:asciiTheme="majorBidi" w:hAnsiTheme="majorBidi" w:cstheme="majorBidi"/>
          <w:b/>
          <w:bCs/>
          <w:sz w:val="24"/>
          <w:szCs w:val="24"/>
        </w:rPr>
        <w:t xml:space="preserve">Material. </w:t>
      </w:r>
      <w:r w:rsidRPr="001F64A9">
        <w:rPr>
          <w:rFonts w:asciiTheme="majorBidi" w:hAnsiTheme="majorBidi" w:cstheme="majorBidi"/>
          <w:sz w:val="24"/>
          <w:szCs w:val="24"/>
        </w:rPr>
        <w:t>There were four stimuli for the experimental manipulations: positive frame, negative frame, educational video, irrelevant/control video.  Both positive frame and negative frame statements were same as in Experiment 1c. The DNR educational video was slightly revised as the video was not found effective in two pilot studies. Some irrelevant information and confusing wording were excluded (~ 30 seconds). Icon array for statistics about CPR survival rate and consequences were included in the video. Overall, the scope of the video was not changed (https://youtu.be/jQRnmhY-D5A). The irrelevant video was same as in Experiment 1c except that its length was reduced to 2 minutes and 45 seconds to make it equivalent to DNR knowledge video (https://youtu.be/4ghrWvs1Qgg). CPR and DNR preferences were measured through following questions:</w:t>
      </w:r>
    </w:p>
    <w:p w14:paraId="12BF2FDC" w14:textId="77777777" w:rsidR="00EE5072" w:rsidRPr="001F64A9" w:rsidRDefault="00EE5072" w:rsidP="00EE5072">
      <w:pPr>
        <w:pStyle w:val="ListParagraph"/>
        <w:numPr>
          <w:ilvl w:val="0"/>
          <w:numId w:val="10"/>
        </w:numPr>
        <w:spacing w:line="480" w:lineRule="auto"/>
        <w:rPr>
          <w:rFonts w:asciiTheme="majorBidi" w:hAnsiTheme="majorBidi" w:cstheme="majorBidi"/>
          <w:sz w:val="24"/>
          <w:szCs w:val="24"/>
        </w:rPr>
      </w:pPr>
      <w:r w:rsidRPr="001F64A9">
        <w:rPr>
          <w:rFonts w:asciiTheme="majorBidi" w:hAnsiTheme="majorBidi" w:cstheme="majorBidi"/>
          <w:sz w:val="24"/>
          <w:szCs w:val="24"/>
        </w:rPr>
        <w:t>If you were to get so sick that your heart stopped beating, would you want doctors to perform cardiopulmonary resuscitation (CPR) on you in this case? (Yes / No)</w:t>
      </w:r>
    </w:p>
    <w:p w14:paraId="4B9BD254" w14:textId="77777777" w:rsidR="00EE5072" w:rsidRPr="001F64A9" w:rsidRDefault="00EE5072" w:rsidP="00EE5072">
      <w:pPr>
        <w:pStyle w:val="ListParagraph"/>
        <w:numPr>
          <w:ilvl w:val="0"/>
          <w:numId w:val="10"/>
        </w:numPr>
        <w:spacing w:line="480" w:lineRule="auto"/>
        <w:rPr>
          <w:rFonts w:asciiTheme="majorBidi" w:hAnsiTheme="majorBidi" w:cstheme="majorBidi"/>
          <w:sz w:val="24"/>
          <w:szCs w:val="24"/>
        </w:rPr>
      </w:pPr>
      <w:r w:rsidRPr="001F64A9">
        <w:rPr>
          <w:rFonts w:asciiTheme="majorBidi" w:hAnsiTheme="majorBidi" w:cstheme="majorBidi"/>
          <w:sz w:val="24"/>
          <w:szCs w:val="24"/>
        </w:rPr>
        <w:t>If you were to get so sick that your heart stopped beating, would you like to have do-not-resuscitate order (DNR) for you in this case? (Yes / No)</w:t>
      </w:r>
    </w:p>
    <w:p w14:paraId="33E0BE54" w14:textId="77777777" w:rsidR="00EE5072" w:rsidRPr="001F64A9" w:rsidRDefault="00EE5072" w:rsidP="00EE5072">
      <w:pPr>
        <w:spacing w:line="480" w:lineRule="auto"/>
        <w:ind w:firstLine="720"/>
        <w:rPr>
          <w:rFonts w:asciiTheme="majorBidi" w:hAnsiTheme="majorBidi" w:cstheme="majorBidi"/>
          <w:sz w:val="24"/>
          <w:szCs w:val="24"/>
        </w:rPr>
      </w:pPr>
      <w:r w:rsidRPr="001F64A9">
        <w:rPr>
          <w:rFonts w:asciiTheme="majorBidi" w:hAnsiTheme="majorBidi" w:cstheme="majorBidi"/>
          <w:sz w:val="24"/>
          <w:szCs w:val="24"/>
        </w:rPr>
        <w:lastRenderedPageBreak/>
        <w:t>Along with CPR and DNR preference measures, there were four additional measures: End-of-life values scale (Winter, 2013), DNR knowledge scale (Asif et al, ms), attitude toward DNR scale, and attitude toward CPR scale</w:t>
      </w:r>
      <w:r w:rsidRPr="001F64A9">
        <w:rPr>
          <w:rFonts w:asciiTheme="majorBidi" w:hAnsiTheme="majorBidi" w:cstheme="majorBidi"/>
          <w:b/>
          <w:bCs/>
          <w:sz w:val="24"/>
          <w:szCs w:val="24"/>
        </w:rPr>
        <w:t xml:space="preserve">. </w:t>
      </w:r>
      <w:r w:rsidRPr="001F64A9">
        <w:rPr>
          <w:rFonts w:asciiTheme="majorBidi" w:hAnsiTheme="majorBidi" w:cstheme="majorBidi"/>
          <w:sz w:val="24"/>
          <w:szCs w:val="24"/>
        </w:rPr>
        <w:t xml:space="preserve">The end-of-life values scale (Winter, 2013) was used to measure 8 end-of-life values divided into two factors (life-oriented values, </w:t>
      </w:r>
      <w:r w:rsidRPr="001F64A9">
        <w:rPr>
          <w:rFonts w:asciiTheme="majorBidi" w:eastAsia="Times New Roman" w:hAnsiTheme="majorBidi" w:cstheme="majorBidi"/>
          <w:bCs/>
          <w:sz w:val="24"/>
          <w:szCs w:val="24"/>
        </w:rPr>
        <w:t>pain and dependence-oriented values</w:t>
      </w:r>
      <w:r w:rsidRPr="001F64A9">
        <w:rPr>
          <w:rFonts w:asciiTheme="majorBidi" w:hAnsiTheme="majorBidi" w:cstheme="majorBidi"/>
          <w:sz w:val="24"/>
          <w:szCs w:val="24"/>
        </w:rPr>
        <w:t>).</w:t>
      </w:r>
    </w:p>
    <w:p w14:paraId="4FF25FE0" w14:textId="77777777" w:rsidR="00EE5072" w:rsidRPr="001F64A9" w:rsidRDefault="00EE5072" w:rsidP="00EE5072">
      <w:pPr>
        <w:spacing w:line="480" w:lineRule="auto"/>
        <w:ind w:firstLine="720"/>
        <w:rPr>
          <w:rFonts w:asciiTheme="majorBidi" w:hAnsiTheme="majorBidi" w:cstheme="majorBidi"/>
          <w:sz w:val="24"/>
          <w:szCs w:val="24"/>
        </w:rPr>
      </w:pPr>
      <w:r w:rsidRPr="001F64A9">
        <w:rPr>
          <w:rFonts w:asciiTheme="majorBidi" w:hAnsiTheme="majorBidi" w:cstheme="majorBidi"/>
          <w:sz w:val="24"/>
          <w:szCs w:val="24"/>
        </w:rPr>
        <w:t>DNR knowledge scale was developed and standardized through a number of pilot studies. The psychometric properties of the scale were found satisfactory (see Table 20, Figure 17-19). The scale consisted of 14 items with 7 true and 7 false items. The items of the scale were following:</w:t>
      </w:r>
    </w:p>
    <w:p w14:paraId="2054F988" w14:textId="77777777" w:rsidR="00EE5072" w:rsidRPr="001F64A9" w:rsidRDefault="00EE5072" w:rsidP="00EE5072">
      <w:pPr>
        <w:pStyle w:val="ListParagraph"/>
        <w:numPr>
          <w:ilvl w:val="0"/>
          <w:numId w:val="12"/>
        </w:numPr>
        <w:spacing w:line="480" w:lineRule="auto"/>
        <w:rPr>
          <w:rFonts w:asciiTheme="majorBidi" w:hAnsiTheme="majorBidi" w:cstheme="majorBidi"/>
          <w:sz w:val="24"/>
          <w:szCs w:val="24"/>
        </w:rPr>
      </w:pPr>
      <w:r w:rsidRPr="001F64A9">
        <w:rPr>
          <w:rFonts w:asciiTheme="majorBidi" w:hAnsiTheme="majorBidi" w:cstheme="majorBidi"/>
          <w:sz w:val="24"/>
          <w:szCs w:val="24"/>
        </w:rPr>
        <w:t>Do not resuscitate orders (DNR) are not official medical documents. (R) (Ture / False / I don’t know)</w:t>
      </w:r>
    </w:p>
    <w:p w14:paraId="76F5921F" w14:textId="77777777" w:rsidR="00EE5072" w:rsidRPr="001F64A9" w:rsidRDefault="00EE5072" w:rsidP="00EE5072">
      <w:pPr>
        <w:pStyle w:val="ListParagraph"/>
        <w:numPr>
          <w:ilvl w:val="0"/>
          <w:numId w:val="12"/>
        </w:numPr>
        <w:spacing w:line="480" w:lineRule="auto"/>
        <w:rPr>
          <w:rFonts w:asciiTheme="majorBidi" w:hAnsiTheme="majorBidi" w:cstheme="majorBidi"/>
          <w:sz w:val="24"/>
          <w:szCs w:val="24"/>
        </w:rPr>
      </w:pPr>
      <w:r w:rsidRPr="001F64A9">
        <w:rPr>
          <w:rFonts w:asciiTheme="majorBidi" w:hAnsiTheme="majorBidi" w:cstheme="majorBidi"/>
          <w:sz w:val="24"/>
          <w:szCs w:val="24"/>
        </w:rPr>
        <w:t>Cardiopulmonary resuscitation (CPR) includes chest compression and artificial ventilation. (Ture / False / I don’t know)</w:t>
      </w:r>
    </w:p>
    <w:p w14:paraId="45F3A68C" w14:textId="77777777" w:rsidR="00EE5072" w:rsidRPr="001F64A9" w:rsidRDefault="00EE5072" w:rsidP="00EE5072">
      <w:pPr>
        <w:pStyle w:val="ListParagraph"/>
        <w:numPr>
          <w:ilvl w:val="0"/>
          <w:numId w:val="12"/>
        </w:numPr>
        <w:spacing w:line="480" w:lineRule="auto"/>
        <w:rPr>
          <w:rFonts w:asciiTheme="majorBidi" w:hAnsiTheme="majorBidi" w:cstheme="majorBidi"/>
          <w:sz w:val="24"/>
          <w:szCs w:val="24"/>
        </w:rPr>
      </w:pPr>
      <w:r w:rsidRPr="001F64A9">
        <w:rPr>
          <w:rFonts w:asciiTheme="majorBidi" w:hAnsiTheme="majorBidi" w:cstheme="majorBidi"/>
          <w:sz w:val="24"/>
          <w:szCs w:val="24"/>
        </w:rPr>
        <w:t>Do not resuscitate orders (DNR) sabotage individuals' right to exercise control over their medical care wishes. (R) (Ture / False / I don’t know)</w:t>
      </w:r>
    </w:p>
    <w:p w14:paraId="2F49294B" w14:textId="77777777" w:rsidR="00EE5072" w:rsidRPr="001F64A9" w:rsidRDefault="00EE5072" w:rsidP="00EE5072">
      <w:pPr>
        <w:pStyle w:val="ListParagraph"/>
        <w:numPr>
          <w:ilvl w:val="0"/>
          <w:numId w:val="12"/>
        </w:numPr>
        <w:spacing w:line="480" w:lineRule="auto"/>
        <w:rPr>
          <w:rFonts w:asciiTheme="majorBidi" w:hAnsiTheme="majorBidi" w:cstheme="majorBidi"/>
          <w:sz w:val="24"/>
          <w:szCs w:val="24"/>
        </w:rPr>
      </w:pPr>
      <w:r w:rsidRPr="001F64A9">
        <w:rPr>
          <w:rFonts w:asciiTheme="majorBidi" w:hAnsiTheme="majorBidi" w:cstheme="majorBidi"/>
          <w:sz w:val="24"/>
          <w:szCs w:val="24"/>
        </w:rPr>
        <w:t>A do-not-resuscitate (DNR) order is an order not to apply cardiopulmonary resuscitation (CPR). (Ture / False / I don’t know)</w:t>
      </w:r>
    </w:p>
    <w:p w14:paraId="24C1F352" w14:textId="77777777" w:rsidR="00EE5072" w:rsidRPr="001F64A9" w:rsidRDefault="00EE5072" w:rsidP="00EE5072">
      <w:pPr>
        <w:pStyle w:val="ListParagraph"/>
        <w:numPr>
          <w:ilvl w:val="0"/>
          <w:numId w:val="12"/>
        </w:numPr>
        <w:spacing w:line="480" w:lineRule="auto"/>
        <w:rPr>
          <w:rFonts w:asciiTheme="majorBidi" w:hAnsiTheme="majorBidi" w:cstheme="majorBidi"/>
          <w:sz w:val="24"/>
          <w:szCs w:val="24"/>
        </w:rPr>
      </w:pPr>
      <w:r w:rsidRPr="001F64A9">
        <w:rPr>
          <w:rFonts w:asciiTheme="majorBidi" w:hAnsiTheme="majorBidi" w:cstheme="majorBidi"/>
          <w:sz w:val="24"/>
          <w:szCs w:val="24"/>
        </w:rPr>
        <w:t>Individuals have the right to a doctor who is willing to administer cardiopulmonary resuscitation (CPR). (Ture / False / I don’t know)</w:t>
      </w:r>
    </w:p>
    <w:p w14:paraId="3FA058CC" w14:textId="77777777" w:rsidR="00EE5072" w:rsidRPr="001F64A9" w:rsidRDefault="00EE5072" w:rsidP="00EE5072">
      <w:pPr>
        <w:pStyle w:val="ListParagraph"/>
        <w:numPr>
          <w:ilvl w:val="0"/>
          <w:numId w:val="12"/>
        </w:numPr>
        <w:spacing w:line="480" w:lineRule="auto"/>
        <w:rPr>
          <w:rFonts w:asciiTheme="majorBidi" w:hAnsiTheme="majorBidi" w:cstheme="majorBidi"/>
          <w:sz w:val="24"/>
          <w:szCs w:val="24"/>
        </w:rPr>
      </w:pPr>
      <w:r w:rsidRPr="001F64A9">
        <w:rPr>
          <w:rFonts w:asciiTheme="majorBidi" w:hAnsiTheme="majorBidi" w:cstheme="majorBidi"/>
          <w:sz w:val="24"/>
          <w:szCs w:val="24"/>
        </w:rPr>
        <w:t>Individuals should not discuss their wishes about do-not-resuscitate (DNR) orders before they are sick. (R) (Ture / False / I don’t know)</w:t>
      </w:r>
    </w:p>
    <w:p w14:paraId="057B52F2" w14:textId="77777777" w:rsidR="00EE5072" w:rsidRPr="001F64A9" w:rsidRDefault="00EE5072" w:rsidP="00EE5072">
      <w:pPr>
        <w:pStyle w:val="ListParagraph"/>
        <w:numPr>
          <w:ilvl w:val="0"/>
          <w:numId w:val="12"/>
        </w:numPr>
        <w:spacing w:line="480" w:lineRule="auto"/>
        <w:rPr>
          <w:rFonts w:asciiTheme="majorBidi" w:hAnsiTheme="majorBidi" w:cstheme="majorBidi"/>
          <w:sz w:val="24"/>
          <w:szCs w:val="24"/>
        </w:rPr>
      </w:pPr>
      <w:r w:rsidRPr="001F64A9">
        <w:rPr>
          <w:rFonts w:asciiTheme="majorBidi" w:hAnsiTheme="majorBidi" w:cstheme="majorBidi"/>
          <w:sz w:val="24"/>
          <w:szCs w:val="24"/>
        </w:rPr>
        <w:t>Unless there are good reasons not to, all patients receive cardiopulmonary resuscitation (CPR) if needed. (Ture / False / I don’t know)</w:t>
      </w:r>
    </w:p>
    <w:p w14:paraId="6729B04E" w14:textId="77777777" w:rsidR="00EE5072" w:rsidRPr="001F64A9" w:rsidRDefault="00EE5072" w:rsidP="00EE5072">
      <w:pPr>
        <w:pStyle w:val="ListParagraph"/>
        <w:numPr>
          <w:ilvl w:val="0"/>
          <w:numId w:val="12"/>
        </w:numPr>
        <w:spacing w:line="480" w:lineRule="auto"/>
        <w:rPr>
          <w:rFonts w:asciiTheme="majorBidi" w:hAnsiTheme="majorBidi" w:cstheme="majorBidi"/>
          <w:sz w:val="24"/>
          <w:szCs w:val="24"/>
        </w:rPr>
      </w:pPr>
      <w:r w:rsidRPr="001F64A9">
        <w:rPr>
          <w:rFonts w:asciiTheme="majorBidi" w:hAnsiTheme="majorBidi" w:cstheme="majorBidi"/>
          <w:sz w:val="24"/>
          <w:szCs w:val="24"/>
        </w:rPr>
        <w:lastRenderedPageBreak/>
        <w:t>Individuals should discuss their wishes about do-not-resuscitate (DNR) orders with their decision making proxies. (Ture / False / I don’t know)</w:t>
      </w:r>
    </w:p>
    <w:p w14:paraId="455D887C" w14:textId="77777777" w:rsidR="00EE5072" w:rsidRPr="001F64A9" w:rsidRDefault="00EE5072" w:rsidP="00EE5072">
      <w:pPr>
        <w:pStyle w:val="ListParagraph"/>
        <w:numPr>
          <w:ilvl w:val="0"/>
          <w:numId w:val="12"/>
        </w:numPr>
        <w:spacing w:line="480" w:lineRule="auto"/>
        <w:rPr>
          <w:rFonts w:asciiTheme="majorBidi" w:hAnsiTheme="majorBidi" w:cstheme="majorBidi"/>
          <w:sz w:val="24"/>
          <w:szCs w:val="24"/>
        </w:rPr>
      </w:pPr>
      <w:r w:rsidRPr="001F64A9">
        <w:rPr>
          <w:rFonts w:asciiTheme="majorBidi" w:hAnsiTheme="majorBidi" w:cstheme="majorBidi"/>
          <w:sz w:val="24"/>
          <w:szCs w:val="24"/>
        </w:rPr>
        <w:t>Individuals can use an advance directive form as a do-not-resuscitate (DNR) order. (Ture / False / I don’t know)</w:t>
      </w:r>
    </w:p>
    <w:p w14:paraId="3049E952" w14:textId="77777777" w:rsidR="00EE5072" w:rsidRPr="001F64A9" w:rsidRDefault="00EE5072" w:rsidP="00EE5072">
      <w:pPr>
        <w:pStyle w:val="ListParagraph"/>
        <w:numPr>
          <w:ilvl w:val="0"/>
          <w:numId w:val="12"/>
        </w:numPr>
        <w:spacing w:line="480" w:lineRule="auto"/>
        <w:rPr>
          <w:rFonts w:asciiTheme="majorBidi" w:hAnsiTheme="majorBidi" w:cstheme="majorBidi"/>
          <w:sz w:val="24"/>
          <w:szCs w:val="24"/>
        </w:rPr>
      </w:pPr>
      <w:r w:rsidRPr="001F64A9">
        <w:rPr>
          <w:rFonts w:asciiTheme="majorBidi" w:hAnsiTheme="majorBidi" w:cstheme="majorBidi"/>
          <w:sz w:val="24"/>
          <w:szCs w:val="24"/>
        </w:rPr>
        <w:t>Do-not-resuscitate (DNR) orders can be written by a lawyer. (Ture / False / I don’t know)</w:t>
      </w:r>
    </w:p>
    <w:p w14:paraId="1E88B453" w14:textId="77777777" w:rsidR="00EE5072" w:rsidRPr="001F64A9" w:rsidRDefault="00EE5072" w:rsidP="00EE5072">
      <w:pPr>
        <w:pStyle w:val="ListParagraph"/>
        <w:numPr>
          <w:ilvl w:val="0"/>
          <w:numId w:val="12"/>
        </w:numPr>
        <w:spacing w:line="480" w:lineRule="auto"/>
        <w:rPr>
          <w:rFonts w:asciiTheme="majorBidi" w:hAnsiTheme="majorBidi" w:cstheme="majorBidi"/>
          <w:sz w:val="24"/>
          <w:szCs w:val="24"/>
        </w:rPr>
      </w:pPr>
      <w:r w:rsidRPr="001F64A9">
        <w:rPr>
          <w:rFonts w:asciiTheme="majorBidi" w:hAnsiTheme="majorBidi" w:cstheme="majorBidi"/>
          <w:sz w:val="24"/>
          <w:szCs w:val="24"/>
        </w:rPr>
        <w:t>Do-not-resuscitate (DNR) orders cannot be changed. (R) (Ture / False / I don’t know)</w:t>
      </w:r>
    </w:p>
    <w:p w14:paraId="7D7A9D34" w14:textId="77777777" w:rsidR="00EE5072" w:rsidRPr="001F64A9" w:rsidRDefault="00EE5072" w:rsidP="00EE5072">
      <w:pPr>
        <w:pStyle w:val="ListParagraph"/>
        <w:numPr>
          <w:ilvl w:val="0"/>
          <w:numId w:val="12"/>
        </w:numPr>
        <w:spacing w:line="480" w:lineRule="auto"/>
        <w:rPr>
          <w:rFonts w:asciiTheme="majorBidi" w:hAnsiTheme="majorBidi" w:cstheme="majorBidi"/>
          <w:sz w:val="24"/>
          <w:szCs w:val="24"/>
        </w:rPr>
      </w:pPr>
      <w:r w:rsidRPr="001F64A9">
        <w:rPr>
          <w:rFonts w:asciiTheme="majorBidi" w:hAnsiTheme="majorBidi" w:cstheme="majorBidi"/>
          <w:sz w:val="24"/>
          <w:szCs w:val="24"/>
        </w:rPr>
        <w:t>Cardiopulmonary resuscitation (CPR) cannot be performed on individuals with terminal illnesses. (R) (Ture / False / I don’t know)</w:t>
      </w:r>
    </w:p>
    <w:p w14:paraId="63EDD7EA" w14:textId="77777777" w:rsidR="00EE5072" w:rsidRPr="001F64A9" w:rsidRDefault="00EE5072" w:rsidP="00EE5072">
      <w:pPr>
        <w:pStyle w:val="ListParagraph"/>
        <w:numPr>
          <w:ilvl w:val="0"/>
          <w:numId w:val="12"/>
        </w:numPr>
        <w:spacing w:line="480" w:lineRule="auto"/>
        <w:rPr>
          <w:rFonts w:asciiTheme="majorBidi" w:hAnsiTheme="majorBidi" w:cstheme="majorBidi"/>
          <w:sz w:val="24"/>
          <w:szCs w:val="24"/>
        </w:rPr>
      </w:pPr>
      <w:r w:rsidRPr="001F64A9">
        <w:rPr>
          <w:rFonts w:asciiTheme="majorBidi" w:hAnsiTheme="majorBidi" w:cstheme="majorBidi"/>
          <w:sz w:val="24"/>
          <w:szCs w:val="24"/>
        </w:rPr>
        <w:t>Cardiopulmonary resuscitation (CPR) cannot be performed on individuals of any age. (R) (Ture / False / I don’t know)</w:t>
      </w:r>
    </w:p>
    <w:p w14:paraId="368107F2" w14:textId="77777777" w:rsidR="00EE5072" w:rsidRPr="001F64A9" w:rsidRDefault="00EE5072" w:rsidP="00EE5072">
      <w:pPr>
        <w:pStyle w:val="ListParagraph"/>
        <w:numPr>
          <w:ilvl w:val="0"/>
          <w:numId w:val="12"/>
        </w:numPr>
        <w:spacing w:line="480" w:lineRule="auto"/>
        <w:rPr>
          <w:rFonts w:asciiTheme="majorBidi" w:hAnsiTheme="majorBidi" w:cstheme="majorBidi"/>
          <w:sz w:val="24"/>
          <w:szCs w:val="24"/>
        </w:rPr>
      </w:pPr>
      <w:r w:rsidRPr="001F64A9">
        <w:rPr>
          <w:rFonts w:asciiTheme="majorBidi" w:hAnsiTheme="majorBidi" w:cstheme="majorBidi"/>
          <w:sz w:val="24"/>
          <w:szCs w:val="24"/>
        </w:rPr>
        <w:t>Do-not-resuscitate (DNR) orders does not apply in all inside and outside of hospital settings. (R) (Ture / False / I don’t know)</w:t>
      </w:r>
    </w:p>
    <w:p w14:paraId="0F1AA3E3" w14:textId="77777777" w:rsidR="00EE5072" w:rsidRPr="001F64A9" w:rsidRDefault="00EE5072" w:rsidP="00EE5072">
      <w:pPr>
        <w:spacing w:line="480" w:lineRule="auto"/>
        <w:ind w:firstLine="360"/>
        <w:rPr>
          <w:rFonts w:asciiTheme="majorBidi" w:hAnsiTheme="majorBidi" w:cstheme="majorBidi"/>
          <w:sz w:val="24"/>
          <w:szCs w:val="24"/>
        </w:rPr>
      </w:pPr>
      <w:r w:rsidRPr="001F64A9">
        <w:rPr>
          <w:rFonts w:asciiTheme="majorBidi" w:hAnsiTheme="majorBidi" w:cstheme="majorBidi"/>
          <w:sz w:val="24"/>
          <w:szCs w:val="24"/>
        </w:rPr>
        <w:t>The attitude towards CPR scale was developed and standardized through number of pilot studies. The psychometric properties of the scale were found satisfactory (see Table 21). The scale was consisted of 5 items. The items of the scale were following:</w:t>
      </w:r>
    </w:p>
    <w:p w14:paraId="0C0DEE32" w14:textId="77777777" w:rsidR="00EE5072" w:rsidRPr="001F64A9" w:rsidRDefault="00EE5072" w:rsidP="00EE5072">
      <w:pPr>
        <w:pStyle w:val="ListParagraph"/>
        <w:numPr>
          <w:ilvl w:val="0"/>
          <w:numId w:val="14"/>
        </w:numPr>
        <w:spacing w:line="480" w:lineRule="auto"/>
        <w:rPr>
          <w:rFonts w:asciiTheme="majorBidi" w:hAnsiTheme="majorBidi" w:cstheme="majorBidi"/>
          <w:sz w:val="24"/>
          <w:szCs w:val="24"/>
        </w:rPr>
      </w:pPr>
      <w:r w:rsidRPr="001F64A9">
        <w:rPr>
          <w:rFonts w:asciiTheme="majorBidi" w:hAnsiTheme="majorBidi" w:cstheme="majorBidi"/>
          <w:sz w:val="24"/>
          <w:szCs w:val="24"/>
        </w:rPr>
        <w:t>You would like to get CPR if your heart stops beating. (Strongly disagree = 1, Strongly agree = 5)</w:t>
      </w:r>
    </w:p>
    <w:p w14:paraId="0D77A685" w14:textId="77777777" w:rsidR="00EE5072" w:rsidRPr="001F64A9" w:rsidRDefault="00EE5072" w:rsidP="00EE5072">
      <w:pPr>
        <w:pStyle w:val="ListParagraph"/>
        <w:numPr>
          <w:ilvl w:val="0"/>
          <w:numId w:val="14"/>
        </w:numPr>
        <w:spacing w:line="480" w:lineRule="auto"/>
        <w:rPr>
          <w:rFonts w:asciiTheme="majorBidi" w:hAnsiTheme="majorBidi" w:cstheme="majorBidi"/>
          <w:sz w:val="24"/>
          <w:szCs w:val="24"/>
        </w:rPr>
      </w:pPr>
      <w:r w:rsidRPr="001F64A9">
        <w:rPr>
          <w:rFonts w:asciiTheme="majorBidi" w:hAnsiTheme="majorBidi" w:cstheme="majorBidi"/>
          <w:sz w:val="24"/>
          <w:szCs w:val="24"/>
        </w:rPr>
        <w:t>Even if the CPR provider is not medical professional, I would be willing to get CPR. (Strongly disagree = 1, Strongly agree = 5)</w:t>
      </w:r>
    </w:p>
    <w:p w14:paraId="423BF231" w14:textId="77777777" w:rsidR="00EE5072" w:rsidRPr="001F64A9" w:rsidRDefault="00EE5072" w:rsidP="00EE5072">
      <w:pPr>
        <w:pStyle w:val="ListParagraph"/>
        <w:numPr>
          <w:ilvl w:val="0"/>
          <w:numId w:val="14"/>
        </w:numPr>
        <w:spacing w:line="480" w:lineRule="auto"/>
        <w:rPr>
          <w:rFonts w:asciiTheme="majorBidi" w:hAnsiTheme="majorBidi" w:cstheme="majorBidi"/>
          <w:sz w:val="24"/>
          <w:szCs w:val="24"/>
        </w:rPr>
      </w:pPr>
      <w:r w:rsidRPr="001F64A9">
        <w:rPr>
          <w:rFonts w:asciiTheme="majorBidi" w:hAnsiTheme="majorBidi" w:cstheme="majorBidi"/>
          <w:sz w:val="24"/>
          <w:szCs w:val="24"/>
        </w:rPr>
        <w:t>I am willing get CPR, even with the potential consequences of CPR (e.g., broken ribs, internal bleeding). (Strongly disagree = 1, Strongly agree = 5)</w:t>
      </w:r>
    </w:p>
    <w:p w14:paraId="10C70C48" w14:textId="77777777" w:rsidR="00EE5072" w:rsidRPr="001F64A9" w:rsidRDefault="00EE5072" w:rsidP="00EE5072">
      <w:pPr>
        <w:pStyle w:val="ListParagraph"/>
        <w:numPr>
          <w:ilvl w:val="0"/>
          <w:numId w:val="14"/>
        </w:numPr>
        <w:spacing w:line="480" w:lineRule="auto"/>
        <w:rPr>
          <w:rFonts w:asciiTheme="majorBidi" w:hAnsiTheme="majorBidi" w:cstheme="majorBidi"/>
          <w:sz w:val="24"/>
          <w:szCs w:val="24"/>
        </w:rPr>
      </w:pPr>
      <w:r w:rsidRPr="001F64A9">
        <w:rPr>
          <w:rFonts w:asciiTheme="majorBidi" w:hAnsiTheme="majorBidi" w:cstheme="majorBidi"/>
          <w:sz w:val="24"/>
          <w:szCs w:val="24"/>
        </w:rPr>
        <w:t>CPR is beneficial for the well-being of human beings. (Strongly disagree = 1, Strongly agree = 5)</w:t>
      </w:r>
    </w:p>
    <w:p w14:paraId="3F2EEEC3" w14:textId="77777777" w:rsidR="00EE5072" w:rsidRPr="001F64A9" w:rsidRDefault="00EE5072" w:rsidP="00EE5072">
      <w:pPr>
        <w:pStyle w:val="ListParagraph"/>
        <w:numPr>
          <w:ilvl w:val="0"/>
          <w:numId w:val="14"/>
        </w:numPr>
        <w:spacing w:line="480" w:lineRule="auto"/>
        <w:rPr>
          <w:rFonts w:asciiTheme="majorBidi" w:hAnsiTheme="majorBidi" w:cstheme="majorBidi"/>
          <w:sz w:val="24"/>
          <w:szCs w:val="24"/>
        </w:rPr>
      </w:pPr>
      <w:r w:rsidRPr="001F64A9">
        <w:rPr>
          <w:rFonts w:asciiTheme="majorBidi" w:hAnsiTheme="majorBidi" w:cstheme="majorBidi"/>
          <w:sz w:val="24"/>
          <w:szCs w:val="24"/>
        </w:rPr>
        <w:lastRenderedPageBreak/>
        <w:t>I recommend everyone should get CPR when needed. (Strongly disagree = 1, Strongly agree = 5)</w:t>
      </w:r>
    </w:p>
    <w:p w14:paraId="068A890F" w14:textId="77777777" w:rsidR="00EE5072" w:rsidRPr="001F64A9" w:rsidRDefault="00EE5072" w:rsidP="00EE5072">
      <w:pPr>
        <w:spacing w:line="480" w:lineRule="auto"/>
        <w:ind w:firstLine="720"/>
        <w:rPr>
          <w:rFonts w:asciiTheme="majorBidi" w:hAnsiTheme="majorBidi" w:cstheme="majorBidi"/>
        </w:rPr>
      </w:pPr>
      <w:r w:rsidRPr="001F64A9">
        <w:rPr>
          <w:rFonts w:asciiTheme="majorBidi" w:hAnsiTheme="majorBidi" w:cstheme="majorBidi"/>
          <w:sz w:val="24"/>
          <w:szCs w:val="24"/>
        </w:rPr>
        <w:t>The attitude towards DNR scale was developed and standardized through number of pilot studies. The psychometric properties of the scale were found satisfactory (see Table 22). The scale was consisted of 4 items. The items of the scale were following:</w:t>
      </w:r>
      <w:r w:rsidRPr="001F64A9">
        <w:rPr>
          <w:rFonts w:asciiTheme="majorBidi" w:hAnsiTheme="majorBidi" w:cstheme="majorBidi"/>
        </w:rPr>
        <w:t xml:space="preserve"> </w:t>
      </w:r>
    </w:p>
    <w:p w14:paraId="0BB8AC3D" w14:textId="77777777" w:rsidR="00EE5072" w:rsidRPr="001F64A9" w:rsidRDefault="00EE5072" w:rsidP="00EE5072">
      <w:pPr>
        <w:pStyle w:val="ListParagraph"/>
        <w:numPr>
          <w:ilvl w:val="0"/>
          <w:numId w:val="16"/>
        </w:numPr>
        <w:spacing w:line="480" w:lineRule="auto"/>
        <w:rPr>
          <w:rFonts w:asciiTheme="majorBidi" w:hAnsiTheme="majorBidi" w:cstheme="majorBidi"/>
          <w:sz w:val="24"/>
          <w:szCs w:val="24"/>
        </w:rPr>
      </w:pPr>
      <w:r w:rsidRPr="001F64A9">
        <w:rPr>
          <w:rFonts w:asciiTheme="majorBidi" w:hAnsiTheme="majorBidi" w:cstheme="majorBidi"/>
          <w:sz w:val="24"/>
          <w:szCs w:val="24"/>
        </w:rPr>
        <w:t>I would not like to get CPR if my heart stops beating. (Strongly disagree = 1, Strongly agree = 5)</w:t>
      </w:r>
    </w:p>
    <w:p w14:paraId="46B464F2" w14:textId="77777777" w:rsidR="00EE5072" w:rsidRPr="001F64A9" w:rsidRDefault="00EE5072" w:rsidP="00EE5072">
      <w:pPr>
        <w:pStyle w:val="ListParagraph"/>
        <w:numPr>
          <w:ilvl w:val="0"/>
          <w:numId w:val="16"/>
        </w:numPr>
        <w:spacing w:line="480" w:lineRule="auto"/>
        <w:rPr>
          <w:rFonts w:asciiTheme="majorBidi" w:hAnsiTheme="majorBidi" w:cstheme="majorBidi"/>
          <w:sz w:val="24"/>
          <w:szCs w:val="24"/>
        </w:rPr>
      </w:pPr>
      <w:r w:rsidRPr="001F64A9">
        <w:rPr>
          <w:rFonts w:asciiTheme="majorBidi" w:hAnsiTheme="majorBidi" w:cstheme="majorBidi"/>
          <w:sz w:val="24"/>
          <w:szCs w:val="24"/>
        </w:rPr>
        <w:t>I would like to have a DNR, even if I’m healthy. (Strongly disagree = 1, Strongly agree = 5)</w:t>
      </w:r>
    </w:p>
    <w:p w14:paraId="11916804" w14:textId="77777777" w:rsidR="00EE5072" w:rsidRPr="001F64A9" w:rsidRDefault="00EE5072" w:rsidP="00EE5072">
      <w:pPr>
        <w:pStyle w:val="ListParagraph"/>
        <w:numPr>
          <w:ilvl w:val="0"/>
          <w:numId w:val="16"/>
        </w:numPr>
        <w:spacing w:line="480" w:lineRule="auto"/>
        <w:rPr>
          <w:rFonts w:asciiTheme="majorBidi" w:hAnsiTheme="majorBidi" w:cstheme="majorBidi"/>
          <w:sz w:val="24"/>
          <w:szCs w:val="24"/>
        </w:rPr>
      </w:pPr>
      <w:r w:rsidRPr="001F64A9">
        <w:rPr>
          <w:rFonts w:asciiTheme="majorBidi" w:hAnsiTheme="majorBidi" w:cstheme="majorBidi"/>
          <w:sz w:val="24"/>
          <w:szCs w:val="24"/>
        </w:rPr>
        <w:t>DNR ensures a peaceful death. (Strongly disagree = 1, Strongly agree = 5)</w:t>
      </w:r>
    </w:p>
    <w:p w14:paraId="12501B9A" w14:textId="77777777" w:rsidR="00EE5072" w:rsidRPr="001F64A9" w:rsidRDefault="00EE5072" w:rsidP="00EE5072">
      <w:pPr>
        <w:pStyle w:val="ListParagraph"/>
        <w:numPr>
          <w:ilvl w:val="0"/>
          <w:numId w:val="16"/>
        </w:numPr>
        <w:spacing w:line="480" w:lineRule="auto"/>
        <w:rPr>
          <w:rFonts w:asciiTheme="majorBidi" w:hAnsiTheme="majorBidi" w:cstheme="majorBidi"/>
          <w:sz w:val="24"/>
          <w:szCs w:val="24"/>
        </w:rPr>
      </w:pPr>
      <w:r w:rsidRPr="001F64A9">
        <w:rPr>
          <w:rFonts w:asciiTheme="majorBidi" w:hAnsiTheme="majorBidi" w:cstheme="majorBidi"/>
          <w:sz w:val="24"/>
          <w:szCs w:val="24"/>
        </w:rPr>
        <w:t>I recommend everyone should have a DNR. (Strongly disagree = 1, Strongly agree = 5)</w:t>
      </w:r>
    </w:p>
    <w:p w14:paraId="263F94A0" w14:textId="77777777" w:rsidR="00EE5072" w:rsidRPr="001F64A9" w:rsidRDefault="00EE5072" w:rsidP="00EE5072">
      <w:pPr>
        <w:spacing w:line="480" w:lineRule="auto"/>
        <w:rPr>
          <w:rFonts w:asciiTheme="majorBidi" w:hAnsiTheme="majorBidi" w:cstheme="majorBidi"/>
          <w:b/>
          <w:bCs/>
          <w:sz w:val="24"/>
          <w:szCs w:val="24"/>
        </w:rPr>
      </w:pPr>
      <w:r w:rsidRPr="001F64A9">
        <w:rPr>
          <w:rFonts w:asciiTheme="majorBidi" w:hAnsiTheme="majorBidi" w:cstheme="majorBidi"/>
          <w:b/>
          <w:bCs/>
          <w:sz w:val="24"/>
          <w:szCs w:val="24"/>
        </w:rPr>
        <w:t>Results and Discussion</w:t>
      </w:r>
    </w:p>
    <w:p w14:paraId="70358202" w14:textId="77777777" w:rsidR="00EE5072" w:rsidRPr="001F64A9" w:rsidRDefault="00EE5072" w:rsidP="00EE5072">
      <w:pPr>
        <w:spacing w:line="480" w:lineRule="auto"/>
        <w:ind w:firstLine="720"/>
        <w:jc w:val="both"/>
        <w:rPr>
          <w:rFonts w:asciiTheme="majorBidi" w:eastAsia="Times New Roman" w:hAnsiTheme="majorBidi" w:cstheme="majorBidi"/>
          <w:b/>
          <w:sz w:val="24"/>
          <w:szCs w:val="24"/>
        </w:rPr>
      </w:pPr>
      <w:r w:rsidRPr="001F64A9">
        <w:rPr>
          <w:rFonts w:asciiTheme="majorBidi" w:eastAsia="Times New Roman" w:hAnsiTheme="majorBidi" w:cstheme="majorBidi"/>
          <w:b/>
          <w:sz w:val="24"/>
          <w:szCs w:val="24"/>
        </w:rPr>
        <w:t xml:space="preserve">Correlation Differences across Interventions. </w:t>
      </w:r>
      <w:r w:rsidRPr="001F64A9">
        <w:rPr>
          <w:rFonts w:asciiTheme="majorBidi" w:eastAsia="Times New Roman" w:hAnsiTheme="majorBidi" w:cstheme="majorBidi"/>
          <w:bCs/>
          <w:sz w:val="24"/>
          <w:szCs w:val="24"/>
        </w:rPr>
        <w:t xml:space="preserve">The overall correlations between CPR decision and EOL values were stronger, especially of life-oriented values (i.e., religiosity, family wishes, and longevity) than correlations between DNR decision and pain and dependence-oriented values (i.e., </w:t>
      </w:r>
      <w:r w:rsidRPr="001F64A9">
        <w:rPr>
          <w:rFonts w:asciiTheme="majorBidi" w:hAnsiTheme="majorBidi" w:cstheme="majorBidi"/>
          <w:bCs/>
          <w:sz w:val="24"/>
          <w:szCs w:val="24"/>
        </w:rPr>
        <w:t>dignified death</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spared pain</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emotionally</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financially</w:t>
      </w:r>
      <w:r w:rsidRPr="001F64A9">
        <w:rPr>
          <w:rFonts w:asciiTheme="majorBidi" w:eastAsia="Times New Roman" w:hAnsiTheme="majorBidi" w:cstheme="majorBidi"/>
          <w:bCs/>
          <w:sz w:val="24"/>
          <w:szCs w:val="24"/>
        </w:rPr>
        <w:t xml:space="preserve">, dependence) (see Table 10). These findings were consistent with Winter’s (2013). She reported that religiosity, family wishes values, and longevity were more strongly correlated with preferences for life-prolonging treatment preferences (i.e., CPR decision) as compared to pain and dependence-oriented values (i.e., </w:t>
      </w:r>
      <w:r w:rsidRPr="001F64A9">
        <w:rPr>
          <w:rFonts w:asciiTheme="majorBidi" w:hAnsiTheme="majorBidi" w:cstheme="majorBidi"/>
          <w:bCs/>
          <w:sz w:val="24"/>
          <w:szCs w:val="24"/>
        </w:rPr>
        <w:t>dignified death</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spared pain</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emotionally</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financially</w:t>
      </w:r>
      <w:r w:rsidRPr="001F64A9">
        <w:rPr>
          <w:rFonts w:asciiTheme="majorBidi" w:eastAsia="Times New Roman" w:hAnsiTheme="majorBidi" w:cstheme="majorBidi"/>
          <w:bCs/>
          <w:sz w:val="24"/>
          <w:szCs w:val="24"/>
        </w:rPr>
        <w:t xml:space="preserve">, dependence). However, Experiment 2 results revealed that correlations between DNR decision and pain and dependence-oriented values were comparatively stronger than DNR decision </w:t>
      </w:r>
      <w:r w:rsidRPr="001F64A9">
        <w:rPr>
          <w:rFonts w:asciiTheme="majorBidi" w:eastAsia="Times New Roman" w:hAnsiTheme="majorBidi" w:cstheme="majorBidi"/>
          <w:bCs/>
          <w:sz w:val="24"/>
          <w:szCs w:val="24"/>
        </w:rPr>
        <w:lastRenderedPageBreak/>
        <w:t xml:space="preserve">and life-oriented values. This looks promising because the pain and dependence oriented values (i.e., </w:t>
      </w:r>
      <w:r w:rsidRPr="001F64A9">
        <w:rPr>
          <w:rFonts w:asciiTheme="majorBidi" w:hAnsiTheme="majorBidi" w:cstheme="majorBidi"/>
          <w:bCs/>
          <w:sz w:val="24"/>
          <w:szCs w:val="24"/>
        </w:rPr>
        <w:t>dignified death</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spared pain</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emotionally</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financially</w:t>
      </w:r>
      <w:r w:rsidRPr="001F64A9">
        <w:rPr>
          <w:rFonts w:asciiTheme="majorBidi" w:eastAsia="Times New Roman" w:hAnsiTheme="majorBidi" w:cstheme="majorBidi"/>
          <w:bCs/>
          <w:sz w:val="24"/>
          <w:szCs w:val="24"/>
        </w:rPr>
        <w:t>, dependence) are arguably more medically relevant (especially in chronic illnesses, e.g., spared pain is more medically relevant as compared to respecting family wishes about their treatment), DNR-decision oriented, and comparatively high-stake values (Coppola et al., 1999; Cousineau et al., 2003; Doukas, Antonucci &amp; Gorenflo, 1992; Doukas &amp; Gorenflo, 1993; McPherson, Wilson &amp; Murray, 2007).</w:t>
      </w:r>
    </w:p>
    <w:p w14:paraId="4FC9764B" w14:textId="77777777" w:rsidR="00EE5072" w:rsidRPr="001F64A9" w:rsidRDefault="00EE5072" w:rsidP="00EE5072">
      <w:pPr>
        <w:spacing w:line="480" w:lineRule="auto"/>
        <w:ind w:firstLine="720"/>
        <w:rPr>
          <w:rFonts w:asciiTheme="majorBidi" w:eastAsia="Times New Roman" w:hAnsiTheme="majorBidi" w:cstheme="majorBidi"/>
          <w:bCs/>
          <w:sz w:val="24"/>
          <w:szCs w:val="24"/>
        </w:rPr>
      </w:pPr>
      <w:r w:rsidRPr="001F64A9">
        <w:rPr>
          <w:rFonts w:asciiTheme="majorBidi" w:eastAsia="Times New Roman" w:hAnsiTheme="majorBidi" w:cstheme="majorBidi"/>
          <w:bCs/>
          <w:sz w:val="24"/>
          <w:szCs w:val="24"/>
        </w:rPr>
        <w:t xml:space="preserve">In the DNR preference question, education condition performed better for pain and dependence-oriented values (i.e., </w:t>
      </w:r>
      <w:r w:rsidRPr="001F64A9">
        <w:rPr>
          <w:rFonts w:asciiTheme="majorBidi" w:hAnsiTheme="majorBidi" w:cstheme="majorBidi"/>
          <w:bCs/>
          <w:sz w:val="24"/>
          <w:szCs w:val="24"/>
        </w:rPr>
        <w:t>dignified death</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spared pain</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emotionally</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financially</w:t>
      </w:r>
      <w:r w:rsidRPr="001F64A9">
        <w:rPr>
          <w:rFonts w:asciiTheme="majorBidi" w:eastAsia="Times New Roman" w:hAnsiTheme="majorBidi" w:cstheme="majorBidi"/>
          <w:bCs/>
          <w:sz w:val="24"/>
          <w:szCs w:val="24"/>
        </w:rPr>
        <w:t>, dependence). Correlations between pain and dependence-oriented values and DNR preference decision were positive in all four conditions, but the correlation in education condition was stronger than all three other conditions. The correlation in education condition was significantly different from correlation in control condition. The correlations in positive and negative frames were non-significantly different from correlations in control condition. The correlations between life-oriented values (i.e., religiosity, family wishes, and longevity) and DNR preference decision were negative in all four conditions but the correlation differences with each other were statistically non-significant. These correlation differences are depicted in Figure 10</w:t>
      </w:r>
      <w:r w:rsidRPr="001F64A9">
        <w:rPr>
          <w:rFonts w:asciiTheme="majorBidi" w:eastAsia="Times New Roman" w:hAnsiTheme="majorBidi" w:cstheme="majorBidi"/>
          <w:b/>
          <w:sz w:val="24"/>
          <w:szCs w:val="24"/>
        </w:rPr>
        <w:t>.</w:t>
      </w:r>
      <w:r w:rsidRPr="001F64A9">
        <w:rPr>
          <w:rFonts w:asciiTheme="majorBidi" w:eastAsia="Times New Roman" w:hAnsiTheme="majorBidi" w:cstheme="majorBidi"/>
          <w:bCs/>
          <w:sz w:val="24"/>
          <w:szCs w:val="24"/>
        </w:rPr>
        <w:t xml:space="preserve"> These findings for DNR decision suggested that the decision aid interventions (i.e., education and framing) performed same as providing no decision aid (i.e., irrelevant video) in terms of promoting/protecting the life-oriented values (i.e., religiosity, family wishes, and longevity). While only the educational intervention performed significantly better than no decision aid in terms of promoting/protecting the pain and dependence-oriented values (i.e., </w:t>
      </w:r>
      <w:r w:rsidRPr="001F64A9">
        <w:rPr>
          <w:rFonts w:asciiTheme="majorBidi" w:hAnsiTheme="majorBidi" w:cstheme="majorBidi"/>
          <w:bCs/>
          <w:sz w:val="24"/>
          <w:szCs w:val="24"/>
        </w:rPr>
        <w:t>dignified death</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lastRenderedPageBreak/>
        <w:t>spared pain</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emotionally</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financially</w:t>
      </w:r>
      <w:r w:rsidRPr="001F64A9">
        <w:rPr>
          <w:rFonts w:asciiTheme="majorBidi" w:eastAsia="Times New Roman" w:hAnsiTheme="majorBidi" w:cstheme="majorBidi"/>
          <w:bCs/>
          <w:sz w:val="24"/>
          <w:szCs w:val="24"/>
        </w:rPr>
        <w:t>, dependence); positive and negative frame performed same as providing no decision aid.</w:t>
      </w:r>
    </w:p>
    <w:p w14:paraId="7ECC06EA" w14:textId="77777777" w:rsidR="00EE5072" w:rsidRPr="001F64A9" w:rsidRDefault="00EE5072" w:rsidP="00EE5072">
      <w:pPr>
        <w:spacing w:line="480" w:lineRule="auto"/>
        <w:ind w:firstLine="720"/>
        <w:rPr>
          <w:rFonts w:asciiTheme="majorBidi" w:eastAsia="Times New Roman" w:hAnsiTheme="majorBidi" w:cstheme="majorBidi"/>
          <w:bCs/>
          <w:sz w:val="24"/>
          <w:szCs w:val="24"/>
        </w:rPr>
      </w:pPr>
      <w:r w:rsidRPr="001F64A9">
        <w:rPr>
          <w:rFonts w:asciiTheme="majorBidi" w:eastAsia="Times New Roman" w:hAnsiTheme="majorBidi" w:cstheme="majorBidi"/>
          <w:bCs/>
          <w:sz w:val="24"/>
          <w:szCs w:val="24"/>
        </w:rPr>
        <w:t>In the CPR preference decision context, the correlations between life-oriented values (i.e., religiosity, family wishes, and longevity) and CPR decision in education condition were positive and stronger in magnitude as compared to all three other conditions but the correlation differences were statistically non-significant. The correlations (i.e., between pain and dependence-oriented values and CPR decision) in education, positive, and negative frame conditions were negative and significantly different from correlation in control condition (i.e., irrelevant video). The correlation differences were non-significant in education, positive, and negative frame conditions (with each other). These correlation differences are depicted in Figure 11</w:t>
      </w:r>
      <w:r w:rsidRPr="001F64A9">
        <w:rPr>
          <w:rFonts w:asciiTheme="majorBidi" w:eastAsia="Times New Roman" w:hAnsiTheme="majorBidi" w:cstheme="majorBidi"/>
          <w:b/>
          <w:sz w:val="24"/>
          <w:szCs w:val="24"/>
        </w:rPr>
        <w:t>.</w:t>
      </w:r>
      <w:r w:rsidRPr="001F64A9">
        <w:rPr>
          <w:rFonts w:asciiTheme="majorBidi" w:eastAsia="Times New Roman" w:hAnsiTheme="majorBidi" w:cstheme="majorBidi"/>
          <w:bCs/>
          <w:sz w:val="24"/>
          <w:szCs w:val="24"/>
        </w:rPr>
        <w:t xml:space="preserve"> These findings suggested that the decision aid interventions (i.e., education and framing) performed same providing no decision aid (i.e., irrelevant video) in terms of promoting/protecting the life oriented values (i.e., same as in DNR decision context). While educational intervention along with positive and negative frame, performed better than providing no decision aid (i.e., irrelevant video) in terms of promoting/protecting the pain and dependence oriented values (i.e., </w:t>
      </w:r>
      <w:r w:rsidRPr="001F64A9">
        <w:rPr>
          <w:rFonts w:asciiTheme="majorBidi" w:hAnsiTheme="majorBidi" w:cstheme="majorBidi"/>
          <w:bCs/>
          <w:sz w:val="24"/>
          <w:szCs w:val="24"/>
        </w:rPr>
        <w:t>dignified death</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spared pain</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emotionally</w:t>
      </w:r>
      <w:r w:rsidRPr="001F64A9">
        <w:rPr>
          <w:rFonts w:asciiTheme="majorBidi" w:eastAsia="Times New Roman" w:hAnsiTheme="majorBidi" w:cstheme="majorBidi"/>
          <w:bCs/>
          <w:sz w:val="24"/>
          <w:szCs w:val="24"/>
        </w:rPr>
        <w:t xml:space="preserve">, </w:t>
      </w:r>
      <w:r w:rsidRPr="001F64A9">
        <w:rPr>
          <w:rFonts w:asciiTheme="majorBidi" w:hAnsiTheme="majorBidi" w:cstheme="majorBidi"/>
          <w:bCs/>
          <w:sz w:val="24"/>
          <w:szCs w:val="24"/>
        </w:rPr>
        <w:t>burdening financially</w:t>
      </w:r>
      <w:r w:rsidRPr="001F64A9">
        <w:rPr>
          <w:rFonts w:asciiTheme="majorBidi" w:eastAsia="Times New Roman" w:hAnsiTheme="majorBidi" w:cstheme="majorBidi"/>
          <w:bCs/>
          <w:sz w:val="24"/>
          <w:szCs w:val="24"/>
        </w:rPr>
        <w:t>, dependence).</w:t>
      </w:r>
    </w:p>
    <w:p w14:paraId="74323FE2" w14:textId="77777777" w:rsidR="00EE5072" w:rsidRPr="001F64A9" w:rsidRDefault="00EE5072" w:rsidP="00EE5072">
      <w:pPr>
        <w:spacing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bCs/>
          <w:sz w:val="24"/>
          <w:szCs w:val="24"/>
        </w:rPr>
        <w:t xml:space="preserve">The findings of Experiment 2 supported the hypotheses 8 (especially for pain and dependence oriented values), that in </w:t>
      </w:r>
      <w:r w:rsidRPr="001F64A9">
        <w:rPr>
          <w:rFonts w:asciiTheme="majorBidi" w:eastAsia="Times New Roman" w:hAnsiTheme="majorBidi" w:cstheme="majorBidi"/>
          <w:sz w:val="24"/>
          <w:szCs w:val="24"/>
        </w:rPr>
        <w:t xml:space="preserve">the education condition, the correlation between end-of-life values and DNR decision were in the correct direction, larger, and significantly different from the correlation between end-of-life values and DNR decision in control condition (i.e., no DNR education. Similarly, results of Experiment 2 supported the hypothesis 9 </w:t>
      </w:r>
      <w:r w:rsidRPr="001F64A9">
        <w:rPr>
          <w:rFonts w:asciiTheme="majorBidi" w:eastAsia="Times New Roman" w:hAnsiTheme="majorBidi" w:cstheme="majorBidi"/>
          <w:bCs/>
          <w:sz w:val="24"/>
          <w:szCs w:val="24"/>
        </w:rPr>
        <w:t xml:space="preserve">(especially for pain and dependence oriented values), that in </w:t>
      </w:r>
      <w:r w:rsidRPr="001F64A9">
        <w:rPr>
          <w:rFonts w:asciiTheme="majorBidi" w:eastAsia="Times New Roman" w:hAnsiTheme="majorBidi" w:cstheme="majorBidi"/>
          <w:sz w:val="24"/>
          <w:szCs w:val="24"/>
        </w:rPr>
        <w:t xml:space="preserve">the education condition, the correlation between end-of-life </w:t>
      </w:r>
      <w:r w:rsidRPr="001F64A9">
        <w:rPr>
          <w:rFonts w:asciiTheme="majorBidi" w:eastAsia="Times New Roman" w:hAnsiTheme="majorBidi" w:cstheme="majorBidi"/>
          <w:sz w:val="24"/>
          <w:szCs w:val="24"/>
        </w:rPr>
        <w:lastRenderedPageBreak/>
        <w:t xml:space="preserve">values and CPR decision were in the correct direction, larger, and significantly different from the correlation between end-of-life values and CPR decision in control condition (i.e., no DNR education). The </w:t>
      </w:r>
      <w:r w:rsidRPr="001F64A9">
        <w:rPr>
          <w:rFonts w:asciiTheme="majorBidi" w:eastAsia="Times New Roman" w:hAnsiTheme="majorBidi" w:cstheme="majorBidi"/>
          <w:bCs/>
          <w:sz w:val="24"/>
          <w:szCs w:val="24"/>
        </w:rPr>
        <w:t>findings of Experiment 2</w:t>
      </w:r>
      <w:r w:rsidRPr="001F64A9">
        <w:rPr>
          <w:rFonts w:asciiTheme="majorBidi" w:eastAsia="Times New Roman" w:hAnsiTheme="majorBidi" w:cstheme="majorBidi"/>
          <w:sz w:val="24"/>
          <w:szCs w:val="24"/>
        </w:rPr>
        <w:t xml:space="preserve"> partially supported the hypothesis 10 as the correlation between DNR and EOL values (especially </w:t>
      </w:r>
      <w:r w:rsidRPr="001F64A9">
        <w:rPr>
          <w:rFonts w:asciiTheme="majorBidi" w:eastAsia="Times New Roman" w:hAnsiTheme="majorBidi" w:cstheme="majorBidi"/>
          <w:bCs/>
          <w:sz w:val="24"/>
          <w:szCs w:val="24"/>
        </w:rPr>
        <w:t>pain and dependence oriented values</w:t>
      </w:r>
      <w:r w:rsidRPr="001F64A9">
        <w:rPr>
          <w:rFonts w:asciiTheme="majorBidi" w:eastAsia="Times New Roman" w:hAnsiTheme="majorBidi" w:cstheme="majorBidi"/>
          <w:sz w:val="24"/>
          <w:szCs w:val="24"/>
        </w:rPr>
        <w:t>) was larger in negative frame than in the correlation in positive frame and control condition, but these correlations were non-significantly different from one another.</w:t>
      </w:r>
    </w:p>
    <w:p w14:paraId="46C9AB20" w14:textId="77777777" w:rsidR="00EE5072" w:rsidRPr="001F64A9" w:rsidRDefault="00EE5072" w:rsidP="00EE5072">
      <w:pPr>
        <w:spacing w:line="480" w:lineRule="auto"/>
        <w:ind w:firstLine="720"/>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t xml:space="preserve">DNR Knowledge. </w:t>
      </w:r>
      <w:r w:rsidRPr="001F64A9">
        <w:rPr>
          <w:rFonts w:asciiTheme="majorBidi" w:eastAsia="Times New Roman" w:hAnsiTheme="majorBidi" w:cstheme="majorBidi"/>
          <w:sz w:val="24"/>
          <w:szCs w:val="24"/>
        </w:rPr>
        <w:t xml:space="preserve">To check to make sure the educational video increased objective knowledge about CPR and DNRs, we analyzed mean gain scores on the DNR Knowledge instrument. An ANOVA was conducted to test whether DNR knowledge varies before and after four groups/interventions and across groups/interventions (positive frame, negative frame, education, control). There was a significant main effect of pre-post DNR knowledge, </w:t>
      </w:r>
      <w:r w:rsidRPr="001F64A9">
        <w:rPr>
          <w:rFonts w:asciiTheme="majorBidi" w:eastAsia="Times New Roman" w:hAnsiTheme="majorBidi" w:cstheme="majorBidi"/>
          <w:i/>
          <w:iCs/>
          <w:sz w:val="24"/>
          <w:szCs w:val="24"/>
        </w:rPr>
        <w:t>F</w:t>
      </w:r>
      <w:r w:rsidRPr="001F64A9">
        <w:rPr>
          <w:rFonts w:asciiTheme="majorBidi" w:eastAsia="Times New Roman" w:hAnsiTheme="majorBidi" w:cstheme="majorBidi"/>
          <w:sz w:val="24"/>
          <w:szCs w:val="24"/>
        </w:rPr>
        <w:t xml:space="preserve">(1, 377) = 9.22, </w:t>
      </w:r>
      <w:r w:rsidRPr="001F64A9">
        <w:rPr>
          <w:rFonts w:asciiTheme="majorBidi" w:eastAsia="Times New Roman" w:hAnsiTheme="majorBidi" w:cstheme="majorBidi"/>
          <w:i/>
          <w:iCs/>
          <w:sz w:val="24"/>
          <w:szCs w:val="24"/>
        </w:rPr>
        <w:t>p</w:t>
      </w:r>
      <w:r w:rsidRPr="001F64A9">
        <w:rPr>
          <w:rFonts w:asciiTheme="majorBidi" w:eastAsia="Times New Roman" w:hAnsiTheme="majorBidi" w:cstheme="majorBidi"/>
          <w:sz w:val="24"/>
          <w:szCs w:val="24"/>
        </w:rPr>
        <w:t xml:space="preserve"> &lt; .01,  </w:t>
      </w:r>
      <w:r w:rsidRPr="001F64A9">
        <w:rPr>
          <w:rFonts w:asciiTheme="majorBidi" w:hAnsiTheme="majorBidi" w:cstheme="majorBidi"/>
          <w:i/>
          <w:iCs/>
          <w:sz w:val="24"/>
          <w:szCs w:val="24"/>
        </w:rPr>
        <w:t>η</w:t>
      </w:r>
      <w:r w:rsidRPr="001F64A9">
        <w:rPr>
          <w:rFonts w:asciiTheme="majorBidi" w:hAnsiTheme="majorBidi" w:cstheme="majorBidi"/>
          <w:i/>
          <w:iCs/>
          <w:sz w:val="24"/>
          <w:szCs w:val="24"/>
          <w:vertAlign w:val="superscript"/>
        </w:rPr>
        <w:t>2</w:t>
      </w:r>
      <w:r w:rsidRPr="001F64A9">
        <w:rPr>
          <w:rFonts w:asciiTheme="majorBidi" w:hAnsiTheme="majorBidi" w:cstheme="majorBidi"/>
          <w:sz w:val="24"/>
          <w:szCs w:val="24"/>
          <w:vertAlign w:val="superscript"/>
        </w:rPr>
        <w:t xml:space="preserve"> </w:t>
      </w:r>
      <w:r w:rsidRPr="001F64A9">
        <w:rPr>
          <w:rFonts w:asciiTheme="majorBidi" w:eastAsia="Times New Roman" w:hAnsiTheme="majorBidi" w:cstheme="majorBidi"/>
          <w:sz w:val="24"/>
          <w:szCs w:val="24"/>
        </w:rPr>
        <w:t xml:space="preserve">= .002, which means that DNR knowledge scores significantly changed after the experimental conditions as a whole. The interaction effect of groups and pre-post DNR knowledge, </w:t>
      </w:r>
      <w:r w:rsidRPr="001F64A9">
        <w:rPr>
          <w:rFonts w:asciiTheme="majorBidi" w:eastAsia="Times New Roman" w:hAnsiTheme="majorBidi" w:cstheme="majorBidi"/>
          <w:i/>
          <w:iCs/>
          <w:sz w:val="24"/>
          <w:szCs w:val="24"/>
        </w:rPr>
        <w:t>F</w:t>
      </w:r>
      <w:r w:rsidRPr="001F64A9">
        <w:rPr>
          <w:rFonts w:asciiTheme="majorBidi" w:eastAsia="Times New Roman" w:hAnsiTheme="majorBidi" w:cstheme="majorBidi"/>
          <w:sz w:val="24"/>
          <w:szCs w:val="24"/>
        </w:rPr>
        <w:t xml:space="preserve">(3, 377) = 9.26, </w:t>
      </w:r>
      <w:r w:rsidRPr="001F64A9">
        <w:rPr>
          <w:rFonts w:asciiTheme="majorBidi" w:eastAsia="Times New Roman" w:hAnsiTheme="majorBidi" w:cstheme="majorBidi"/>
          <w:i/>
          <w:iCs/>
          <w:sz w:val="24"/>
          <w:szCs w:val="24"/>
        </w:rPr>
        <w:t>p</w:t>
      </w:r>
      <w:r w:rsidRPr="001F64A9">
        <w:rPr>
          <w:rFonts w:asciiTheme="majorBidi" w:eastAsia="Times New Roman" w:hAnsiTheme="majorBidi" w:cstheme="majorBidi"/>
          <w:sz w:val="24"/>
          <w:szCs w:val="24"/>
        </w:rPr>
        <w:t xml:space="preserve"> &lt; .01, </w:t>
      </w:r>
      <w:r w:rsidRPr="001F64A9">
        <w:rPr>
          <w:rFonts w:asciiTheme="majorBidi" w:hAnsiTheme="majorBidi" w:cstheme="majorBidi"/>
          <w:i/>
          <w:iCs/>
          <w:sz w:val="24"/>
          <w:szCs w:val="24"/>
        </w:rPr>
        <w:t>η</w:t>
      </w:r>
      <w:r w:rsidRPr="001F64A9">
        <w:rPr>
          <w:rFonts w:asciiTheme="majorBidi" w:hAnsiTheme="majorBidi" w:cstheme="majorBidi"/>
          <w:i/>
          <w:iCs/>
          <w:sz w:val="24"/>
          <w:szCs w:val="24"/>
          <w:vertAlign w:val="superscript"/>
        </w:rPr>
        <w:t>2</w:t>
      </w:r>
      <w:r w:rsidRPr="001F64A9">
        <w:rPr>
          <w:rFonts w:asciiTheme="majorBidi" w:eastAsia="Times New Roman" w:hAnsiTheme="majorBidi" w:cstheme="majorBidi"/>
          <w:sz w:val="24"/>
          <w:szCs w:val="24"/>
        </w:rPr>
        <w:t xml:space="preserve"> = .01, which means that DNR knowledge scores significantly changed only because of one (or more than one) particular condition. The main effect of groups was found non-significant, </w:t>
      </w:r>
      <w:r w:rsidRPr="001F64A9">
        <w:rPr>
          <w:rFonts w:asciiTheme="majorBidi" w:eastAsia="Times New Roman" w:hAnsiTheme="majorBidi" w:cstheme="majorBidi"/>
          <w:i/>
          <w:iCs/>
          <w:sz w:val="24"/>
          <w:szCs w:val="24"/>
        </w:rPr>
        <w:t>F</w:t>
      </w:r>
      <w:r w:rsidRPr="001F64A9">
        <w:rPr>
          <w:rFonts w:asciiTheme="majorBidi" w:eastAsia="Times New Roman" w:hAnsiTheme="majorBidi" w:cstheme="majorBidi"/>
          <w:sz w:val="24"/>
          <w:szCs w:val="24"/>
        </w:rPr>
        <w:t xml:space="preserve">(3, 377) = 1.73, </w:t>
      </w:r>
      <w:r w:rsidRPr="001F64A9">
        <w:rPr>
          <w:rFonts w:asciiTheme="majorBidi" w:eastAsia="Times New Roman" w:hAnsiTheme="majorBidi" w:cstheme="majorBidi"/>
          <w:i/>
          <w:iCs/>
          <w:sz w:val="24"/>
          <w:szCs w:val="24"/>
        </w:rPr>
        <w:t>p</w:t>
      </w:r>
      <w:r w:rsidRPr="001F64A9">
        <w:rPr>
          <w:rFonts w:asciiTheme="majorBidi" w:eastAsia="Times New Roman" w:hAnsiTheme="majorBidi" w:cstheme="majorBidi"/>
          <w:sz w:val="24"/>
          <w:szCs w:val="24"/>
        </w:rPr>
        <w:t xml:space="preserve"> &gt; .05, </w:t>
      </w:r>
      <w:r w:rsidRPr="001F64A9">
        <w:rPr>
          <w:rFonts w:asciiTheme="majorBidi" w:hAnsiTheme="majorBidi" w:cstheme="majorBidi"/>
          <w:i/>
          <w:iCs/>
          <w:sz w:val="24"/>
          <w:szCs w:val="24"/>
        </w:rPr>
        <w:t>η</w:t>
      </w:r>
      <w:r w:rsidRPr="001F64A9">
        <w:rPr>
          <w:rFonts w:asciiTheme="majorBidi" w:hAnsiTheme="majorBidi" w:cstheme="majorBidi"/>
          <w:i/>
          <w:iCs/>
          <w:sz w:val="24"/>
          <w:szCs w:val="24"/>
          <w:vertAlign w:val="superscript"/>
        </w:rPr>
        <w:t>2</w:t>
      </w:r>
      <w:r w:rsidRPr="001F64A9">
        <w:rPr>
          <w:rFonts w:asciiTheme="majorBidi" w:eastAsia="Times New Roman" w:hAnsiTheme="majorBidi" w:cstheme="majorBidi"/>
          <w:sz w:val="24"/>
          <w:szCs w:val="24"/>
        </w:rPr>
        <w:t xml:space="preserve"> = .01, which means that over scores of DNR knowledge were not different across groups. The descriptives are provided in Table 11. The post-hoc analysis for pre-post DNR knowledge revealed that knowledge scores significantly increased after the interventions (see Table 12). The post-hoc analysis for the interaction between groups and pre-post DNR knowledge revealed that the post DNR knowledge scores were significantly higher than pre DNR knowledge scores in educational video condition and both pre and post DNR knowledge scores in irrelevant video condition (see Table 13, Figure 12). </w:t>
      </w:r>
    </w:p>
    <w:p w14:paraId="41B6C55D" w14:textId="77777777" w:rsidR="00EE5072" w:rsidRPr="001F64A9" w:rsidRDefault="00EE5072" w:rsidP="00EE5072">
      <w:pPr>
        <w:spacing w:line="480" w:lineRule="auto"/>
        <w:ind w:firstLine="720"/>
        <w:rPr>
          <w:rFonts w:asciiTheme="majorBidi" w:hAnsiTheme="majorBidi" w:cstheme="majorBidi"/>
          <w:sz w:val="24"/>
          <w:szCs w:val="24"/>
        </w:rPr>
      </w:pPr>
      <w:r w:rsidRPr="001F64A9">
        <w:rPr>
          <w:rFonts w:asciiTheme="majorBidi" w:hAnsiTheme="majorBidi" w:cstheme="majorBidi"/>
          <w:sz w:val="24"/>
          <w:szCs w:val="24"/>
        </w:rPr>
        <w:lastRenderedPageBreak/>
        <w:t xml:space="preserve">A mediation analysis was conducted to test the indirect effect of experimental groups on CPR preference (and DNR preference) through DNR knowledge gain after controlling the effects of attitude towards CPR and DNR, through </w:t>
      </w:r>
      <w:r w:rsidRPr="001F64A9">
        <w:rPr>
          <w:rFonts w:asciiTheme="majorBidi" w:hAnsiTheme="majorBidi" w:cstheme="majorBidi"/>
          <w:i/>
          <w:iCs/>
          <w:sz w:val="24"/>
          <w:szCs w:val="24"/>
        </w:rPr>
        <w:t>Mediation</w:t>
      </w:r>
      <w:r w:rsidRPr="001F64A9">
        <w:rPr>
          <w:rFonts w:asciiTheme="majorBidi" w:hAnsiTheme="majorBidi" w:cstheme="majorBidi"/>
          <w:sz w:val="24"/>
          <w:szCs w:val="24"/>
        </w:rPr>
        <w:t xml:space="preserve"> package in </w:t>
      </w:r>
      <w:r w:rsidRPr="001F64A9">
        <w:rPr>
          <w:rFonts w:asciiTheme="majorBidi" w:hAnsiTheme="majorBidi" w:cstheme="majorBidi"/>
          <w:i/>
          <w:iCs/>
          <w:sz w:val="24"/>
          <w:szCs w:val="24"/>
        </w:rPr>
        <w:t>R</w:t>
      </w:r>
      <w:r w:rsidRPr="001F64A9">
        <w:rPr>
          <w:rFonts w:asciiTheme="majorBidi" w:hAnsiTheme="majorBidi" w:cstheme="majorBidi"/>
          <w:sz w:val="24"/>
          <w:szCs w:val="24"/>
        </w:rPr>
        <w:t xml:space="preserve">. </w:t>
      </w:r>
      <w:r w:rsidRPr="001F64A9">
        <w:rPr>
          <w:rFonts w:asciiTheme="majorBidi" w:eastAsia="Times New Roman" w:hAnsiTheme="majorBidi" w:cstheme="majorBidi"/>
          <w:sz w:val="24"/>
          <w:szCs w:val="24"/>
        </w:rPr>
        <w:t xml:space="preserve">The DNR knowledge gain scores were computed through subtracting pre DNR knowledge scores from post DNR scores. Attitudes toward CPR and DNR were controlled in this analysis because their scores were also significantly changed along with DNR knowledge as a result of manipulation (especially in result of education). Consequently, attitudes toward CPR and DNR also had significant impacts on CPR and DNR preferences (see Figure 13-14). Mixed model ANOVAs for attitudes toward CPR and DNR were conducted (discussed below) to test the change in their scores before and after the interventions. </w:t>
      </w:r>
      <w:r w:rsidRPr="001F64A9">
        <w:rPr>
          <w:rFonts w:asciiTheme="majorBidi" w:hAnsiTheme="majorBidi" w:cstheme="majorBidi"/>
          <w:sz w:val="24"/>
          <w:szCs w:val="24"/>
        </w:rPr>
        <w:t>For DNR preference, the indirect effect of education was found significant (</w:t>
      </w:r>
      <w:r w:rsidRPr="001F64A9">
        <w:rPr>
          <w:rFonts w:asciiTheme="majorBidi" w:hAnsiTheme="majorBidi" w:cstheme="majorBidi"/>
          <w:i/>
          <w:iCs/>
          <w:sz w:val="24"/>
          <w:szCs w:val="24"/>
        </w:rPr>
        <w:t>B</w:t>
      </w:r>
      <w:r w:rsidRPr="001F64A9">
        <w:rPr>
          <w:rFonts w:asciiTheme="majorBidi" w:hAnsiTheme="majorBidi" w:cstheme="majorBidi"/>
          <w:sz w:val="24"/>
          <w:szCs w:val="24"/>
        </w:rPr>
        <w:t xml:space="preserve"> = .25, </w:t>
      </w:r>
      <w:r w:rsidRPr="001F64A9">
        <w:rPr>
          <w:rFonts w:asciiTheme="majorBidi" w:hAnsiTheme="majorBidi" w:cstheme="majorBidi"/>
          <w:i/>
          <w:iCs/>
          <w:sz w:val="24"/>
          <w:szCs w:val="24"/>
        </w:rPr>
        <w:t>SE</w:t>
      </w:r>
      <w:r w:rsidRPr="001F64A9">
        <w:rPr>
          <w:rFonts w:asciiTheme="majorBidi" w:hAnsiTheme="majorBidi" w:cstheme="majorBidi"/>
          <w:sz w:val="24"/>
          <w:szCs w:val="24"/>
        </w:rPr>
        <w:t xml:space="preserve"> = .12, 95% </w:t>
      </w:r>
      <w:r w:rsidRPr="001F64A9">
        <w:rPr>
          <w:rFonts w:asciiTheme="majorBidi" w:hAnsiTheme="majorBidi" w:cstheme="majorBidi"/>
          <w:i/>
          <w:iCs/>
          <w:sz w:val="24"/>
          <w:szCs w:val="24"/>
        </w:rPr>
        <w:t>CI</w:t>
      </w:r>
      <w:r w:rsidRPr="001F64A9">
        <w:rPr>
          <w:rFonts w:asciiTheme="majorBidi" w:hAnsiTheme="majorBidi" w:cstheme="majorBidi"/>
          <w:sz w:val="24"/>
          <w:szCs w:val="24"/>
        </w:rPr>
        <w:t>: .05 - .52) while all other indirect effects (negative affect, no education) were non-significant. The direct effect of education was found non-significant (</w:t>
      </w:r>
      <w:r w:rsidRPr="001F64A9">
        <w:rPr>
          <w:rFonts w:asciiTheme="majorBidi" w:hAnsiTheme="majorBidi" w:cstheme="majorBidi"/>
          <w:i/>
          <w:iCs/>
          <w:sz w:val="24"/>
          <w:szCs w:val="24"/>
        </w:rPr>
        <w:t>β</w:t>
      </w:r>
      <w:r w:rsidRPr="001F64A9">
        <w:rPr>
          <w:rFonts w:asciiTheme="majorBidi" w:hAnsiTheme="majorBidi" w:cstheme="majorBidi"/>
          <w:sz w:val="24"/>
          <w:szCs w:val="24"/>
        </w:rPr>
        <w:t xml:space="preserve"> = .10, </w:t>
      </w:r>
      <w:r w:rsidRPr="001F64A9">
        <w:rPr>
          <w:rFonts w:asciiTheme="majorBidi" w:hAnsiTheme="majorBidi" w:cstheme="majorBidi"/>
          <w:i/>
          <w:iCs/>
          <w:sz w:val="24"/>
          <w:szCs w:val="24"/>
        </w:rPr>
        <w:t>p</w:t>
      </w:r>
      <w:r w:rsidRPr="001F64A9">
        <w:rPr>
          <w:rFonts w:asciiTheme="majorBidi" w:hAnsiTheme="majorBidi" w:cstheme="majorBidi"/>
          <w:sz w:val="24"/>
          <w:szCs w:val="24"/>
        </w:rPr>
        <w:t xml:space="preserve"> &gt; .05) including all other direct effects. This represented that the effect of education on DNR preference was fully mediated by DNR knowledge. The mediational model for DNR preference is presented in Figure 12. For CPR preference, the indirect effect of education was found significant (</w:t>
      </w:r>
      <w:r w:rsidRPr="001F64A9">
        <w:rPr>
          <w:rFonts w:asciiTheme="majorBidi" w:hAnsiTheme="majorBidi" w:cstheme="majorBidi"/>
          <w:i/>
          <w:iCs/>
          <w:sz w:val="24"/>
          <w:szCs w:val="24"/>
        </w:rPr>
        <w:t>B</w:t>
      </w:r>
      <w:r w:rsidRPr="001F64A9">
        <w:rPr>
          <w:rFonts w:asciiTheme="majorBidi" w:hAnsiTheme="majorBidi" w:cstheme="majorBidi"/>
          <w:sz w:val="24"/>
          <w:szCs w:val="24"/>
        </w:rPr>
        <w:t xml:space="preserve"> = -.23, </w:t>
      </w:r>
      <w:r w:rsidRPr="001F64A9">
        <w:rPr>
          <w:rFonts w:asciiTheme="majorBidi" w:hAnsiTheme="majorBidi" w:cstheme="majorBidi"/>
          <w:i/>
          <w:iCs/>
          <w:sz w:val="24"/>
          <w:szCs w:val="24"/>
        </w:rPr>
        <w:t>SE</w:t>
      </w:r>
      <w:r w:rsidRPr="001F64A9">
        <w:rPr>
          <w:rFonts w:asciiTheme="majorBidi" w:hAnsiTheme="majorBidi" w:cstheme="majorBidi"/>
          <w:sz w:val="24"/>
          <w:szCs w:val="24"/>
        </w:rPr>
        <w:t xml:space="preserve"> = .16, 95% </w:t>
      </w:r>
      <w:r w:rsidRPr="001F64A9">
        <w:rPr>
          <w:rFonts w:asciiTheme="majorBidi" w:hAnsiTheme="majorBidi" w:cstheme="majorBidi"/>
          <w:i/>
          <w:iCs/>
          <w:sz w:val="24"/>
          <w:szCs w:val="24"/>
        </w:rPr>
        <w:t>CI</w:t>
      </w:r>
      <w:r w:rsidRPr="001F64A9">
        <w:rPr>
          <w:rFonts w:asciiTheme="majorBidi" w:hAnsiTheme="majorBidi" w:cstheme="majorBidi"/>
          <w:sz w:val="24"/>
          <w:szCs w:val="24"/>
        </w:rPr>
        <w:t>: .58 - .04) while all other indirect effects (negative affect, no education) were non-significant. The direct effect of negative frame was found significant (</w:t>
      </w:r>
      <w:r w:rsidRPr="001F64A9">
        <w:rPr>
          <w:rFonts w:asciiTheme="majorBidi" w:hAnsiTheme="majorBidi" w:cstheme="majorBidi"/>
          <w:i/>
          <w:iCs/>
          <w:sz w:val="24"/>
          <w:szCs w:val="24"/>
        </w:rPr>
        <w:t>β</w:t>
      </w:r>
      <w:r w:rsidRPr="001F64A9">
        <w:rPr>
          <w:rFonts w:asciiTheme="majorBidi" w:hAnsiTheme="majorBidi" w:cstheme="majorBidi"/>
          <w:sz w:val="24"/>
          <w:szCs w:val="24"/>
        </w:rPr>
        <w:t xml:space="preserve"> = -.40, </w:t>
      </w:r>
      <w:r w:rsidRPr="001F64A9">
        <w:rPr>
          <w:rFonts w:asciiTheme="majorBidi" w:hAnsiTheme="majorBidi" w:cstheme="majorBidi"/>
          <w:i/>
          <w:iCs/>
          <w:sz w:val="24"/>
          <w:szCs w:val="24"/>
        </w:rPr>
        <w:t>p</w:t>
      </w:r>
      <w:r w:rsidRPr="001F64A9">
        <w:rPr>
          <w:rFonts w:asciiTheme="majorBidi" w:hAnsiTheme="majorBidi" w:cstheme="majorBidi"/>
          <w:sz w:val="24"/>
          <w:szCs w:val="24"/>
        </w:rPr>
        <w:t xml:space="preserve"> &lt; .05) while all other direct effects were found non-significant. This represented that the effect of education on CPR preference was fully mediated by DNR knowledge. The mediational model for CPR preference is presented in Figure 13.</w:t>
      </w:r>
    </w:p>
    <w:p w14:paraId="1BBE595A" w14:textId="77777777" w:rsidR="00EE5072" w:rsidRPr="001F64A9" w:rsidRDefault="00EE5072" w:rsidP="00EE5072">
      <w:pPr>
        <w:spacing w:line="480" w:lineRule="auto"/>
        <w:ind w:firstLine="720"/>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t xml:space="preserve">Attitude toward DNR. </w:t>
      </w:r>
      <w:r w:rsidRPr="001F64A9">
        <w:rPr>
          <w:rFonts w:asciiTheme="majorBidi" w:eastAsia="Times New Roman" w:hAnsiTheme="majorBidi" w:cstheme="majorBidi"/>
          <w:sz w:val="24"/>
          <w:szCs w:val="24"/>
        </w:rPr>
        <w:t xml:space="preserve">A mixed model ANOVA was conducted to test whether attitude toward DNR varied before and after four groups/interventions and across groups/interventions (positive frame, negative frame, education, control). This analysis was conducted because </w:t>
      </w:r>
      <w:r w:rsidRPr="001F64A9">
        <w:rPr>
          <w:rFonts w:asciiTheme="majorBidi" w:eastAsia="Times New Roman" w:hAnsiTheme="majorBidi" w:cstheme="majorBidi"/>
          <w:sz w:val="24"/>
          <w:szCs w:val="24"/>
        </w:rPr>
        <w:lastRenderedPageBreak/>
        <w:t xml:space="preserve">attitude toward DNR was a significant predictor of DNR preference and was controlled in mediational analyses (discussed above, see Figure 13-14). I wanted to test whether attitude toward DNR scores changed as a result of different interventions and which intervention had higher impact. There was a significant main effect of pre-post attitude towards DNR, </w:t>
      </w:r>
      <w:r w:rsidRPr="001F64A9">
        <w:rPr>
          <w:rFonts w:asciiTheme="majorBidi" w:eastAsia="Times New Roman" w:hAnsiTheme="majorBidi" w:cstheme="majorBidi"/>
          <w:i/>
          <w:iCs/>
          <w:sz w:val="24"/>
          <w:szCs w:val="24"/>
        </w:rPr>
        <w:t>F</w:t>
      </w:r>
      <w:r w:rsidRPr="001F64A9">
        <w:rPr>
          <w:rFonts w:asciiTheme="majorBidi" w:eastAsia="Times New Roman" w:hAnsiTheme="majorBidi" w:cstheme="majorBidi"/>
          <w:sz w:val="24"/>
          <w:szCs w:val="24"/>
        </w:rPr>
        <w:t xml:space="preserve">(1, 377) = 28.43, </w:t>
      </w:r>
      <w:r w:rsidRPr="001F64A9">
        <w:rPr>
          <w:rFonts w:asciiTheme="majorBidi" w:eastAsia="Times New Roman" w:hAnsiTheme="majorBidi" w:cstheme="majorBidi"/>
          <w:i/>
          <w:iCs/>
          <w:sz w:val="24"/>
          <w:szCs w:val="24"/>
        </w:rPr>
        <w:t>p</w:t>
      </w:r>
      <w:r w:rsidRPr="001F64A9">
        <w:rPr>
          <w:rFonts w:asciiTheme="majorBidi" w:eastAsia="Times New Roman" w:hAnsiTheme="majorBidi" w:cstheme="majorBidi"/>
          <w:sz w:val="24"/>
          <w:szCs w:val="24"/>
        </w:rPr>
        <w:t xml:space="preserve"> &lt; .001,  = .01 and interaction effect of groups and pre-post attitude towards DNR, </w:t>
      </w:r>
      <w:r w:rsidRPr="001F64A9">
        <w:rPr>
          <w:rFonts w:asciiTheme="majorBidi" w:eastAsia="Times New Roman" w:hAnsiTheme="majorBidi" w:cstheme="majorBidi"/>
          <w:i/>
          <w:iCs/>
          <w:sz w:val="24"/>
          <w:szCs w:val="24"/>
        </w:rPr>
        <w:t>F</w:t>
      </w:r>
      <w:r w:rsidRPr="001F64A9">
        <w:rPr>
          <w:rFonts w:asciiTheme="majorBidi" w:eastAsia="Times New Roman" w:hAnsiTheme="majorBidi" w:cstheme="majorBidi"/>
          <w:sz w:val="24"/>
          <w:szCs w:val="24"/>
        </w:rPr>
        <w:t xml:space="preserve">(3, 377) = 4.84, </w:t>
      </w:r>
      <w:r w:rsidRPr="001F64A9">
        <w:rPr>
          <w:rFonts w:asciiTheme="majorBidi" w:eastAsia="Times New Roman" w:hAnsiTheme="majorBidi" w:cstheme="majorBidi"/>
          <w:i/>
          <w:iCs/>
          <w:sz w:val="24"/>
          <w:szCs w:val="24"/>
        </w:rPr>
        <w:t>p</w:t>
      </w:r>
      <w:r w:rsidRPr="001F64A9">
        <w:rPr>
          <w:rFonts w:asciiTheme="majorBidi" w:eastAsia="Times New Roman" w:hAnsiTheme="majorBidi" w:cstheme="majorBidi"/>
          <w:sz w:val="24"/>
          <w:szCs w:val="24"/>
        </w:rPr>
        <w:t xml:space="preserve"> &lt; .01,  = .004. The descriptives are provided in Table 14. The post-hoc analysis for pre-post attitude towards DNR revealed that attitude toward DNR scores significantly increased after the interventions (see Table 15). The post-hoc analysis for the interaction between groups and pre-post attitude towards DNR revealed that attitude toward DNR scores significantly increased in positive frame and educational video condition. Although the magnitude of scores increased was higher in educational video condition (see Table 16, Figure 15). </w:t>
      </w:r>
    </w:p>
    <w:p w14:paraId="70769FFE" w14:textId="77777777" w:rsidR="00EE5072" w:rsidRPr="001F64A9" w:rsidRDefault="00EE5072" w:rsidP="00EE5072">
      <w:pPr>
        <w:spacing w:line="480" w:lineRule="auto"/>
        <w:ind w:firstLine="720"/>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t xml:space="preserve">Attitude toward CPR. </w:t>
      </w:r>
      <w:r w:rsidRPr="001F64A9">
        <w:rPr>
          <w:rFonts w:asciiTheme="majorBidi" w:eastAsia="Times New Roman" w:hAnsiTheme="majorBidi" w:cstheme="majorBidi"/>
          <w:sz w:val="24"/>
          <w:szCs w:val="24"/>
        </w:rPr>
        <w:t xml:space="preserve">A mixed model ANOVA was conducted to test whether attitude toward CPR varies before and after four groups/interventions and across groups/interventions (positive frame, negative frame, education, control). Similar to attitude toward DNR, attitude toward CPR was found as a significant predictor of CPR and DNR preference (discussed above, see Figure 13-14). Thus. I wanted to test whether attitude toward CPR changed before and after different interventions and which interventions had higher impact. There was a significant main effect of pre-post attitude towards CPR, </w:t>
      </w:r>
      <w:r w:rsidRPr="001F64A9">
        <w:rPr>
          <w:rFonts w:asciiTheme="majorBidi" w:eastAsia="Times New Roman" w:hAnsiTheme="majorBidi" w:cstheme="majorBidi"/>
          <w:i/>
          <w:iCs/>
          <w:sz w:val="24"/>
          <w:szCs w:val="24"/>
        </w:rPr>
        <w:t>F</w:t>
      </w:r>
      <w:r w:rsidRPr="001F64A9">
        <w:rPr>
          <w:rFonts w:asciiTheme="majorBidi" w:eastAsia="Times New Roman" w:hAnsiTheme="majorBidi" w:cstheme="majorBidi"/>
          <w:sz w:val="24"/>
          <w:szCs w:val="24"/>
        </w:rPr>
        <w:t xml:space="preserve">(1, 377) = 47.53, </w:t>
      </w:r>
      <w:r w:rsidRPr="001F64A9">
        <w:rPr>
          <w:rFonts w:asciiTheme="majorBidi" w:eastAsia="Times New Roman" w:hAnsiTheme="majorBidi" w:cstheme="majorBidi"/>
          <w:i/>
          <w:iCs/>
          <w:sz w:val="24"/>
          <w:szCs w:val="24"/>
        </w:rPr>
        <w:t>p</w:t>
      </w:r>
      <w:r w:rsidRPr="001F64A9">
        <w:rPr>
          <w:rFonts w:asciiTheme="majorBidi" w:eastAsia="Times New Roman" w:hAnsiTheme="majorBidi" w:cstheme="majorBidi"/>
          <w:sz w:val="24"/>
          <w:szCs w:val="24"/>
        </w:rPr>
        <w:t xml:space="preserve"> &lt; .001,  = .01. The interaction effect of groups and pre-post attitude towards CPR was also found significant, </w:t>
      </w:r>
      <w:r w:rsidRPr="001F64A9">
        <w:rPr>
          <w:rFonts w:asciiTheme="majorBidi" w:eastAsia="Times New Roman" w:hAnsiTheme="majorBidi" w:cstheme="majorBidi"/>
          <w:i/>
          <w:iCs/>
          <w:sz w:val="24"/>
          <w:szCs w:val="24"/>
        </w:rPr>
        <w:t>F</w:t>
      </w:r>
      <w:r w:rsidRPr="001F64A9">
        <w:rPr>
          <w:rFonts w:asciiTheme="majorBidi" w:eastAsia="Times New Roman" w:hAnsiTheme="majorBidi" w:cstheme="majorBidi"/>
          <w:sz w:val="24"/>
          <w:szCs w:val="24"/>
        </w:rPr>
        <w:t xml:space="preserve">(3, 377) = 13.97, </w:t>
      </w:r>
      <w:r w:rsidRPr="001F64A9">
        <w:rPr>
          <w:rFonts w:asciiTheme="majorBidi" w:eastAsia="Times New Roman" w:hAnsiTheme="majorBidi" w:cstheme="majorBidi"/>
          <w:i/>
          <w:iCs/>
          <w:sz w:val="24"/>
          <w:szCs w:val="24"/>
        </w:rPr>
        <w:t>p</w:t>
      </w:r>
      <w:r w:rsidRPr="001F64A9">
        <w:rPr>
          <w:rFonts w:asciiTheme="majorBidi" w:eastAsia="Times New Roman" w:hAnsiTheme="majorBidi" w:cstheme="majorBidi"/>
          <w:sz w:val="24"/>
          <w:szCs w:val="24"/>
        </w:rPr>
        <w:t xml:space="preserve"> &lt; .001,  = .01. The descriptives are provided in Table 17. The post-hoc analysis for pre-post attitude towards CPR revealed that attitude toward CPR scores significantly decreased after the interventions (see Table 18). The post-hoc analysis for the interaction between groups and pre-post attitude towards CPR revealed that the post scores of attitude toward CPR in educational </w:t>
      </w:r>
      <w:r w:rsidRPr="001F64A9">
        <w:rPr>
          <w:rFonts w:asciiTheme="majorBidi" w:eastAsia="Times New Roman" w:hAnsiTheme="majorBidi" w:cstheme="majorBidi"/>
          <w:sz w:val="24"/>
          <w:szCs w:val="24"/>
        </w:rPr>
        <w:lastRenderedPageBreak/>
        <w:t>video condition were significantly lower than both pre and post attitude scores in positive frame and negative frame conditions, and pre attitude scores in irrelevant video condition (see Table 29, Figure 16).</w:t>
      </w:r>
    </w:p>
    <w:p w14:paraId="11E4CC5C" w14:textId="77777777" w:rsidR="00EE5072" w:rsidRPr="001F64A9" w:rsidRDefault="00EE5072" w:rsidP="00EE5072">
      <w:pPr>
        <w:spacing w:line="480" w:lineRule="auto"/>
        <w:jc w:val="center"/>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t>General Discussion</w:t>
      </w:r>
    </w:p>
    <w:p w14:paraId="1180AD48" w14:textId="77777777" w:rsidR="00EE5072" w:rsidRPr="001F64A9" w:rsidRDefault="00EE5072" w:rsidP="00EE5072">
      <w:pPr>
        <w:spacing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The overall findings of this thesis suggest that both “rational” and “non-rational” persuasion techniques could be used for increasing beneficence about DNR and CPR decisions (but see discussion below). Experiment 1c reported that education (as a rational persuasion technique) effectively persuaded people for writing DNRs and not getting CPR, while framing (i.e., positive frame) was not effective for persuading people to write DNRs but it effectively persuaded people for getting CPR. Experiment 1a and 1b revealed that people understand different terminologies for end-of-life treatment decisions (i.e., CPR, </w:t>
      </w:r>
      <w:r w:rsidRPr="001F64A9">
        <w:rPr>
          <w:rFonts w:asciiTheme="majorBidi" w:eastAsia="Times New Roman" w:hAnsiTheme="majorBidi" w:cstheme="majorBidi"/>
          <w:i/>
          <w:iCs/>
          <w:sz w:val="24"/>
          <w:szCs w:val="24"/>
        </w:rPr>
        <w:t>intermediate support</w:t>
      </w:r>
      <w:r w:rsidRPr="001F64A9">
        <w:rPr>
          <w:rFonts w:asciiTheme="majorBidi" w:eastAsia="Times New Roman" w:hAnsiTheme="majorBidi" w:cstheme="majorBidi"/>
          <w:sz w:val="24"/>
          <w:szCs w:val="24"/>
        </w:rPr>
        <w:t xml:space="preserve">-AND, DNR) differently. People were found more confused about the term CPR and less confused about AND. With respect to this thesis criterion variables terminologies, people potentially need more help in understanding CPR related decisions because people were more confused about CPR than DNR terminology. People’s DNR preferences were more strongly aligned with EOL values (both life oriented values and </w:t>
      </w:r>
      <w:r w:rsidRPr="001F64A9">
        <w:rPr>
          <w:rFonts w:asciiTheme="majorBidi" w:eastAsia="Times New Roman" w:hAnsiTheme="majorBidi" w:cstheme="majorBidi"/>
          <w:bCs/>
          <w:sz w:val="24"/>
          <w:szCs w:val="24"/>
        </w:rPr>
        <w:t>pain and dependence oriented values</w:t>
      </w:r>
      <w:r w:rsidRPr="001F64A9">
        <w:rPr>
          <w:rFonts w:asciiTheme="majorBidi" w:eastAsia="Times New Roman" w:hAnsiTheme="majorBidi" w:cstheme="majorBidi"/>
          <w:sz w:val="24"/>
          <w:szCs w:val="24"/>
        </w:rPr>
        <w:t xml:space="preserve">) when people were presented with an EOL decision scenario with DNR terminology, as compared to </w:t>
      </w:r>
      <w:r w:rsidRPr="001F64A9">
        <w:rPr>
          <w:rFonts w:asciiTheme="majorBidi" w:eastAsia="Times New Roman" w:hAnsiTheme="majorBidi" w:cstheme="majorBidi"/>
          <w:i/>
          <w:iCs/>
          <w:sz w:val="24"/>
          <w:szCs w:val="24"/>
        </w:rPr>
        <w:t>intermediate support</w:t>
      </w:r>
      <w:r w:rsidRPr="001F64A9">
        <w:rPr>
          <w:rFonts w:asciiTheme="majorBidi" w:eastAsia="Times New Roman" w:hAnsiTheme="majorBidi" w:cstheme="majorBidi"/>
          <w:sz w:val="24"/>
          <w:szCs w:val="24"/>
        </w:rPr>
        <w:t>-AND and CPR terminology. Further extending toward the key objective of this thesis, Experiment 2 results suggested that informing protects/promotes beneficence (i.e., concordance of end-of-life values with CPR/DNR related decisions) better than providing no decision aid (i.e., control) in both CPR and DNR related decisions. However, framing also protects/promotes beneficence along with informing in CPR related decisions. For a quick guide, a summary of the findings of all experiments is provided in Table 23.</w:t>
      </w:r>
    </w:p>
    <w:p w14:paraId="10845E0E" w14:textId="77777777" w:rsidR="00EE5072" w:rsidRPr="001F64A9" w:rsidRDefault="00EE5072" w:rsidP="00EE5072">
      <w:pPr>
        <w:spacing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lastRenderedPageBreak/>
        <w:t xml:space="preserve">The findings of Experiment 2 provide empirical evidence for the general approach of comparing the ethical cost of using two different interventions (i.e., Ethical Interactions theory; Feltz &amp; Cokely, </w:t>
      </w:r>
      <w:r w:rsidRPr="001F64A9">
        <w:rPr>
          <w:rFonts w:asciiTheme="majorBidi" w:eastAsia="Times New Roman" w:hAnsiTheme="majorBidi" w:cstheme="majorBidi"/>
          <w:i/>
          <w:iCs/>
          <w:sz w:val="24"/>
          <w:szCs w:val="24"/>
        </w:rPr>
        <w:t>submitted</w:t>
      </w:r>
      <w:r w:rsidRPr="001F64A9">
        <w:rPr>
          <w:rFonts w:asciiTheme="majorBidi" w:eastAsia="Times New Roman" w:hAnsiTheme="majorBidi" w:cstheme="majorBidi"/>
          <w:sz w:val="24"/>
          <w:szCs w:val="24"/>
        </w:rPr>
        <w:t xml:space="preserve">). Experiment 2 findings suggested that informing resulted in concordance of end-of-life values with both DNR and CPR related decisions (i.e., beneficence) which was significantly different (i.e., better) than providing no decision aid (i.e., control condition). While framing (both positive and negative) also produced concordance in people’s end-of-life values and people’s CPR preference which was significantly better than providing no decision aid (i.e., control condition) but in terms of concordance end-of-life values with DNR preference, framing performed not significantly better than providing no decision aid. We can see that informing has consistent and positive effects on beneficence in both CPR and DNR related decisions, as predicted. But framing (both positive and negative frames) also has protected beneficence along with informing, at least in CPR related decision, which is interesting and puzzling because it was not predicted. Theoretical frameworks suggested that framing as a non-rational persuasion technique works through System I (i.e., passive, biased) for information processing (Evan, 2008; Kahneman, 2003 &amp; 2011, see Figure 1). Empirical studies have reported that positive frame (i.e., gain frame) and negative frame (i.e., lose frame) have different (opposite) impacts on outcomes (Garcia-Retamero &amp; Cokely, 2013; Tversky &amp; Kahneman, 1981). Lose frame motivates people to choose riskier options while gain frame motivates people to choose less riskier options. Consistent with this understanding, it was hypothesized that positive frame would promote beneficence in CPR decision while negative frame would perform the opposite (or at least significantly weaker). Similarly, it was predicted that the negative frame would promote beneficence in DNR decision while positive frame would perform the opposite. But the results were inconsistent with what was predicted and showed that both positive and </w:t>
      </w:r>
      <w:r w:rsidRPr="001F64A9">
        <w:rPr>
          <w:rFonts w:asciiTheme="majorBidi" w:eastAsia="Times New Roman" w:hAnsiTheme="majorBidi" w:cstheme="majorBidi"/>
          <w:sz w:val="24"/>
          <w:szCs w:val="24"/>
        </w:rPr>
        <w:lastRenderedPageBreak/>
        <w:t xml:space="preserve">negative frame protected beneficence in CPR preference decision along with educational intervention. </w:t>
      </w:r>
    </w:p>
    <w:p w14:paraId="4118E9B8" w14:textId="77777777" w:rsidR="00EE5072" w:rsidRPr="001F64A9" w:rsidRDefault="00EE5072" w:rsidP="00EE5072">
      <w:pPr>
        <w:spacing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One possible explanation of why both positive and negative frames protected beneficence in CPR preference decision could be that in both positive and negative frame scenarios, I have used factual information about CPR survival rate (i.e., according to research, there are 10% chance (/90% chance) that you will survive (/will not survive) after receiving CPR treatment). There is a possibility that this factual information increased (at least partially) the representative understanding of people and moved people toward making (to some extant) informed decision. Replication studies should be conducted to assess the reliability of framing effects for promoting beneficence. With this explanation, I could say that non-rational persuasion technique i.e., framing, may not have been a non-rational persuasion technique in these studies. Thus, framing might have informed people to make decisions which were aligned with their relevant end-of-life values. This pattern of results and the corresponding cognitive mechanisms should be further explored.</w:t>
      </w:r>
    </w:p>
    <w:p w14:paraId="73CB1F3E" w14:textId="77777777" w:rsidR="00EE5072" w:rsidRPr="001F64A9" w:rsidRDefault="00EE5072" w:rsidP="00EE5072">
      <w:pPr>
        <w:spacing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The findings of Experiment 1b, Experiment 1c, and Experiment 2 potentially support the framework of Skilled Decision Theory (Cokely et al., 2018) which suggests that a better representative understanding of decisions makers about the problem at hand can boost the decision quality. In the current context, the decision quality is quantified in terms of beneficence. My studies suggest that beneficence can be protected (and perhaps promoted) with a transparent and effective educational intervention. Experiment 1c and 2 especially provided the evidence which aligns with Skilled Decision Theory (see Figure 2). According to the theory, transparent educational intervention along with general cognitive abilities (e.g., statistical numeracy) impacts deliberation, calibration, and knowledge (i.e., comprehension) about the problem at hand which </w:t>
      </w:r>
      <w:r w:rsidRPr="001F64A9">
        <w:rPr>
          <w:rFonts w:asciiTheme="majorBidi" w:eastAsia="Times New Roman" w:hAnsiTheme="majorBidi" w:cstheme="majorBidi"/>
          <w:sz w:val="24"/>
          <w:szCs w:val="24"/>
        </w:rPr>
        <w:lastRenderedPageBreak/>
        <w:t xml:space="preserve">in turn can influence affective reaction (e.g., feeling and attitudes) and integrate with people’s relevant values and preferences (Cokely et al., 2018; Garcia-Retamero &amp; Cokely, 2013; Tanner &amp; Feltz, 2022). Experiment 1c and 2 results suggested that education significantly increased people’s knowledge about DNR and predicted their preferences to write DNRs and get CPR. The mediational models in Experiment 2 suggested that DNR knowledge gain fully mediated the relationship between educational intervention and preferences to write DNRs and get CPR. Along with mediational models, mixed model ANOVA results suggested that DNR knowledge significantly improved after watching educational intervention only, no other intervention performed significantly effective as educational intervention did. Consistent with the precision of affective reaction component of Skilled Decision Theory, positive attitude toward DNR significantly improved while positive attitude toward CPR significantly decreased after watching educational intervention. The positive frame scenario also improved the positive attitude toward DNR, but the improvement was comparatively higher in educational intervention condition. These findings suggested that DNR educational intervention not only improved people’s DNR knowledge but also informed their attitudes toward CPR and DNR (i.e., representative understanding), as reflected in positive impact on beneficence in Experiment 2. Skilled decision theory (Cokely et al., 2018) provides some insight about how the cognitive process works in generating beneficence. However, there is need for further research to objectively test the role of different cognitive factors (e.g., numeracy, deliberation, calibration) in generating beneficence in end-of-life decision making context. </w:t>
      </w:r>
    </w:p>
    <w:p w14:paraId="527A80D6" w14:textId="77777777" w:rsidR="00EE5072" w:rsidRPr="001F64A9" w:rsidRDefault="00EE5072" w:rsidP="00EE5072">
      <w:pPr>
        <w:spacing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These experiments also have some limitations. An important limitation is the measure of beneficence (i.e., correlation between EOL values and EOL decisions). We have used a set of eight EOL values (Winter, 2013) as a proxy measure of EOL values to compute the overall </w:t>
      </w:r>
      <w:r w:rsidRPr="001F64A9">
        <w:rPr>
          <w:rFonts w:asciiTheme="majorBidi" w:eastAsia="Times New Roman" w:hAnsiTheme="majorBidi" w:cstheme="majorBidi"/>
          <w:sz w:val="24"/>
          <w:szCs w:val="24"/>
        </w:rPr>
        <w:lastRenderedPageBreak/>
        <w:t xml:space="preserve">beneficence. There are number of different relevant EOL values in the literature (Doukas, Antonucci &amp; Gorenflo, 1992; Doukas &amp; Gorenflo, 1993; Downey et al., 2010; Steinhauser et al., 2002) which could be important for end-of-life decision making. The relations obtained using those other relevant values may be different than the relations observed in my studies. In addition to that, previous research literature (including experiments in this thesis) have reported a weak correlation between end-of-life values and treatment preferences, which could be problematic for beneficence measurement (in terms of magnitude of beneficence for comparison across interventions). However, this also might represent an opportunity because we may find some potential sources of the relative smallness of the correlation (e.g., terminology, lack of understanding, motivation, etc…) Future research should focus on measuring beneficence in a more refined manner which could contribute to evaluate the ethical cost associated with different interventions. Another limitation is the hypothetical scenarios in framing conditions with binary response options. These scenarios may have limited generalization in real decision-making environment. It is also important to consider that DNR related decisions could change over time depending on the physical and mental health status along with other possible factors (e.g., financial wellbeing status). Future research should consider these factors while establishing the concordance between EOL values and EOL treatment preferences. Similarly, future research should replicate these results in different populations (e.g., health condition-specific) to ensure their generalizability. </w:t>
      </w:r>
    </w:p>
    <w:p w14:paraId="40AD8090" w14:textId="77777777" w:rsidR="00EE5072" w:rsidRPr="001F64A9" w:rsidRDefault="00EE5072" w:rsidP="00EE5072">
      <w:pPr>
        <w:spacing w:line="480" w:lineRule="auto"/>
        <w:ind w:firstLine="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In summary, these studies stress on the use of decision aids which maximally allow people actualizing their values in making their life and death related decisions. Collective and consistent efforts by decision science researchers, health care worker, and medical policy making </w:t>
      </w:r>
      <w:r w:rsidRPr="001F64A9">
        <w:rPr>
          <w:rFonts w:asciiTheme="majorBidi" w:eastAsia="Times New Roman" w:hAnsiTheme="majorBidi" w:cstheme="majorBidi"/>
          <w:sz w:val="24"/>
          <w:szCs w:val="24"/>
        </w:rPr>
        <w:lastRenderedPageBreak/>
        <w:t>experts will help in establishing ways to figure out which decision support techniques, for whom, when, and in what circumstances could be beneficial.</w:t>
      </w:r>
    </w:p>
    <w:p w14:paraId="5B29E097" w14:textId="77777777" w:rsidR="00EE5072" w:rsidRPr="001F64A9" w:rsidRDefault="00EE5072" w:rsidP="00EE5072">
      <w:pPr>
        <w:rPr>
          <w:rFonts w:asciiTheme="majorBidi" w:hAnsiTheme="majorBidi" w:cstheme="majorBidi"/>
          <w:b/>
          <w:bCs/>
          <w:sz w:val="24"/>
          <w:szCs w:val="24"/>
          <w:shd w:val="clear" w:color="auto" w:fill="FFFFFF"/>
        </w:rPr>
      </w:pPr>
      <w:r w:rsidRPr="001F64A9">
        <w:rPr>
          <w:rFonts w:asciiTheme="majorBidi" w:hAnsiTheme="majorBidi" w:cstheme="majorBidi"/>
          <w:b/>
          <w:bCs/>
          <w:sz w:val="24"/>
          <w:szCs w:val="24"/>
          <w:shd w:val="clear" w:color="auto" w:fill="FFFFFF"/>
        </w:rPr>
        <w:br w:type="page"/>
      </w:r>
      <w:bookmarkStart w:id="1" w:name="_Hlk121930777"/>
    </w:p>
    <w:p w14:paraId="7099D73F" w14:textId="77777777" w:rsidR="00EE5072" w:rsidRPr="001F64A9" w:rsidRDefault="00EE5072" w:rsidP="00EE5072">
      <w:pPr>
        <w:spacing w:after="0" w:line="480" w:lineRule="auto"/>
        <w:ind w:left="720" w:hanging="720"/>
        <w:jc w:val="center"/>
        <w:rPr>
          <w:rFonts w:asciiTheme="majorBidi" w:hAnsiTheme="majorBidi" w:cstheme="majorBidi"/>
          <w:b/>
          <w:bCs/>
          <w:sz w:val="24"/>
          <w:szCs w:val="24"/>
          <w:shd w:val="clear" w:color="auto" w:fill="FFFFFF"/>
        </w:rPr>
      </w:pPr>
      <w:r w:rsidRPr="001F64A9">
        <w:rPr>
          <w:rFonts w:asciiTheme="majorBidi" w:hAnsiTheme="majorBidi" w:cstheme="majorBidi"/>
          <w:b/>
          <w:bCs/>
          <w:sz w:val="24"/>
          <w:szCs w:val="24"/>
          <w:shd w:val="clear" w:color="auto" w:fill="FFFFFF"/>
        </w:rPr>
        <w:lastRenderedPageBreak/>
        <w:t>Reference</w:t>
      </w:r>
    </w:p>
    <w:bookmarkEnd w:id="1"/>
    <w:p w14:paraId="58E37649"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Abdul-Razzak, A., Heyland, D. K., Simon, J., Ghosh, S., Day, A. G., &amp; You, J. J. (2019). Patient-family agreement on values and preferences for life-sustaining treatment: results of a multicentre observational study. </w:t>
      </w:r>
      <w:r w:rsidRPr="001F64A9">
        <w:rPr>
          <w:rFonts w:asciiTheme="majorBidi" w:hAnsiTheme="majorBidi" w:cstheme="majorBidi"/>
          <w:i/>
          <w:iCs/>
          <w:sz w:val="24"/>
          <w:szCs w:val="24"/>
          <w:shd w:val="clear" w:color="auto" w:fill="FFFFFF"/>
        </w:rPr>
        <w:t>BMJ Supportive &amp; Palliative Care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9</w:t>
      </w:r>
      <w:r w:rsidRPr="001F64A9">
        <w:rPr>
          <w:rFonts w:asciiTheme="majorBidi" w:hAnsiTheme="majorBidi" w:cstheme="majorBidi"/>
          <w:sz w:val="24"/>
          <w:szCs w:val="24"/>
          <w:shd w:val="clear" w:color="auto" w:fill="FFFFFF"/>
        </w:rPr>
        <w:t>(1), e20-e20. https://doi.org/10.1136/bmjspcare-2016-001284</w:t>
      </w:r>
    </w:p>
    <w:p w14:paraId="293DA5AA"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Anderson, E. (1995). </w:t>
      </w:r>
      <w:r w:rsidRPr="001F64A9">
        <w:rPr>
          <w:rFonts w:asciiTheme="majorBidi" w:hAnsiTheme="majorBidi" w:cstheme="majorBidi"/>
          <w:i/>
          <w:iCs/>
          <w:sz w:val="24"/>
          <w:szCs w:val="24"/>
          <w:shd w:val="clear" w:color="auto" w:fill="FFFFFF"/>
        </w:rPr>
        <w:t>Value in Ethics and Economics</w:t>
      </w:r>
      <w:r w:rsidRPr="001F64A9">
        <w:rPr>
          <w:rFonts w:asciiTheme="majorBidi" w:hAnsiTheme="majorBidi" w:cstheme="majorBidi"/>
          <w:sz w:val="24"/>
          <w:szCs w:val="24"/>
          <w:shd w:val="clear" w:color="auto" w:fill="FFFFFF"/>
        </w:rPr>
        <w:t>. Harvard University Press.</w:t>
      </w:r>
    </w:p>
    <w:p w14:paraId="3D0927C0"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 xml:space="preserve">Andreadis, I., &amp; Kartsounidou, E. (2020). The impact of splitting a long online questionnaire on data quality. </w:t>
      </w:r>
      <w:r w:rsidRPr="001F64A9">
        <w:rPr>
          <w:rFonts w:asciiTheme="majorBidi" w:hAnsiTheme="majorBidi" w:cstheme="majorBidi"/>
          <w:i/>
          <w:iCs/>
          <w:sz w:val="24"/>
          <w:szCs w:val="24"/>
          <w:shd w:val="clear" w:color="auto" w:fill="FFFFFF"/>
        </w:rPr>
        <w:t>Survey Research Methods, 13</w:t>
      </w:r>
      <w:r w:rsidRPr="001F64A9">
        <w:rPr>
          <w:rFonts w:asciiTheme="majorBidi" w:hAnsiTheme="majorBidi" w:cstheme="majorBidi"/>
          <w:sz w:val="24"/>
          <w:szCs w:val="24"/>
          <w:shd w:val="clear" w:color="auto" w:fill="FFFFFF"/>
        </w:rPr>
        <w:t>(1). 31-42.</w:t>
      </w:r>
    </w:p>
    <w:p w14:paraId="2346C50C"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Anesi, G. L., &amp; Halpern, S. D. (2016). Choice architecture in code status discussions with terminally ill patients and their families. </w:t>
      </w:r>
      <w:r w:rsidRPr="001F64A9">
        <w:rPr>
          <w:rFonts w:asciiTheme="majorBidi" w:hAnsiTheme="majorBidi" w:cstheme="majorBidi"/>
          <w:i/>
          <w:iCs/>
          <w:sz w:val="24"/>
          <w:szCs w:val="24"/>
          <w:shd w:val="clear" w:color="auto" w:fill="FFFFFF"/>
        </w:rPr>
        <w:t>Intensive Care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42</w:t>
      </w:r>
      <w:r w:rsidRPr="001F64A9">
        <w:rPr>
          <w:rFonts w:asciiTheme="majorBidi" w:hAnsiTheme="majorBidi" w:cstheme="majorBidi"/>
          <w:sz w:val="24"/>
          <w:szCs w:val="24"/>
          <w:shd w:val="clear" w:color="auto" w:fill="FFFFFF"/>
        </w:rPr>
        <w:t>(6), 1065-1067. https://doi.org/10.1007/s00134-016-4294-7</w:t>
      </w:r>
    </w:p>
    <w:p w14:paraId="6D021E18"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Arieli, S., Sagiv, L., &amp; Roccas, S. (2020). Values at work: The impact of personal values in organisations. </w:t>
      </w:r>
      <w:r w:rsidRPr="001F64A9">
        <w:rPr>
          <w:rFonts w:asciiTheme="majorBidi" w:hAnsiTheme="majorBidi" w:cstheme="majorBidi"/>
          <w:i/>
          <w:iCs/>
          <w:sz w:val="24"/>
          <w:szCs w:val="24"/>
          <w:shd w:val="clear" w:color="auto" w:fill="FFFFFF"/>
        </w:rPr>
        <w:t>Applied Psychology</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69</w:t>
      </w:r>
      <w:r w:rsidRPr="001F64A9">
        <w:rPr>
          <w:rFonts w:asciiTheme="majorBidi" w:hAnsiTheme="majorBidi" w:cstheme="majorBidi"/>
          <w:sz w:val="24"/>
          <w:szCs w:val="24"/>
          <w:shd w:val="clear" w:color="auto" w:fill="FFFFFF"/>
        </w:rPr>
        <w:t>(2), 230-275. https://doi.org/10.1111/apps.12181</w:t>
      </w:r>
    </w:p>
    <w:p w14:paraId="05497C87"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Auriemma, C. L., Nguyen, C. A., Bronheim, R., Kent, S., Nadiger, S., Pardo, D., &amp; Halpern, S. D. (2014). Stability of end-of-life preferences: a systematic review of the evidence. </w:t>
      </w:r>
      <w:r w:rsidRPr="001F64A9">
        <w:rPr>
          <w:rFonts w:asciiTheme="majorBidi" w:hAnsiTheme="majorBidi" w:cstheme="majorBidi"/>
          <w:i/>
          <w:iCs/>
          <w:sz w:val="24"/>
          <w:szCs w:val="24"/>
          <w:shd w:val="clear" w:color="auto" w:fill="FFFFFF"/>
        </w:rPr>
        <w:t>JAMA Internal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174</w:t>
      </w:r>
      <w:r w:rsidRPr="001F64A9">
        <w:rPr>
          <w:rFonts w:asciiTheme="majorBidi" w:hAnsiTheme="majorBidi" w:cstheme="majorBidi"/>
          <w:sz w:val="24"/>
          <w:szCs w:val="24"/>
          <w:shd w:val="clear" w:color="auto" w:fill="FFFFFF"/>
        </w:rPr>
        <w:t>(7), 1085-1092. https://doi.org/10.1001/jamainternmed.2014.1183</w:t>
      </w:r>
    </w:p>
    <w:p w14:paraId="6F3AF99E"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Bandsma, K., Rauws, W., &amp; de Roo, G. (2021). Tailoring nudges to self-organising behavioural patterns in public space. In </w:t>
      </w:r>
      <w:r w:rsidRPr="001F64A9">
        <w:rPr>
          <w:rFonts w:asciiTheme="majorBidi" w:hAnsiTheme="majorBidi" w:cstheme="majorBidi"/>
          <w:i/>
          <w:iCs/>
          <w:sz w:val="24"/>
          <w:szCs w:val="24"/>
          <w:shd w:val="clear" w:color="auto" w:fill="FFFFFF"/>
        </w:rPr>
        <w:t>Handbook on Cities and Complexity</w:t>
      </w:r>
      <w:r w:rsidRPr="001F64A9">
        <w:rPr>
          <w:rFonts w:asciiTheme="majorBidi" w:hAnsiTheme="majorBidi" w:cstheme="majorBidi"/>
          <w:sz w:val="24"/>
          <w:szCs w:val="24"/>
          <w:shd w:val="clear" w:color="auto" w:fill="FFFFFF"/>
        </w:rPr>
        <w:t> (pp. 331-348). Edward Elgar Publishing. https://doi.org/10.4337/9781789900125.00028</w:t>
      </w:r>
    </w:p>
    <w:p w14:paraId="4487138A"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Bardi, A., &amp; Schwartz, S. H. (2003). Values and behavior: Strength and structure of relations. </w:t>
      </w:r>
      <w:r w:rsidRPr="001F64A9">
        <w:rPr>
          <w:rFonts w:asciiTheme="majorBidi" w:hAnsiTheme="majorBidi" w:cstheme="majorBidi"/>
          <w:i/>
          <w:iCs/>
          <w:sz w:val="24"/>
          <w:szCs w:val="24"/>
          <w:shd w:val="clear" w:color="auto" w:fill="FFFFFF"/>
        </w:rPr>
        <w:t>Personality and Social Psychology Bulletin</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29</w:t>
      </w:r>
      <w:r w:rsidRPr="001F64A9">
        <w:rPr>
          <w:rFonts w:asciiTheme="majorBidi" w:hAnsiTheme="majorBidi" w:cstheme="majorBidi"/>
          <w:sz w:val="24"/>
          <w:szCs w:val="24"/>
          <w:shd w:val="clear" w:color="auto" w:fill="FFFFFF"/>
        </w:rPr>
        <w:t>(10), 1207-1220. https://doi.org/10.1177/0146167203254602</w:t>
      </w:r>
    </w:p>
    <w:p w14:paraId="0D0579C4"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rPr>
        <w:lastRenderedPageBreak/>
        <w:t xml:space="preserve">Baron, J. (2008). </w:t>
      </w:r>
      <w:r w:rsidRPr="001F64A9">
        <w:rPr>
          <w:rFonts w:asciiTheme="majorBidi" w:hAnsiTheme="majorBidi" w:cstheme="majorBidi"/>
          <w:i/>
          <w:iCs/>
          <w:sz w:val="24"/>
          <w:szCs w:val="24"/>
        </w:rPr>
        <w:t>Thinking and Deciding</w:t>
      </w:r>
      <w:r w:rsidRPr="001F64A9">
        <w:rPr>
          <w:rFonts w:asciiTheme="majorBidi" w:hAnsiTheme="majorBidi" w:cstheme="majorBidi"/>
          <w:sz w:val="24"/>
          <w:szCs w:val="24"/>
        </w:rPr>
        <w:t xml:space="preserve"> (4th ed.). Cambridge, England: Cambridge University Press.</w:t>
      </w:r>
    </w:p>
    <w:p w14:paraId="261D0582"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Beauchamp, T. (2008). The principle of beneficence in applied ethics.</w:t>
      </w:r>
      <w:r w:rsidRPr="001F64A9">
        <w:rPr>
          <w:rFonts w:asciiTheme="majorBidi" w:hAnsiTheme="majorBidi" w:cstheme="majorBidi"/>
          <w:i/>
          <w:iCs/>
          <w:sz w:val="24"/>
          <w:szCs w:val="24"/>
          <w:shd w:val="clear" w:color="auto" w:fill="FFFFFF"/>
        </w:rPr>
        <w:t xml:space="preserve"> T</w:t>
      </w:r>
      <w:r w:rsidRPr="001F64A9">
        <w:rPr>
          <w:rStyle w:val="Emphasis"/>
          <w:rFonts w:asciiTheme="majorBidi" w:hAnsiTheme="majorBidi" w:cstheme="majorBidi"/>
          <w:sz w:val="24"/>
          <w:szCs w:val="24"/>
        </w:rPr>
        <w:t>he Stanford Encyclopedia of Philosophy </w:t>
      </w:r>
      <w:r w:rsidRPr="001F64A9">
        <w:rPr>
          <w:rFonts w:asciiTheme="majorBidi" w:hAnsiTheme="majorBidi" w:cstheme="majorBidi"/>
          <w:sz w:val="24"/>
          <w:szCs w:val="24"/>
        </w:rPr>
        <w:t>(Spring 2019 Edition). Retrieved from: https://plato.stanford.edu/archives/spr2019/entries/principle-beneficence/</w:t>
      </w:r>
    </w:p>
    <w:p w14:paraId="426913A2" w14:textId="77777777" w:rsidR="00EE5072" w:rsidRPr="001F64A9" w:rsidRDefault="00EE5072" w:rsidP="00EE5072">
      <w:pPr>
        <w:spacing w:after="0" w:line="480" w:lineRule="auto"/>
        <w:ind w:left="720" w:hanging="720"/>
        <w:rPr>
          <w:rFonts w:asciiTheme="majorBidi" w:hAnsiTheme="majorBidi" w:cstheme="majorBidi"/>
          <w:sz w:val="24"/>
          <w:szCs w:val="24"/>
        </w:rPr>
      </w:pPr>
      <w:r w:rsidRPr="001F64A9">
        <w:rPr>
          <w:rFonts w:asciiTheme="majorBidi" w:eastAsia="Times New Roman" w:hAnsiTheme="majorBidi" w:cstheme="majorBidi"/>
          <w:sz w:val="24"/>
          <w:szCs w:val="24"/>
        </w:rPr>
        <w:t xml:space="preserve">Becker, T. K., Gul, S. S., Cohen, S. A., Maciel, C. B., Baron-Lee, J., Murphy, T. W., ... &amp; Alviar, C. L. (2019). Public perception towards bystander cardiopulmonary resuscitation. </w:t>
      </w:r>
      <w:r w:rsidRPr="001F64A9">
        <w:rPr>
          <w:rFonts w:asciiTheme="majorBidi" w:eastAsia="Times New Roman" w:hAnsiTheme="majorBidi" w:cstheme="majorBidi"/>
          <w:i/>
          <w:sz w:val="24"/>
          <w:szCs w:val="24"/>
        </w:rPr>
        <w:t>Emergency Medicine Journal</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i/>
          <w:sz w:val="24"/>
          <w:szCs w:val="24"/>
        </w:rPr>
        <w:t>36</w:t>
      </w:r>
      <w:r w:rsidRPr="001F64A9">
        <w:rPr>
          <w:rFonts w:asciiTheme="majorBidi" w:eastAsia="Times New Roman" w:hAnsiTheme="majorBidi" w:cstheme="majorBidi"/>
          <w:sz w:val="24"/>
          <w:szCs w:val="24"/>
        </w:rPr>
        <w:t xml:space="preserve">(11), 660-665. http://dx.doi.org/10.1136/emermed-2018-208234. </w:t>
      </w:r>
    </w:p>
    <w:p w14:paraId="54230BA9"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Bedell, S. E., Delbanco, T. L., Cook, E. F., &amp; Epstein, F. H. (1983). Survival after cardiopulmonary resuscitation in the hospital. </w:t>
      </w:r>
      <w:r w:rsidRPr="001F64A9">
        <w:rPr>
          <w:rFonts w:asciiTheme="majorBidi" w:hAnsiTheme="majorBidi" w:cstheme="majorBidi"/>
          <w:i/>
          <w:iCs/>
          <w:sz w:val="24"/>
          <w:szCs w:val="24"/>
          <w:shd w:val="clear" w:color="auto" w:fill="FFFFFF"/>
        </w:rPr>
        <w:t>New England journal of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309</w:t>
      </w:r>
      <w:r w:rsidRPr="001F64A9">
        <w:rPr>
          <w:rFonts w:asciiTheme="majorBidi" w:hAnsiTheme="majorBidi" w:cstheme="majorBidi"/>
          <w:sz w:val="24"/>
          <w:szCs w:val="24"/>
          <w:shd w:val="clear" w:color="auto" w:fill="FFFFFF"/>
        </w:rPr>
        <w:t>(10), 569-576. https://doi.org/10.1056/NEJM198309083091001</w:t>
      </w:r>
    </w:p>
    <w:p w14:paraId="5F833C1E"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Benjamin, E. J., Muntner, P., Alonso, A., Bittencourt, M. S., Callaway, C. W., Carson, A. P., ... &amp; American Heart Association Council on Epidemiology and Prevention Statistics Committee and Stroke Statistics Subcommittee. (2019). Heart disease and stroke statistics—2019 update: a report from the American Heart Association. </w:t>
      </w:r>
      <w:r w:rsidRPr="001F64A9">
        <w:rPr>
          <w:rFonts w:asciiTheme="majorBidi" w:hAnsiTheme="majorBidi" w:cstheme="majorBidi"/>
          <w:i/>
          <w:iCs/>
          <w:sz w:val="24"/>
          <w:szCs w:val="24"/>
          <w:shd w:val="clear" w:color="auto" w:fill="FFFFFF"/>
        </w:rPr>
        <w:t>Circulation</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139</w:t>
      </w:r>
      <w:r w:rsidRPr="001F64A9">
        <w:rPr>
          <w:rFonts w:asciiTheme="majorBidi" w:hAnsiTheme="majorBidi" w:cstheme="majorBidi"/>
          <w:sz w:val="24"/>
          <w:szCs w:val="24"/>
          <w:shd w:val="clear" w:color="auto" w:fill="FFFFFF"/>
        </w:rPr>
        <w:t>(10), e56-e528. https://doi.org/10.1161/CIR.0000000000000659</w:t>
      </w:r>
    </w:p>
    <w:p w14:paraId="48A6300D"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eastAsia="Times New Roman" w:hAnsiTheme="majorBidi" w:cstheme="majorBidi"/>
          <w:sz w:val="24"/>
          <w:szCs w:val="24"/>
        </w:rPr>
        <w:t xml:space="preserve">Bester, J. C. (2020). Beneficence, interests, and wellbeing in medicine: what it means to provide benefit to patients. </w:t>
      </w:r>
      <w:r w:rsidRPr="001F64A9">
        <w:rPr>
          <w:rFonts w:asciiTheme="majorBidi" w:eastAsia="Times New Roman" w:hAnsiTheme="majorBidi" w:cstheme="majorBidi"/>
          <w:i/>
          <w:sz w:val="24"/>
          <w:szCs w:val="24"/>
        </w:rPr>
        <w:t>The American Journal of Bioethics</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i/>
          <w:sz w:val="24"/>
          <w:szCs w:val="24"/>
        </w:rPr>
        <w:t>20</w:t>
      </w:r>
      <w:r w:rsidRPr="001F64A9">
        <w:rPr>
          <w:rFonts w:asciiTheme="majorBidi" w:eastAsia="Times New Roman" w:hAnsiTheme="majorBidi" w:cstheme="majorBidi"/>
          <w:sz w:val="24"/>
          <w:szCs w:val="24"/>
        </w:rPr>
        <w:t>(3), 53-62. https://doi.org/10.1080/15265161.2020.1714793</w:t>
      </w:r>
    </w:p>
    <w:p w14:paraId="2A8E44CE" w14:textId="77777777" w:rsidR="00EE5072" w:rsidRPr="001F64A9" w:rsidRDefault="00EE5072" w:rsidP="00EE5072">
      <w:pPr>
        <w:spacing w:after="0" w:line="480" w:lineRule="auto"/>
        <w:ind w:left="720" w:hanging="720"/>
        <w:rPr>
          <w:rFonts w:asciiTheme="majorBidi" w:hAnsiTheme="majorBidi" w:cstheme="majorBidi"/>
          <w:sz w:val="24"/>
          <w:szCs w:val="24"/>
        </w:rPr>
      </w:pPr>
      <w:r w:rsidRPr="001F64A9">
        <w:rPr>
          <w:rFonts w:asciiTheme="majorBidi" w:hAnsiTheme="majorBidi" w:cstheme="majorBidi"/>
          <w:sz w:val="24"/>
          <w:szCs w:val="24"/>
          <w:shd w:val="clear" w:color="auto" w:fill="FFFFFF"/>
        </w:rPr>
        <w:t xml:space="preserve">Bircher, N. G., Chan, P. S., Xu, Y., &amp; American Heart Association. (2019). Delays in cardiopulmonary resuscitation, defibrillation, and epinephrine administration all decrease </w:t>
      </w:r>
      <w:r w:rsidRPr="001F64A9">
        <w:rPr>
          <w:rFonts w:asciiTheme="majorBidi" w:hAnsiTheme="majorBidi" w:cstheme="majorBidi"/>
          <w:sz w:val="24"/>
          <w:szCs w:val="24"/>
          <w:shd w:val="clear" w:color="auto" w:fill="FFFFFF"/>
        </w:rPr>
        <w:lastRenderedPageBreak/>
        <w:t>survival in in-hospital cardiac arrest. </w:t>
      </w:r>
      <w:r w:rsidRPr="001F64A9">
        <w:rPr>
          <w:rFonts w:asciiTheme="majorBidi" w:hAnsiTheme="majorBidi" w:cstheme="majorBidi"/>
          <w:i/>
          <w:iCs/>
          <w:sz w:val="24"/>
          <w:szCs w:val="24"/>
          <w:shd w:val="clear" w:color="auto" w:fill="FFFFFF"/>
        </w:rPr>
        <w:t>Anesthesiology</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130</w:t>
      </w:r>
      <w:r w:rsidRPr="001F64A9">
        <w:rPr>
          <w:rFonts w:asciiTheme="majorBidi" w:hAnsiTheme="majorBidi" w:cstheme="majorBidi"/>
          <w:sz w:val="24"/>
          <w:szCs w:val="24"/>
          <w:shd w:val="clear" w:color="auto" w:fill="FFFFFF"/>
        </w:rPr>
        <w:t>(3), 414-422. https://doi.org/10.1097/ALN.0000000000002563</w:t>
      </w:r>
    </w:p>
    <w:p w14:paraId="2EF263C3"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Bishop, G., &amp; Smith, A. (1997). Response-order effects in public opinion surveys: The plausibility of rival hypotheses. In </w:t>
      </w:r>
      <w:r w:rsidRPr="001F64A9">
        <w:rPr>
          <w:rFonts w:asciiTheme="majorBidi" w:hAnsiTheme="majorBidi" w:cstheme="majorBidi"/>
          <w:i/>
          <w:iCs/>
          <w:sz w:val="24"/>
          <w:szCs w:val="24"/>
          <w:shd w:val="clear" w:color="auto" w:fill="FFFFFF"/>
        </w:rPr>
        <w:t>American Association for Public Opinion Research, Norfolk, VA</w:t>
      </w:r>
      <w:r w:rsidRPr="001F64A9">
        <w:rPr>
          <w:rFonts w:asciiTheme="majorBidi" w:hAnsiTheme="majorBidi" w:cstheme="majorBidi"/>
          <w:sz w:val="24"/>
          <w:szCs w:val="24"/>
          <w:shd w:val="clear" w:color="auto" w:fill="FFFFFF"/>
        </w:rPr>
        <w:t>.</w:t>
      </w:r>
    </w:p>
    <w:p w14:paraId="23E9E9E9"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Bishop, J. P., Brothers, K. B., Perry, J. E., &amp; Ahmad, A. (2010). Reviving the conversation around CPR/DNR. </w:t>
      </w:r>
      <w:r w:rsidRPr="001F64A9">
        <w:rPr>
          <w:rFonts w:asciiTheme="majorBidi" w:hAnsiTheme="majorBidi" w:cstheme="majorBidi"/>
          <w:i/>
          <w:iCs/>
          <w:sz w:val="24"/>
          <w:szCs w:val="24"/>
          <w:shd w:val="clear" w:color="auto" w:fill="FFFFFF"/>
        </w:rPr>
        <w:t>The American Journal of Bioethics</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10</w:t>
      </w:r>
      <w:r w:rsidRPr="001F64A9">
        <w:rPr>
          <w:rFonts w:asciiTheme="majorBidi" w:hAnsiTheme="majorBidi" w:cstheme="majorBidi"/>
          <w:sz w:val="24"/>
          <w:szCs w:val="24"/>
          <w:shd w:val="clear" w:color="auto" w:fill="FFFFFF"/>
        </w:rPr>
        <w:t>(1), 61-67. https://doi.org/10.1080/15265160903469328</w:t>
      </w:r>
    </w:p>
    <w:p w14:paraId="5FBF60B7"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Bishop, M. A. (2015). </w:t>
      </w:r>
      <w:r w:rsidRPr="001F64A9">
        <w:rPr>
          <w:rFonts w:asciiTheme="majorBidi" w:eastAsia="Times New Roman" w:hAnsiTheme="majorBidi" w:cstheme="majorBidi"/>
          <w:i/>
          <w:iCs/>
          <w:sz w:val="24"/>
          <w:szCs w:val="24"/>
        </w:rPr>
        <w:t>The good life: Unifying the philosophy and psychology of well-being.</w:t>
      </w:r>
      <w:r w:rsidRPr="001F64A9">
        <w:rPr>
          <w:rFonts w:asciiTheme="majorBidi" w:eastAsia="Times New Roman" w:hAnsiTheme="majorBidi" w:cstheme="majorBidi"/>
          <w:sz w:val="24"/>
          <w:szCs w:val="24"/>
        </w:rPr>
        <w:t xml:space="preserve"> Oxford University Press, USA. https://doi.org/10.1093/acprof:oso/9780199923113.001.0001</w:t>
      </w:r>
    </w:p>
    <w:p w14:paraId="4BEE3AD9"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Boland, L. L., Satterlee, P. A., Hokanson, J. S., Strauss, C. E., &amp; Yost, D. (2015). Chest compression injuries detected via routine post-arrest care in patients who survive to admission after out-of-hospital cardiac arrest. </w:t>
      </w:r>
      <w:r w:rsidRPr="001F64A9">
        <w:rPr>
          <w:rFonts w:asciiTheme="majorBidi" w:hAnsiTheme="majorBidi" w:cstheme="majorBidi"/>
          <w:i/>
          <w:iCs/>
          <w:sz w:val="24"/>
          <w:szCs w:val="24"/>
          <w:shd w:val="clear" w:color="auto" w:fill="FFFFFF"/>
        </w:rPr>
        <w:t>Prehospital Emergency Care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19</w:t>
      </w:r>
      <w:r w:rsidRPr="001F64A9">
        <w:rPr>
          <w:rFonts w:asciiTheme="majorBidi" w:hAnsiTheme="majorBidi" w:cstheme="majorBidi"/>
          <w:sz w:val="24"/>
          <w:szCs w:val="24"/>
          <w:shd w:val="clear" w:color="auto" w:fill="FFFFFF"/>
        </w:rPr>
        <w:t>(1), 23-30. https://doi.org/10.3109/10903127.2014.936636</w:t>
      </w:r>
    </w:p>
    <w:p w14:paraId="0D548607"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Breault, J. L. (2011). DNR, DNAR, or AND? Is language important?. </w:t>
      </w:r>
      <w:r w:rsidRPr="001F64A9">
        <w:rPr>
          <w:rFonts w:asciiTheme="majorBidi" w:hAnsiTheme="majorBidi" w:cstheme="majorBidi"/>
          <w:i/>
          <w:iCs/>
          <w:sz w:val="24"/>
          <w:szCs w:val="24"/>
          <w:shd w:val="clear" w:color="auto" w:fill="FFFFFF"/>
        </w:rPr>
        <w:t>Ochsner Journal</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11</w:t>
      </w:r>
      <w:r w:rsidRPr="001F64A9">
        <w:rPr>
          <w:rFonts w:asciiTheme="majorBidi" w:hAnsiTheme="majorBidi" w:cstheme="majorBidi"/>
          <w:sz w:val="24"/>
          <w:szCs w:val="24"/>
          <w:shd w:val="clear" w:color="auto" w:fill="FFFFFF"/>
        </w:rPr>
        <w:t>(4), 302-306.</w:t>
      </w:r>
    </w:p>
    <w:p w14:paraId="7EA6834B"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Buchanan, E. M., &amp; Scofield, J. E. (2018). Methods to detect low quality data and its implication for psychological research. </w:t>
      </w:r>
      <w:r w:rsidRPr="001F64A9">
        <w:rPr>
          <w:rFonts w:asciiTheme="majorBidi" w:hAnsiTheme="majorBidi" w:cstheme="majorBidi"/>
          <w:i/>
          <w:iCs/>
          <w:sz w:val="24"/>
          <w:szCs w:val="24"/>
          <w:shd w:val="clear" w:color="auto" w:fill="FFFFFF"/>
        </w:rPr>
        <w:t>Behavior Research Methods</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50</w:t>
      </w:r>
      <w:r w:rsidRPr="001F64A9">
        <w:rPr>
          <w:rFonts w:asciiTheme="majorBidi" w:hAnsiTheme="majorBidi" w:cstheme="majorBidi"/>
          <w:sz w:val="24"/>
          <w:szCs w:val="24"/>
          <w:shd w:val="clear" w:color="auto" w:fill="FFFFFF"/>
        </w:rPr>
        <w:t>, 2586-2596. https://doi.org/10.3758/s13428-018-1035-6</w:t>
      </w:r>
    </w:p>
    <w:p w14:paraId="5507E2C2"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Buschmann, C. T., &amp; Tsokos, M. (2009). Frequent and rare complications of resuscitation attempts. </w:t>
      </w:r>
      <w:r w:rsidRPr="001F64A9">
        <w:rPr>
          <w:rFonts w:asciiTheme="majorBidi" w:hAnsiTheme="majorBidi" w:cstheme="majorBidi"/>
          <w:i/>
          <w:iCs/>
          <w:sz w:val="24"/>
          <w:szCs w:val="24"/>
          <w:shd w:val="clear" w:color="auto" w:fill="FFFFFF"/>
        </w:rPr>
        <w:t>Intensive Care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35</w:t>
      </w:r>
      <w:r w:rsidRPr="001F64A9">
        <w:rPr>
          <w:rFonts w:asciiTheme="majorBidi" w:hAnsiTheme="majorBidi" w:cstheme="majorBidi"/>
          <w:sz w:val="24"/>
          <w:szCs w:val="24"/>
          <w:shd w:val="clear" w:color="auto" w:fill="FFFFFF"/>
        </w:rPr>
        <w:t>(3), 397-404. https://doi.org/10.1007/s00134-008-1255-9</w:t>
      </w:r>
    </w:p>
    <w:p w14:paraId="2A9318E6" w14:textId="77777777" w:rsidR="00EE5072" w:rsidRPr="001F64A9" w:rsidRDefault="00EE5072" w:rsidP="00EE5072">
      <w:pPr>
        <w:spacing w:after="0" w:line="480" w:lineRule="auto"/>
        <w:ind w:left="720" w:hanging="720"/>
        <w:rPr>
          <w:rFonts w:asciiTheme="majorBidi" w:hAnsiTheme="majorBidi" w:cstheme="majorBidi"/>
          <w:noProof/>
          <w:sz w:val="24"/>
          <w:szCs w:val="24"/>
        </w:rPr>
      </w:pPr>
      <w:r w:rsidRPr="001F64A9">
        <w:rPr>
          <w:rFonts w:asciiTheme="majorBidi" w:hAnsiTheme="majorBidi" w:cstheme="majorBidi"/>
          <w:sz w:val="24"/>
          <w:szCs w:val="24"/>
          <w:shd w:val="clear" w:color="auto" w:fill="FFFFFF"/>
        </w:rPr>
        <w:lastRenderedPageBreak/>
        <w:t>Cardona-Morrell, M., Benfatti-Olivato, G., Jansen, J., Turner, R. M., Fajardo-Pulido, D., &amp; Hillman, K. (2017). A systematic review of effectiveness of decision aids to assist older patients at the end of life. </w:t>
      </w:r>
      <w:r w:rsidRPr="001F64A9">
        <w:rPr>
          <w:rFonts w:asciiTheme="majorBidi" w:hAnsiTheme="majorBidi" w:cstheme="majorBidi"/>
          <w:i/>
          <w:iCs/>
          <w:sz w:val="24"/>
          <w:szCs w:val="24"/>
          <w:shd w:val="clear" w:color="auto" w:fill="FFFFFF"/>
        </w:rPr>
        <w:t>Patient Education and Counseling</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100</w:t>
      </w:r>
      <w:r w:rsidRPr="001F64A9">
        <w:rPr>
          <w:rFonts w:asciiTheme="majorBidi" w:hAnsiTheme="majorBidi" w:cstheme="majorBidi"/>
          <w:sz w:val="24"/>
          <w:szCs w:val="24"/>
          <w:shd w:val="clear" w:color="auto" w:fill="FFFFFF"/>
        </w:rPr>
        <w:t>(3), 425-435. https://doi.org/10.1016/j.pec.2016.10.007</w:t>
      </w:r>
    </w:p>
    <w:p w14:paraId="682F0306"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noProof/>
          <w:sz w:val="24"/>
          <w:szCs w:val="24"/>
        </w:rPr>
        <w:t xml:space="preserve">Chang, R. (1997). Introduction. In R. Change (Ed.), </w:t>
      </w:r>
      <w:r w:rsidRPr="001F64A9">
        <w:rPr>
          <w:rFonts w:asciiTheme="majorBidi" w:hAnsiTheme="majorBidi" w:cstheme="majorBidi"/>
          <w:i/>
          <w:noProof/>
          <w:sz w:val="24"/>
          <w:szCs w:val="24"/>
        </w:rPr>
        <w:t>Incommensurability, Incomparability, and Practical Reason</w:t>
      </w:r>
      <w:r w:rsidRPr="001F64A9">
        <w:rPr>
          <w:rFonts w:asciiTheme="majorBidi" w:hAnsiTheme="majorBidi" w:cstheme="majorBidi"/>
          <w:noProof/>
          <w:sz w:val="24"/>
          <w:szCs w:val="24"/>
        </w:rPr>
        <w:t xml:space="preserve"> (pp. 1-34). Cambridge: Harvard University Press.</w:t>
      </w:r>
    </w:p>
    <w:p w14:paraId="6E93E45A"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Chen, Y. Y., &amp; Youngner, S. J. (2008). “Allow natural death” is not equivalent to “do not resuscitate”: a response. </w:t>
      </w:r>
      <w:r w:rsidRPr="001F64A9">
        <w:rPr>
          <w:rFonts w:asciiTheme="majorBidi" w:hAnsiTheme="majorBidi" w:cstheme="majorBidi"/>
          <w:i/>
          <w:iCs/>
          <w:sz w:val="24"/>
          <w:szCs w:val="24"/>
          <w:shd w:val="clear" w:color="auto" w:fill="FFFFFF"/>
        </w:rPr>
        <w:t>Journal of Medical Ethics</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34</w:t>
      </w:r>
      <w:r w:rsidRPr="001F64A9">
        <w:rPr>
          <w:rFonts w:asciiTheme="majorBidi" w:hAnsiTheme="majorBidi" w:cstheme="majorBidi"/>
          <w:sz w:val="24"/>
          <w:szCs w:val="24"/>
          <w:shd w:val="clear" w:color="auto" w:fill="FFFFFF"/>
        </w:rPr>
        <w:t>(12), 887-888. https://doi.org/10.1136/jme.2008.024570</w:t>
      </w:r>
    </w:p>
    <w:p w14:paraId="3AAC5578"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Cho, J., Cokely, E., Ramasubramanian, M., Allan, J., Feltz, A., &amp; Garcia-Retamero, R. (2021). Risk literacy promotes representative understanding: Numerate people are less biased, more knowledgeable, and more concerned about climate change. </w:t>
      </w:r>
      <w:r w:rsidRPr="001F64A9">
        <w:rPr>
          <w:rFonts w:asciiTheme="majorBidi" w:eastAsia="Times New Roman" w:hAnsiTheme="majorBidi" w:cstheme="majorBidi"/>
          <w:i/>
          <w:sz w:val="24"/>
          <w:szCs w:val="24"/>
        </w:rPr>
        <w:t>Research Square.</w:t>
      </w:r>
      <w:r w:rsidRPr="001F64A9">
        <w:rPr>
          <w:rFonts w:asciiTheme="majorBidi" w:eastAsia="Times New Roman" w:hAnsiTheme="majorBidi" w:cstheme="majorBidi"/>
          <w:sz w:val="24"/>
          <w:szCs w:val="24"/>
        </w:rPr>
        <w:t xml:space="preserve"> https://doi.org/10.21203/rs.3.rs-420681/v1.</w:t>
      </w:r>
    </w:p>
    <w:p w14:paraId="0057B158"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Cokely, E. T., Feltz, A., Ghazal, S., Allan, J. N., Petrova, D., &amp; Garcia-Retamero, R. (2018). Skilled decision theory: From intelligence to numeracy and expertise. In K. A. Ericsson, R. R. Hoffman, A. Kozbelt, &amp; A. M. Williams (Eds.), </w:t>
      </w:r>
      <w:r w:rsidRPr="001F64A9">
        <w:rPr>
          <w:rFonts w:asciiTheme="majorBidi" w:eastAsia="Times New Roman" w:hAnsiTheme="majorBidi" w:cstheme="majorBidi"/>
          <w:i/>
          <w:sz w:val="24"/>
          <w:szCs w:val="24"/>
        </w:rPr>
        <w:t>The Cambridge handbook of expertise and expert performance</w:t>
      </w:r>
      <w:r w:rsidRPr="001F64A9">
        <w:rPr>
          <w:rFonts w:asciiTheme="majorBidi" w:eastAsia="Times New Roman" w:hAnsiTheme="majorBidi" w:cstheme="majorBidi"/>
          <w:sz w:val="24"/>
          <w:szCs w:val="24"/>
        </w:rPr>
        <w:t xml:space="preserve"> (2nd ed., pp. 476–505). Cambridge, England: Cambridge University Press. https://psycnet.apa.org/doi/10.1017/9781316480748.026</w:t>
      </w:r>
    </w:p>
    <w:p w14:paraId="3F3B1ACA"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Coppola, M., Bookwala, J., Ditto, P. H., Lockhart, L. K., Danks, J. H., Smucker, K. (1999). Elderly adults' preferences for life-sustaining treatments: the role of impairment, prognosis, and pain. </w:t>
      </w:r>
      <w:r w:rsidRPr="001F64A9">
        <w:rPr>
          <w:rFonts w:asciiTheme="majorBidi" w:hAnsiTheme="majorBidi" w:cstheme="majorBidi"/>
          <w:i/>
          <w:iCs/>
          <w:sz w:val="24"/>
          <w:szCs w:val="24"/>
          <w:shd w:val="clear" w:color="auto" w:fill="FFFFFF"/>
        </w:rPr>
        <w:t>Death Studies</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23</w:t>
      </w:r>
      <w:r w:rsidRPr="001F64A9">
        <w:rPr>
          <w:rFonts w:asciiTheme="majorBidi" w:hAnsiTheme="majorBidi" w:cstheme="majorBidi"/>
          <w:sz w:val="24"/>
          <w:szCs w:val="24"/>
          <w:shd w:val="clear" w:color="auto" w:fill="FFFFFF"/>
        </w:rPr>
        <w:t>(7), 617-634. https://doi.org/10.1080/074811899200803</w:t>
      </w:r>
    </w:p>
    <w:p w14:paraId="597F9C76"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lastRenderedPageBreak/>
        <w:t>Cousineau, N., McDowell, I., Hotz, S., &amp; Hébert, P. (2003). Measuring chronic patients' feelings of being a burden to their caregivers: development and preliminary validation of a scale. </w:t>
      </w:r>
      <w:r w:rsidRPr="001F64A9">
        <w:rPr>
          <w:rFonts w:asciiTheme="majorBidi" w:hAnsiTheme="majorBidi" w:cstheme="majorBidi"/>
          <w:i/>
          <w:iCs/>
          <w:sz w:val="24"/>
          <w:szCs w:val="24"/>
          <w:shd w:val="clear" w:color="auto" w:fill="FFFFFF"/>
        </w:rPr>
        <w:t>Medical Care</w:t>
      </w:r>
      <w:r w:rsidRPr="001F64A9">
        <w:rPr>
          <w:rFonts w:asciiTheme="majorBidi" w:hAnsiTheme="majorBidi" w:cstheme="majorBidi"/>
          <w:sz w:val="24"/>
          <w:szCs w:val="24"/>
          <w:shd w:val="clear" w:color="auto" w:fill="FFFFFF"/>
        </w:rPr>
        <w:t>, 110-118. https://doi.org/10.1097/00005650-200301000-00013</w:t>
      </w:r>
    </w:p>
    <w:p w14:paraId="0FA2445F"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Cox, C. E., White, D. B., Hough, C. L., Jones, D. M., Kahn, J. M., Olsen, M. K., ... &amp; Carson, S. S. (2019). Effects of a personalized web-based decision aid for surrogate decision makers of patients with prolonged mechanical ventilation: a randomized clinical trial. </w:t>
      </w:r>
      <w:r w:rsidRPr="001F64A9">
        <w:rPr>
          <w:rFonts w:asciiTheme="majorBidi" w:hAnsiTheme="majorBidi" w:cstheme="majorBidi"/>
          <w:i/>
          <w:iCs/>
          <w:sz w:val="24"/>
          <w:szCs w:val="24"/>
          <w:shd w:val="clear" w:color="auto" w:fill="FFFFFF"/>
        </w:rPr>
        <w:t>Annals of Internal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170</w:t>
      </w:r>
      <w:r w:rsidRPr="001F64A9">
        <w:rPr>
          <w:rFonts w:asciiTheme="majorBidi" w:hAnsiTheme="majorBidi" w:cstheme="majorBidi"/>
          <w:sz w:val="24"/>
          <w:szCs w:val="24"/>
          <w:shd w:val="clear" w:color="auto" w:fill="FFFFFF"/>
        </w:rPr>
        <w:t>(5), 285-297. https://doi.org/10.7326/M18-2335</w:t>
      </w:r>
    </w:p>
    <w:p w14:paraId="5F259A65"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eastAsia="Times New Roman" w:hAnsiTheme="majorBidi" w:cstheme="majorBidi"/>
          <w:sz w:val="24"/>
          <w:szCs w:val="24"/>
        </w:rPr>
        <w:t xml:space="preserve">Cullity, G. (2007). Beneficence. In y R.E. Ashcroft, A. Dawson, H. Draper &amp; J. R. McMillan (Eds.), </w:t>
      </w:r>
      <w:r w:rsidRPr="001F64A9">
        <w:rPr>
          <w:rFonts w:asciiTheme="majorBidi" w:eastAsia="Times New Roman" w:hAnsiTheme="majorBidi" w:cstheme="majorBidi"/>
          <w:i/>
          <w:sz w:val="24"/>
          <w:szCs w:val="24"/>
        </w:rPr>
        <w:t>Principles of health care ethics</w:t>
      </w:r>
      <w:r w:rsidRPr="001F64A9">
        <w:rPr>
          <w:rFonts w:asciiTheme="majorBidi" w:eastAsia="Times New Roman" w:hAnsiTheme="majorBidi" w:cstheme="majorBidi"/>
          <w:sz w:val="24"/>
          <w:szCs w:val="24"/>
        </w:rPr>
        <w:t xml:space="preserve"> (2nd ed., pp. 19-26).  John Wiley &amp; Sons. https://doi.org/10.1002/9780470510544.ch3</w:t>
      </w:r>
    </w:p>
    <w:p w14:paraId="40A10323"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Demidenko, E. (2007). Sample size determination for logistic regression revisited. </w:t>
      </w:r>
      <w:r w:rsidRPr="001F64A9">
        <w:rPr>
          <w:rFonts w:asciiTheme="majorBidi" w:hAnsiTheme="majorBidi" w:cstheme="majorBidi"/>
          <w:i/>
          <w:iCs/>
          <w:sz w:val="24"/>
          <w:szCs w:val="24"/>
          <w:shd w:val="clear" w:color="auto" w:fill="FFFFFF"/>
        </w:rPr>
        <w:t>Statistics in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26</w:t>
      </w:r>
      <w:r w:rsidRPr="001F64A9">
        <w:rPr>
          <w:rFonts w:asciiTheme="majorBidi" w:hAnsiTheme="majorBidi" w:cstheme="majorBidi"/>
          <w:sz w:val="24"/>
          <w:szCs w:val="24"/>
          <w:shd w:val="clear" w:color="auto" w:fill="FFFFFF"/>
        </w:rPr>
        <w:t>(18), 3385-3397. https://doi.org/10.1002/sim.2771</w:t>
      </w:r>
    </w:p>
    <w:p w14:paraId="7C022583"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Demidenko, E. (2008). Sample size and optimal design for logistic regression with binary interaction. </w:t>
      </w:r>
      <w:r w:rsidRPr="001F64A9">
        <w:rPr>
          <w:rFonts w:asciiTheme="majorBidi" w:hAnsiTheme="majorBidi" w:cstheme="majorBidi"/>
          <w:i/>
          <w:iCs/>
          <w:sz w:val="24"/>
          <w:szCs w:val="24"/>
          <w:shd w:val="clear" w:color="auto" w:fill="FFFFFF"/>
        </w:rPr>
        <w:t>Statistics in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27</w:t>
      </w:r>
      <w:r w:rsidRPr="001F64A9">
        <w:rPr>
          <w:rFonts w:asciiTheme="majorBidi" w:hAnsiTheme="majorBidi" w:cstheme="majorBidi"/>
          <w:sz w:val="24"/>
          <w:szCs w:val="24"/>
          <w:shd w:val="clear" w:color="auto" w:fill="FFFFFF"/>
        </w:rPr>
        <w:t>(1), 36-46. https://doi.org/10.1002/sim.2980</w:t>
      </w:r>
    </w:p>
    <w:p w14:paraId="7965FD96"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DeSimone, J. A., Harms, P. D., &amp; DeSimone, A. J. (2015). Best practice recommendations for data screening. </w:t>
      </w:r>
      <w:r w:rsidRPr="001F64A9">
        <w:rPr>
          <w:rFonts w:asciiTheme="majorBidi" w:hAnsiTheme="majorBidi" w:cstheme="majorBidi"/>
          <w:i/>
          <w:iCs/>
          <w:sz w:val="24"/>
          <w:szCs w:val="24"/>
          <w:shd w:val="clear" w:color="auto" w:fill="FFFFFF"/>
        </w:rPr>
        <w:t>Journal of Organizational Behavior</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36</w:t>
      </w:r>
      <w:r w:rsidRPr="001F64A9">
        <w:rPr>
          <w:rFonts w:asciiTheme="majorBidi" w:hAnsiTheme="majorBidi" w:cstheme="majorBidi"/>
          <w:sz w:val="24"/>
          <w:szCs w:val="24"/>
          <w:shd w:val="clear" w:color="auto" w:fill="FFFFFF"/>
        </w:rPr>
        <w:t>(2), 171-181. https://doi.org/10.1002/job.1962</w:t>
      </w:r>
    </w:p>
    <w:p w14:paraId="58BE4C04"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Douglas, B. D., Ewell, P. J., &amp; Brauer, M. (2023). Data quality in online human-subjects research: Comparisons between MTurk, Prolific, CloudResearch, Qualtrics, and SONA. </w:t>
      </w:r>
      <w:r w:rsidRPr="001F64A9">
        <w:rPr>
          <w:rFonts w:asciiTheme="majorBidi" w:hAnsiTheme="majorBidi" w:cstheme="majorBidi"/>
          <w:i/>
          <w:iCs/>
          <w:sz w:val="24"/>
          <w:szCs w:val="24"/>
          <w:shd w:val="clear" w:color="auto" w:fill="FFFFFF"/>
        </w:rPr>
        <w:t>Plos One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18</w:t>
      </w:r>
      <w:r w:rsidRPr="001F64A9">
        <w:rPr>
          <w:rFonts w:asciiTheme="majorBidi" w:hAnsiTheme="majorBidi" w:cstheme="majorBidi"/>
          <w:sz w:val="24"/>
          <w:szCs w:val="24"/>
          <w:shd w:val="clear" w:color="auto" w:fill="FFFFFF"/>
        </w:rPr>
        <w:t>(3), e0279720. https://doi.org/10.1371/journal.pone.0279720</w:t>
      </w:r>
    </w:p>
    <w:p w14:paraId="17771E48"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Doukas, D. J., &amp; Gorenflo, D. W. (1993). Analyzing the values history: an evaluation of patient medical values and advance directives. </w:t>
      </w:r>
      <w:r w:rsidRPr="001F64A9">
        <w:rPr>
          <w:rFonts w:asciiTheme="majorBidi" w:hAnsiTheme="majorBidi" w:cstheme="majorBidi"/>
          <w:i/>
          <w:iCs/>
          <w:sz w:val="24"/>
          <w:szCs w:val="24"/>
          <w:shd w:val="clear" w:color="auto" w:fill="FFFFFF"/>
        </w:rPr>
        <w:t>The Journal of Clinical Ethics</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4</w:t>
      </w:r>
      <w:r w:rsidRPr="001F64A9">
        <w:rPr>
          <w:rFonts w:asciiTheme="majorBidi" w:hAnsiTheme="majorBidi" w:cstheme="majorBidi"/>
          <w:sz w:val="24"/>
          <w:szCs w:val="24"/>
          <w:shd w:val="clear" w:color="auto" w:fill="FFFFFF"/>
        </w:rPr>
        <w:t>(1), 41-45. https://doi.org/10.1086/JCE199304107</w:t>
      </w:r>
    </w:p>
    <w:p w14:paraId="4FD1680D"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lastRenderedPageBreak/>
        <w:t>Doukas, D. J., &amp; McCullough, L. B. (1991). The values history. </w:t>
      </w:r>
      <w:r w:rsidRPr="001F64A9">
        <w:rPr>
          <w:rFonts w:asciiTheme="majorBidi" w:hAnsiTheme="majorBidi" w:cstheme="majorBidi"/>
          <w:i/>
          <w:iCs/>
          <w:sz w:val="24"/>
          <w:szCs w:val="24"/>
          <w:shd w:val="clear" w:color="auto" w:fill="FFFFFF"/>
        </w:rPr>
        <w:t>Journal of Family Practice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32</w:t>
      </w:r>
      <w:r w:rsidRPr="001F64A9">
        <w:rPr>
          <w:rFonts w:asciiTheme="majorBidi" w:hAnsiTheme="majorBidi" w:cstheme="majorBidi"/>
          <w:sz w:val="24"/>
          <w:szCs w:val="24"/>
          <w:shd w:val="clear" w:color="auto" w:fill="FFFFFF"/>
        </w:rPr>
        <w:t xml:space="preserve">(2), 145-153. </w:t>
      </w:r>
    </w:p>
    <w:p w14:paraId="2F91A7E5"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Doukas, D. J., Antonucci, T., &amp; Gorenflo, D. W. (1992). A multigenerational study on the correlation of values and advance directives. </w:t>
      </w:r>
      <w:r w:rsidRPr="001F64A9">
        <w:rPr>
          <w:rFonts w:asciiTheme="majorBidi" w:hAnsiTheme="majorBidi" w:cstheme="majorBidi"/>
          <w:i/>
          <w:iCs/>
          <w:sz w:val="24"/>
          <w:szCs w:val="24"/>
          <w:shd w:val="clear" w:color="auto" w:fill="FFFFFF"/>
        </w:rPr>
        <w:t>Ethics &amp; Behavior</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w:t>
      </w:r>
      <w:r w:rsidRPr="001F64A9">
        <w:rPr>
          <w:rFonts w:asciiTheme="majorBidi" w:hAnsiTheme="majorBidi" w:cstheme="majorBidi"/>
          <w:sz w:val="24"/>
          <w:szCs w:val="24"/>
          <w:shd w:val="clear" w:color="auto" w:fill="FFFFFF"/>
        </w:rPr>
        <w:t>(1), 51-59. https://doi.org/10.1207/s15327019eb0201_4</w:t>
      </w:r>
    </w:p>
    <w:p w14:paraId="01E2C89F"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Downey, L., Curtis, J. R., Lafferty, W. E., Herting, J. R., &amp; Engelberg, R. A. (2010). The Quality of Dying and Death Questionnaire (QODD): empirical domains and theoretical perspectives. </w:t>
      </w:r>
      <w:r w:rsidRPr="001F64A9">
        <w:rPr>
          <w:rFonts w:asciiTheme="majorBidi" w:hAnsiTheme="majorBidi" w:cstheme="majorBidi"/>
          <w:i/>
          <w:iCs/>
          <w:sz w:val="24"/>
          <w:szCs w:val="24"/>
          <w:shd w:val="clear" w:color="auto" w:fill="FFFFFF"/>
        </w:rPr>
        <w:t>Journal of Pain and Symptom Management</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39</w:t>
      </w:r>
      <w:r w:rsidRPr="001F64A9">
        <w:rPr>
          <w:rFonts w:asciiTheme="majorBidi" w:hAnsiTheme="majorBidi" w:cstheme="majorBidi"/>
          <w:sz w:val="24"/>
          <w:szCs w:val="24"/>
          <w:shd w:val="clear" w:color="auto" w:fill="FFFFFF"/>
        </w:rPr>
        <w:t>(1), 9-22. https://doi.org/10.1016/j.jpainsymman.2009.05.012</w:t>
      </w:r>
    </w:p>
    <w:p w14:paraId="743739B9"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Ejem, D. B., Barrett, N., Rhodes, R. L., Olsen, M., Bakitas, M., Durant, R., ... &amp; Johnson, K. (2019). Reducing disparities in the quality of palliative care for older African Americans through improved advance care planning: study design and protocol. </w:t>
      </w:r>
      <w:r w:rsidRPr="001F64A9">
        <w:rPr>
          <w:rFonts w:asciiTheme="majorBidi" w:hAnsiTheme="majorBidi" w:cstheme="majorBidi"/>
          <w:i/>
          <w:iCs/>
          <w:sz w:val="24"/>
          <w:szCs w:val="24"/>
          <w:shd w:val="clear" w:color="auto" w:fill="FFFFFF"/>
        </w:rPr>
        <w:t>Journal of Palliative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22</w:t>
      </w:r>
      <w:r w:rsidRPr="001F64A9">
        <w:rPr>
          <w:rFonts w:asciiTheme="majorBidi" w:hAnsiTheme="majorBidi" w:cstheme="majorBidi"/>
          <w:sz w:val="24"/>
          <w:szCs w:val="24"/>
          <w:shd w:val="clear" w:color="auto" w:fill="FFFFFF"/>
        </w:rPr>
        <w:t>(S1), S-90. https://doi.org/10.1089/jpm.2019.0146</w:t>
      </w:r>
    </w:p>
    <w:p w14:paraId="05AE76BC"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El-Jawahri, A., Paasche-Orlow, M. K., Matlock, D., Stevenson, L. W., Lewis, E. F., Stewart, G., ... &amp; Volandes, A. E. (2016). Randomized, controlled trial of an advance care planning video decision support tool for patients with advanced heart failure. </w:t>
      </w:r>
      <w:r w:rsidRPr="001F64A9">
        <w:rPr>
          <w:rFonts w:asciiTheme="majorBidi" w:eastAsia="Times New Roman" w:hAnsiTheme="majorBidi" w:cstheme="majorBidi"/>
          <w:i/>
          <w:sz w:val="24"/>
          <w:szCs w:val="24"/>
        </w:rPr>
        <w:t>Circulation</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i/>
          <w:sz w:val="24"/>
          <w:szCs w:val="24"/>
        </w:rPr>
        <w:t>134</w:t>
      </w:r>
      <w:r w:rsidRPr="001F64A9">
        <w:rPr>
          <w:rFonts w:asciiTheme="majorBidi" w:eastAsia="Times New Roman" w:hAnsiTheme="majorBidi" w:cstheme="majorBidi"/>
          <w:sz w:val="24"/>
          <w:szCs w:val="24"/>
        </w:rPr>
        <w:t>(1), 52-60. https://doi.org/10.1161/CIRCULATIONAHA.116.021937.</w:t>
      </w:r>
    </w:p>
    <w:p w14:paraId="110DAC8B"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eastAsia="Times New Roman" w:hAnsiTheme="majorBidi" w:cstheme="majorBidi"/>
          <w:sz w:val="24"/>
          <w:szCs w:val="24"/>
        </w:rPr>
        <w:t xml:space="preserve">El-Jawahri, A., Temel, J. S., Ramchandran, K., Jackson, V. A., Chang, Y., Walker-Corkery, E., ... &amp; Volandes, A. E. (2015). A randomized controlled trial of a cardiopulmonary resuscitation (CPR) video decision support tool for seriously ill hospitalized patients with advanced cancer. </w:t>
      </w:r>
      <w:r w:rsidRPr="001F64A9">
        <w:rPr>
          <w:rFonts w:asciiTheme="majorBidi" w:eastAsia="Times New Roman" w:hAnsiTheme="majorBidi" w:cstheme="majorBidi"/>
          <w:i/>
          <w:sz w:val="24"/>
          <w:szCs w:val="24"/>
        </w:rPr>
        <w:t>Journal of Clinical Oncology, 33</w:t>
      </w:r>
      <w:r w:rsidRPr="001F64A9">
        <w:rPr>
          <w:rFonts w:asciiTheme="majorBidi" w:eastAsia="Times New Roman" w:hAnsiTheme="majorBidi" w:cstheme="majorBidi"/>
          <w:sz w:val="24"/>
          <w:szCs w:val="24"/>
        </w:rPr>
        <w:t>(29), 7. https://doi.org/10.1200/jco.2015.33.29_suppl.7.</w:t>
      </w:r>
    </w:p>
    <w:p w14:paraId="54A10458"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lastRenderedPageBreak/>
        <w:t>Elwyn, G., O'Connor, A., Stacey, D., Volk, R., Edwards, A., Coulter, A., ... &amp; Whelan, T. (2006). Developing a quality criteria framework for patient decision aids: online international Delphi consensus process. </w:t>
      </w:r>
      <w:r w:rsidRPr="001F64A9">
        <w:rPr>
          <w:rFonts w:asciiTheme="majorBidi" w:hAnsiTheme="majorBidi" w:cstheme="majorBidi"/>
          <w:i/>
          <w:iCs/>
          <w:sz w:val="24"/>
          <w:szCs w:val="24"/>
          <w:shd w:val="clear" w:color="auto" w:fill="FFFFFF"/>
        </w:rPr>
        <w:t>BMJ</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333</w:t>
      </w:r>
      <w:r w:rsidRPr="001F64A9">
        <w:rPr>
          <w:rFonts w:asciiTheme="majorBidi" w:hAnsiTheme="majorBidi" w:cstheme="majorBidi"/>
          <w:sz w:val="24"/>
          <w:szCs w:val="24"/>
          <w:shd w:val="clear" w:color="auto" w:fill="FFFFFF"/>
        </w:rPr>
        <w:t>(7565), 417. https://doi.org/10.1136/bmj.38926.629329.AE</w:t>
      </w:r>
    </w:p>
    <w:p w14:paraId="4030987C"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Emanuel, L. L., &amp; Emanuel, E. J. (1989). The medical directive: a new comprehensive advance care document. </w:t>
      </w:r>
      <w:r w:rsidRPr="001F64A9">
        <w:rPr>
          <w:rFonts w:asciiTheme="majorBidi" w:hAnsiTheme="majorBidi" w:cstheme="majorBidi"/>
          <w:i/>
          <w:iCs/>
          <w:sz w:val="24"/>
          <w:szCs w:val="24"/>
          <w:shd w:val="clear" w:color="auto" w:fill="FFFFFF"/>
        </w:rPr>
        <w:t>JAMA</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261</w:t>
      </w:r>
      <w:r w:rsidRPr="001F64A9">
        <w:rPr>
          <w:rFonts w:asciiTheme="majorBidi" w:hAnsiTheme="majorBidi" w:cstheme="majorBidi"/>
          <w:sz w:val="24"/>
          <w:szCs w:val="24"/>
          <w:shd w:val="clear" w:color="auto" w:fill="FFFFFF"/>
        </w:rPr>
        <w:t>(22), 3288-3293. https://doi.org/10.1001/jama.1989.03420220102036</w:t>
      </w:r>
    </w:p>
    <w:p w14:paraId="235691D5"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Engelen, B. (2019). Ethical criteria for health-promoting nudges: a case-by-case analysis. </w:t>
      </w:r>
      <w:r w:rsidRPr="001F64A9">
        <w:rPr>
          <w:rFonts w:asciiTheme="majorBidi" w:hAnsiTheme="majorBidi" w:cstheme="majorBidi"/>
          <w:i/>
          <w:iCs/>
          <w:sz w:val="24"/>
          <w:szCs w:val="24"/>
          <w:shd w:val="clear" w:color="auto" w:fill="FFFFFF"/>
        </w:rPr>
        <w:t>The American Journal of Bioethics</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19</w:t>
      </w:r>
      <w:r w:rsidRPr="001F64A9">
        <w:rPr>
          <w:rFonts w:asciiTheme="majorBidi" w:hAnsiTheme="majorBidi" w:cstheme="majorBidi"/>
          <w:sz w:val="24"/>
          <w:szCs w:val="24"/>
          <w:shd w:val="clear" w:color="auto" w:fill="FFFFFF"/>
        </w:rPr>
        <w:t>(5), 48-59. https://doi.org/10.1080/15265161.2019.1588411</w:t>
      </w:r>
    </w:p>
    <w:p w14:paraId="4B25687A"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Evans, J. S. B. (2008). Dual-processing accounts of reasoning, judgment, and social cognition. </w:t>
      </w:r>
      <w:r w:rsidRPr="001F64A9">
        <w:rPr>
          <w:rFonts w:asciiTheme="majorBidi" w:hAnsiTheme="majorBidi" w:cstheme="majorBidi"/>
          <w:i/>
          <w:iCs/>
          <w:sz w:val="24"/>
          <w:szCs w:val="24"/>
          <w:shd w:val="clear" w:color="auto" w:fill="FFFFFF"/>
        </w:rPr>
        <w:t>Annu. Rev. Psychol.</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59</w:t>
      </w:r>
      <w:r w:rsidRPr="001F64A9">
        <w:rPr>
          <w:rFonts w:asciiTheme="majorBidi" w:hAnsiTheme="majorBidi" w:cstheme="majorBidi"/>
          <w:sz w:val="24"/>
          <w:szCs w:val="24"/>
          <w:shd w:val="clear" w:color="auto" w:fill="FFFFFF"/>
        </w:rPr>
        <w:t>, 255-278. https://doi.org/10.1146/annurev.psych.59.103006.093629</w:t>
      </w:r>
    </w:p>
    <w:p w14:paraId="7525F0D3"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Fagerlin, A., &amp; Schneider, C. E. (2004). Enough: the failure of the living will. </w:t>
      </w:r>
      <w:r w:rsidRPr="001F64A9">
        <w:rPr>
          <w:rFonts w:asciiTheme="majorBidi" w:hAnsiTheme="majorBidi" w:cstheme="majorBidi"/>
          <w:i/>
          <w:iCs/>
          <w:sz w:val="24"/>
          <w:szCs w:val="24"/>
          <w:shd w:val="clear" w:color="auto" w:fill="FFFFFF"/>
        </w:rPr>
        <w:t>Hastings Center Report</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34</w:t>
      </w:r>
      <w:r w:rsidRPr="001F64A9">
        <w:rPr>
          <w:rFonts w:asciiTheme="majorBidi" w:hAnsiTheme="majorBidi" w:cstheme="majorBidi"/>
          <w:sz w:val="24"/>
          <w:szCs w:val="24"/>
          <w:shd w:val="clear" w:color="auto" w:fill="FFFFFF"/>
        </w:rPr>
        <w:t>(2), 30-42. https://doi.org/10.2307/3527683</w:t>
      </w:r>
    </w:p>
    <w:p w14:paraId="4B94CD0E"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Fairlie, D. E. (2018). Specific words and experience matter to surrogates when making end of life decisions. </w:t>
      </w:r>
      <w:r w:rsidRPr="001F64A9">
        <w:rPr>
          <w:rFonts w:asciiTheme="majorBidi" w:hAnsiTheme="majorBidi" w:cstheme="majorBidi"/>
          <w:i/>
          <w:iCs/>
          <w:sz w:val="24"/>
          <w:szCs w:val="24"/>
          <w:shd w:val="clear" w:color="auto" w:fill="FFFFFF"/>
        </w:rPr>
        <w:t>Health Communication</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33</w:t>
      </w:r>
      <w:r w:rsidRPr="001F64A9">
        <w:rPr>
          <w:rFonts w:asciiTheme="majorBidi" w:hAnsiTheme="majorBidi" w:cstheme="majorBidi"/>
          <w:sz w:val="24"/>
          <w:szCs w:val="24"/>
          <w:shd w:val="clear" w:color="auto" w:fill="FFFFFF"/>
        </w:rPr>
        <w:t>(5), 537-543. https://doi.org/10.1080/10410236.2017.1283560</w:t>
      </w:r>
    </w:p>
    <w:p w14:paraId="268B7C69"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Fan, S. Y., Wang, Y. W., &amp; Lin, I. M. (2018). Allow natural death versus do-not-resuscitate: titles, information contents, outcomes, and the considerations related to do-not-resuscitate decision. </w:t>
      </w:r>
      <w:r w:rsidRPr="001F64A9">
        <w:rPr>
          <w:rFonts w:asciiTheme="majorBidi" w:hAnsiTheme="majorBidi" w:cstheme="majorBidi"/>
          <w:i/>
          <w:iCs/>
          <w:sz w:val="24"/>
          <w:szCs w:val="24"/>
          <w:shd w:val="clear" w:color="auto" w:fill="FFFFFF"/>
        </w:rPr>
        <w:t>BMC Palliative Care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17</w:t>
      </w:r>
      <w:r w:rsidRPr="001F64A9">
        <w:rPr>
          <w:rFonts w:asciiTheme="majorBidi" w:hAnsiTheme="majorBidi" w:cstheme="majorBidi"/>
          <w:sz w:val="24"/>
          <w:szCs w:val="24"/>
          <w:shd w:val="clear" w:color="auto" w:fill="FFFFFF"/>
        </w:rPr>
        <w:t>, 1-7. https://doi.org/10.1186/s12904-018-0367-4</w:t>
      </w:r>
    </w:p>
    <w:p w14:paraId="50309851"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lastRenderedPageBreak/>
        <w:t>Faul, F., Erdfelder, E., Buchner, A., &amp; Lang, A. G. (2009). Statistical power analyses using G* Power 3.1: Tests for correlation and regression analyses. </w:t>
      </w:r>
      <w:r w:rsidRPr="001F64A9">
        <w:rPr>
          <w:rFonts w:asciiTheme="majorBidi" w:hAnsiTheme="majorBidi" w:cstheme="majorBidi"/>
          <w:i/>
          <w:iCs/>
          <w:sz w:val="24"/>
          <w:szCs w:val="24"/>
          <w:shd w:val="clear" w:color="auto" w:fill="FFFFFF"/>
        </w:rPr>
        <w:t>Behavior Research Methods</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41</w:t>
      </w:r>
      <w:r w:rsidRPr="001F64A9">
        <w:rPr>
          <w:rFonts w:asciiTheme="majorBidi" w:hAnsiTheme="majorBidi" w:cstheme="majorBidi"/>
          <w:sz w:val="24"/>
          <w:szCs w:val="24"/>
          <w:shd w:val="clear" w:color="auto" w:fill="FFFFFF"/>
        </w:rPr>
        <w:t>(4), 1149-1160. https://doi.org/10.3758/BRM.41.4.1149</w:t>
      </w:r>
    </w:p>
    <w:p w14:paraId="735042E6"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Feltz, A. &amp; Cokely, E. (</w:t>
      </w:r>
      <w:r w:rsidRPr="001F64A9">
        <w:rPr>
          <w:rFonts w:asciiTheme="majorBidi" w:eastAsia="Times New Roman" w:hAnsiTheme="majorBidi" w:cstheme="majorBidi"/>
          <w:i/>
          <w:iCs/>
          <w:sz w:val="24"/>
          <w:szCs w:val="24"/>
        </w:rPr>
        <w:t>in prep</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i/>
          <w:sz w:val="24"/>
          <w:szCs w:val="24"/>
        </w:rPr>
        <w:t>Ethical Decision Science</w:t>
      </w:r>
      <w:r w:rsidRPr="001F64A9">
        <w:rPr>
          <w:rFonts w:asciiTheme="majorBidi" w:eastAsia="Times New Roman" w:hAnsiTheme="majorBidi" w:cstheme="majorBidi"/>
          <w:sz w:val="24"/>
          <w:szCs w:val="24"/>
        </w:rPr>
        <w:t>.</w:t>
      </w:r>
    </w:p>
    <w:p w14:paraId="69236BD6"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eastAsia="Times New Roman" w:hAnsiTheme="majorBidi" w:cstheme="majorBidi"/>
          <w:sz w:val="24"/>
          <w:szCs w:val="24"/>
        </w:rPr>
        <w:t>Feltz, A. &amp; Cokely, E. (</w:t>
      </w:r>
      <w:r w:rsidRPr="001F64A9">
        <w:rPr>
          <w:rFonts w:asciiTheme="majorBidi" w:eastAsia="Times New Roman" w:hAnsiTheme="majorBidi" w:cstheme="majorBidi"/>
          <w:i/>
          <w:iCs/>
          <w:sz w:val="24"/>
          <w:szCs w:val="24"/>
        </w:rPr>
        <w:t>submitted</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i/>
          <w:sz w:val="24"/>
          <w:szCs w:val="24"/>
        </w:rPr>
        <w:t>Ethical Interaction Theory</w:t>
      </w:r>
      <w:r w:rsidRPr="001F64A9">
        <w:rPr>
          <w:rFonts w:asciiTheme="majorBidi" w:eastAsia="Times New Roman" w:hAnsiTheme="majorBidi" w:cstheme="majorBidi"/>
          <w:sz w:val="24"/>
          <w:szCs w:val="24"/>
        </w:rPr>
        <w:t>.</w:t>
      </w:r>
    </w:p>
    <w:p w14:paraId="0EECDB5E"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color w:val="222222"/>
          <w:sz w:val="24"/>
          <w:szCs w:val="24"/>
          <w:shd w:val="clear" w:color="auto" w:fill="FFFFFF"/>
        </w:rPr>
        <w:t>Feltz, A., &amp; Cokely, E. T. (2012). The philosophical personality argument. </w:t>
      </w:r>
      <w:r w:rsidRPr="001F64A9">
        <w:rPr>
          <w:rFonts w:asciiTheme="majorBidi" w:hAnsiTheme="majorBidi" w:cstheme="majorBidi"/>
          <w:i/>
          <w:iCs/>
          <w:color w:val="222222"/>
          <w:sz w:val="24"/>
          <w:szCs w:val="24"/>
          <w:shd w:val="clear" w:color="auto" w:fill="FFFFFF"/>
        </w:rPr>
        <w:t>Philosophical Studies</w:t>
      </w:r>
      <w:r w:rsidRPr="001F64A9">
        <w:rPr>
          <w:rFonts w:asciiTheme="majorBidi" w:hAnsiTheme="majorBidi" w:cstheme="majorBidi"/>
          <w:color w:val="222222"/>
          <w:sz w:val="24"/>
          <w:szCs w:val="24"/>
          <w:shd w:val="clear" w:color="auto" w:fill="FFFFFF"/>
        </w:rPr>
        <w:t>, </w:t>
      </w:r>
      <w:r w:rsidRPr="001F64A9">
        <w:rPr>
          <w:rFonts w:asciiTheme="majorBidi" w:hAnsiTheme="majorBidi" w:cstheme="majorBidi"/>
          <w:i/>
          <w:iCs/>
          <w:color w:val="222222"/>
          <w:sz w:val="24"/>
          <w:szCs w:val="24"/>
          <w:shd w:val="clear" w:color="auto" w:fill="FFFFFF"/>
        </w:rPr>
        <w:t>161</w:t>
      </w:r>
      <w:r w:rsidRPr="001F64A9">
        <w:rPr>
          <w:rFonts w:asciiTheme="majorBidi" w:hAnsiTheme="majorBidi" w:cstheme="majorBidi"/>
          <w:color w:val="222222"/>
          <w:sz w:val="24"/>
          <w:szCs w:val="24"/>
          <w:shd w:val="clear" w:color="auto" w:fill="FFFFFF"/>
        </w:rPr>
        <w:t>, 227-246. https://doi.org/10.1007/s11098-011-9731-4</w:t>
      </w:r>
    </w:p>
    <w:p w14:paraId="2FA86AD5"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Feltz, A., &amp; Cokely, E. T. (2017). Informing ethical decision making. In K. Rommelfanger &amp; L. S. Johnson (Eds.), </w:t>
      </w:r>
      <w:r w:rsidRPr="001F64A9">
        <w:rPr>
          <w:rFonts w:asciiTheme="majorBidi" w:eastAsia="Times New Roman" w:hAnsiTheme="majorBidi" w:cstheme="majorBidi"/>
          <w:i/>
          <w:iCs/>
          <w:sz w:val="24"/>
          <w:szCs w:val="24"/>
        </w:rPr>
        <w:t>Handbook of Neuroethics</w:t>
      </w:r>
      <w:r w:rsidRPr="001F64A9">
        <w:rPr>
          <w:rFonts w:asciiTheme="majorBidi" w:eastAsia="Times New Roman" w:hAnsiTheme="majorBidi" w:cstheme="majorBidi"/>
          <w:sz w:val="24"/>
          <w:szCs w:val="24"/>
        </w:rPr>
        <w:t xml:space="preserve"> (pp. 314–327). Routledge. https://doi.org/10.4324/9781315708652-23.</w:t>
      </w:r>
    </w:p>
    <w:p w14:paraId="6B17445E"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Feltz, A., Caton, J. N., Cogely, Z., Engel, M., Feltz, S., Ilea, R., ... &amp; Offer-Westort, T. (2022). Developing an objective measure of knowledge of factory farming. </w:t>
      </w:r>
      <w:r w:rsidRPr="001F64A9">
        <w:rPr>
          <w:rFonts w:asciiTheme="majorBidi" w:hAnsiTheme="majorBidi" w:cstheme="majorBidi"/>
          <w:i/>
          <w:iCs/>
          <w:sz w:val="24"/>
          <w:szCs w:val="24"/>
          <w:shd w:val="clear" w:color="auto" w:fill="FFFFFF"/>
        </w:rPr>
        <w:t>Philosophical Psychology</w:t>
      </w:r>
      <w:r w:rsidRPr="001F64A9">
        <w:rPr>
          <w:rFonts w:asciiTheme="majorBidi" w:hAnsiTheme="majorBidi" w:cstheme="majorBidi"/>
          <w:sz w:val="24"/>
          <w:szCs w:val="24"/>
          <w:shd w:val="clear" w:color="auto" w:fill="FFFFFF"/>
        </w:rPr>
        <w:t>, 1-26. https://doi.org/10.1080/09515089.2022.2056436</w:t>
      </w:r>
    </w:p>
    <w:p w14:paraId="76A6C5ED"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Feltz, S., &amp; Feltz, A. (2016). The good life: Unifying the philosophy and psychology of well-being. </w:t>
      </w:r>
      <w:r w:rsidRPr="001F64A9">
        <w:rPr>
          <w:rFonts w:asciiTheme="majorBidi" w:eastAsia="Times New Roman" w:hAnsiTheme="majorBidi" w:cstheme="majorBidi"/>
          <w:i/>
          <w:iCs/>
          <w:sz w:val="24"/>
          <w:szCs w:val="24"/>
        </w:rPr>
        <w:t>Philosophical Psychology, 29</w:t>
      </w:r>
      <w:r w:rsidRPr="001F64A9">
        <w:rPr>
          <w:rFonts w:asciiTheme="majorBidi" w:eastAsia="Times New Roman" w:hAnsiTheme="majorBidi" w:cstheme="majorBidi"/>
          <w:sz w:val="24"/>
          <w:szCs w:val="24"/>
        </w:rPr>
        <w:t>(8), 1253-1255. https://doi.org/10.1080/09515089.2016.1224827</w:t>
      </w:r>
    </w:p>
    <w:p w14:paraId="770417FF"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Frechman, E., Dietrich, M. S., Walden, R. L., &amp; Maxwell, C. A. (2020). Exploring the uptake of advance care planning in older adults: an integrative review. </w:t>
      </w:r>
      <w:r w:rsidRPr="001F64A9">
        <w:rPr>
          <w:rFonts w:asciiTheme="majorBidi" w:hAnsiTheme="majorBidi" w:cstheme="majorBidi"/>
          <w:i/>
          <w:iCs/>
          <w:sz w:val="24"/>
          <w:szCs w:val="24"/>
          <w:shd w:val="clear" w:color="auto" w:fill="FFFFFF"/>
        </w:rPr>
        <w:t>Journal of Pain and Symptom Management</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60</w:t>
      </w:r>
      <w:r w:rsidRPr="001F64A9">
        <w:rPr>
          <w:rFonts w:asciiTheme="majorBidi" w:hAnsiTheme="majorBidi" w:cstheme="majorBidi"/>
          <w:sz w:val="24"/>
          <w:szCs w:val="24"/>
          <w:shd w:val="clear" w:color="auto" w:fill="FFFFFF"/>
        </w:rPr>
        <w:t>(6), 1208-1222. https://doi.org/10.1016/j.jpainsymman.2020.06.043</w:t>
      </w:r>
    </w:p>
    <w:p w14:paraId="73197810"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Fritz, Z., Fuld, J., Haydock, S., &amp; Palmer, C. (2010). Interpretation and intent: a study of the (mis) understanding of DNAR orders in a teaching hospital. </w:t>
      </w:r>
      <w:r w:rsidRPr="001F64A9">
        <w:rPr>
          <w:rFonts w:asciiTheme="majorBidi" w:hAnsiTheme="majorBidi" w:cstheme="majorBidi"/>
          <w:i/>
          <w:iCs/>
          <w:sz w:val="24"/>
          <w:szCs w:val="24"/>
          <w:shd w:val="clear" w:color="auto" w:fill="FFFFFF"/>
        </w:rPr>
        <w:t>Resuscitation, 81</w:t>
      </w:r>
      <w:r w:rsidRPr="001F64A9">
        <w:rPr>
          <w:rFonts w:asciiTheme="majorBidi" w:hAnsiTheme="majorBidi" w:cstheme="majorBidi"/>
          <w:sz w:val="24"/>
          <w:szCs w:val="24"/>
          <w:shd w:val="clear" w:color="auto" w:fill="FFFFFF"/>
        </w:rPr>
        <w:t>(9), 1138-1141. https://doi.org/10.1016/j.resuscitation.2010.05.014</w:t>
      </w:r>
    </w:p>
    <w:p w14:paraId="331FE357"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lastRenderedPageBreak/>
        <w:t xml:space="preserve">Garcia-Retamero, R., &amp; Cokely, E. T. (2011). Effective communication of risks to young adults: using message framing and visual aids to increase condom use and STD screening. </w:t>
      </w:r>
      <w:r w:rsidRPr="001F64A9">
        <w:rPr>
          <w:rFonts w:asciiTheme="majorBidi" w:eastAsia="Times New Roman" w:hAnsiTheme="majorBidi" w:cstheme="majorBidi"/>
          <w:i/>
          <w:sz w:val="24"/>
          <w:szCs w:val="24"/>
        </w:rPr>
        <w:t>Journal of Experimental Psychology: Applied</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i/>
          <w:sz w:val="24"/>
          <w:szCs w:val="24"/>
        </w:rPr>
        <w:t>17</w:t>
      </w:r>
      <w:r w:rsidRPr="001F64A9">
        <w:rPr>
          <w:rFonts w:asciiTheme="majorBidi" w:eastAsia="Times New Roman" w:hAnsiTheme="majorBidi" w:cstheme="majorBidi"/>
          <w:sz w:val="24"/>
          <w:szCs w:val="24"/>
        </w:rPr>
        <w:t>(3), 270. https://doi.org/10.1037/a0023677.</w:t>
      </w:r>
    </w:p>
    <w:p w14:paraId="69615F3D"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Garcia‐Retamero, R., &amp; Cokely, E. T. (2014). The influence of skills, message frame, and visual aids on prevention of sexually transmitted diseases. </w:t>
      </w:r>
      <w:r w:rsidRPr="001F64A9">
        <w:rPr>
          <w:rFonts w:asciiTheme="majorBidi" w:eastAsia="Times New Roman" w:hAnsiTheme="majorBidi" w:cstheme="majorBidi"/>
          <w:i/>
          <w:sz w:val="24"/>
          <w:szCs w:val="24"/>
        </w:rPr>
        <w:t>Journal of Behavioral Decision Making</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i/>
          <w:sz w:val="24"/>
          <w:szCs w:val="24"/>
        </w:rPr>
        <w:t>27</w:t>
      </w:r>
      <w:r w:rsidRPr="001F64A9">
        <w:rPr>
          <w:rFonts w:asciiTheme="majorBidi" w:eastAsia="Times New Roman" w:hAnsiTheme="majorBidi" w:cstheme="majorBidi"/>
          <w:sz w:val="24"/>
          <w:szCs w:val="24"/>
        </w:rPr>
        <w:t>(2), 179-189. https://doi.org/10.1002/bdm.1797.</w:t>
      </w:r>
    </w:p>
    <w:p w14:paraId="578F90CF"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Garcia-Retamero, R., &amp; Cokely, E. T. (2015). Simple but powerful health messages for increasing condom use in young adults. </w:t>
      </w:r>
      <w:r w:rsidRPr="001F64A9">
        <w:rPr>
          <w:rFonts w:asciiTheme="majorBidi" w:eastAsia="Times New Roman" w:hAnsiTheme="majorBidi" w:cstheme="majorBidi"/>
          <w:i/>
          <w:sz w:val="24"/>
          <w:szCs w:val="24"/>
        </w:rPr>
        <w:t>The Journal of Sex Research</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i/>
          <w:sz w:val="24"/>
          <w:szCs w:val="24"/>
        </w:rPr>
        <w:t>52</w:t>
      </w:r>
      <w:r w:rsidRPr="001F64A9">
        <w:rPr>
          <w:rFonts w:asciiTheme="majorBidi" w:eastAsia="Times New Roman" w:hAnsiTheme="majorBidi" w:cstheme="majorBidi"/>
          <w:sz w:val="24"/>
          <w:szCs w:val="24"/>
        </w:rPr>
        <w:t>(1), 30-42. https://doi.org/10.1080/00224499.2013.806647.</w:t>
      </w:r>
    </w:p>
    <w:p w14:paraId="39B33363"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Green, M. J., &amp; Levi, B. H. (2009). Development of an interactive computer program for advance care planning. </w:t>
      </w:r>
      <w:r w:rsidRPr="001F64A9">
        <w:rPr>
          <w:rFonts w:asciiTheme="majorBidi" w:hAnsiTheme="majorBidi" w:cstheme="majorBidi"/>
          <w:i/>
          <w:iCs/>
          <w:sz w:val="24"/>
          <w:szCs w:val="24"/>
          <w:shd w:val="clear" w:color="auto" w:fill="FFFFFF"/>
        </w:rPr>
        <w:t>Health Expectations</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12</w:t>
      </w:r>
      <w:r w:rsidRPr="001F64A9">
        <w:rPr>
          <w:rFonts w:asciiTheme="majorBidi" w:hAnsiTheme="majorBidi" w:cstheme="majorBidi"/>
          <w:sz w:val="24"/>
          <w:szCs w:val="24"/>
          <w:shd w:val="clear" w:color="auto" w:fill="FFFFFF"/>
        </w:rPr>
        <w:t>(1), 60-69. https://doi.org/10.1111/j.1369-7625.2008.00517.x</w:t>
      </w:r>
    </w:p>
    <w:p w14:paraId="2AC71CCE"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Gronlund, S., Mickes, L., Wixted, J., &amp; Clark, S. (2015). Conducting an Eyewitness Lineup: How the Research Got It Wrong. </w:t>
      </w:r>
      <w:r w:rsidRPr="001F64A9">
        <w:rPr>
          <w:rFonts w:asciiTheme="majorBidi" w:eastAsia="Times New Roman" w:hAnsiTheme="majorBidi" w:cstheme="majorBidi"/>
          <w:i/>
          <w:iCs/>
          <w:sz w:val="24"/>
          <w:szCs w:val="24"/>
        </w:rPr>
        <w:t>Psychology of Learning and Motivation - Advances in Research and Theory, 63</w:t>
      </w:r>
      <w:r w:rsidRPr="001F64A9">
        <w:rPr>
          <w:rFonts w:asciiTheme="majorBidi" w:eastAsia="Times New Roman" w:hAnsiTheme="majorBidi" w:cstheme="majorBidi"/>
          <w:sz w:val="24"/>
          <w:szCs w:val="24"/>
        </w:rPr>
        <w:t>, 1–43. https://doi.org/10.1016/bs.plm.2015.03.003</w:t>
      </w:r>
    </w:p>
    <w:p w14:paraId="33A8DB63"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Haeri, M. H. (2018). </w:t>
      </w:r>
      <w:r w:rsidRPr="001F64A9">
        <w:rPr>
          <w:rFonts w:asciiTheme="majorBidi" w:hAnsiTheme="majorBidi" w:cstheme="majorBidi"/>
          <w:i/>
          <w:iCs/>
          <w:sz w:val="24"/>
          <w:szCs w:val="24"/>
          <w:shd w:val="clear" w:color="auto" w:fill="FFFFFF"/>
        </w:rPr>
        <w:t>The Ethics of Nudging in the Physician-Patient Relationship: Maximizing Autonomy When It Really Counts</w:t>
      </w:r>
      <w:r w:rsidRPr="001F64A9">
        <w:rPr>
          <w:rFonts w:asciiTheme="majorBidi" w:hAnsiTheme="majorBidi" w:cstheme="majorBidi"/>
          <w:sz w:val="24"/>
          <w:szCs w:val="24"/>
          <w:shd w:val="clear" w:color="auto" w:fill="FFFFFF"/>
        </w:rPr>
        <w:t> (Doctoral dissertation, Johns Hopkins University).</w:t>
      </w:r>
    </w:p>
    <w:p w14:paraId="6FF5228E" w14:textId="77777777" w:rsidR="00EE5072" w:rsidRPr="001F64A9" w:rsidRDefault="00EE5072" w:rsidP="00EE5072">
      <w:pPr>
        <w:spacing w:after="0" w:line="480" w:lineRule="auto"/>
        <w:ind w:left="720" w:hanging="720"/>
        <w:rPr>
          <w:rFonts w:asciiTheme="majorBidi" w:hAnsiTheme="majorBidi" w:cstheme="majorBidi"/>
          <w:sz w:val="24"/>
          <w:szCs w:val="24"/>
        </w:rPr>
      </w:pPr>
      <w:r w:rsidRPr="001F64A9">
        <w:rPr>
          <w:rFonts w:asciiTheme="majorBidi" w:hAnsiTheme="majorBidi" w:cstheme="majorBidi"/>
          <w:sz w:val="24"/>
          <w:szCs w:val="24"/>
          <w:shd w:val="clear" w:color="auto" w:fill="FFFFFF"/>
        </w:rPr>
        <w:t xml:space="preserve">Halpern, S. D. (2012). Shaping end-of-life care: behavioral economics and advance directives. </w:t>
      </w:r>
      <w:r w:rsidRPr="001F64A9">
        <w:rPr>
          <w:rFonts w:asciiTheme="majorBidi" w:hAnsiTheme="majorBidi" w:cstheme="majorBidi"/>
          <w:i/>
          <w:iCs/>
          <w:sz w:val="24"/>
          <w:szCs w:val="24"/>
          <w:shd w:val="clear" w:color="auto" w:fill="FFFFFF"/>
        </w:rPr>
        <w:t>Seminars in Respiratory and Critical Care Medicine, 33</w:t>
      </w:r>
      <w:r w:rsidRPr="001F64A9">
        <w:rPr>
          <w:rFonts w:asciiTheme="majorBidi" w:hAnsiTheme="majorBidi" w:cstheme="majorBidi"/>
          <w:sz w:val="24"/>
          <w:szCs w:val="24"/>
          <w:shd w:val="clear" w:color="auto" w:fill="FFFFFF"/>
        </w:rPr>
        <w:t>(4). 393-400. Thieme Medical Publishers. https://doi.org/10.1055/s-0032-1322403</w:t>
      </w:r>
    </w:p>
    <w:p w14:paraId="2A3B8744"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lastRenderedPageBreak/>
        <w:t>Halpern, S. D., Loewenstein, G., Volpp, K. G., Cooney, E., Vranas, K., Quill, C. M., ... &amp; Bryce, C. (2013). Default options in advance directives influence how patients set goals for end-of-life care. </w:t>
      </w:r>
      <w:r w:rsidRPr="001F64A9">
        <w:rPr>
          <w:rFonts w:asciiTheme="majorBidi" w:hAnsiTheme="majorBidi" w:cstheme="majorBidi"/>
          <w:i/>
          <w:iCs/>
          <w:sz w:val="24"/>
          <w:szCs w:val="24"/>
          <w:shd w:val="clear" w:color="auto" w:fill="FFFFFF"/>
        </w:rPr>
        <w:t>Health Affairs</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32</w:t>
      </w:r>
      <w:r w:rsidRPr="001F64A9">
        <w:rPr>
          <w:rFonts w:asciiTheme="majorBidi" w:hAnsiTheme="majorBidi" w:cstheme="majorBidi"/>
          <w:sz w:val="24"/>
          <w:szCs w:val="24"/>
          <w:shd w:val="clear" w:color="auto" w:fill="FFFFFF"/>
        </w:rPr>
        <w:t>(2), 408-417. https://doi.org/10.1377/hlthaff.2012.0895</w:t>
      </w:r>
    </w:p>
    <w:p w14:paraId="48C101E9"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color w:val="222222"/>
          <w:sz w:val="24"/>
          <w:szCs w:val="24"/>
          <w:shd w:val="clear" w:color="auto" w:fill="FFFFFF"/>
        </w:rPr>
        <w:t>Hertwig, R. (2012). The psychology and rationality of decisions from experience. </w:t>
      </w:r>
      <w:r w:rsidRPr="001F64A9">
        <w:rPr>
          <w:rFonts w:asciiTheme="majorBidi" w:hAnsiTheme="majorBidi" w:cstheme="majorBidi"/>
          <w:i/>
          <w:iCs/>
          <w:color w:val="222222"/>
          <w:sz w:val="24"/>
          <w:szCs w:val="24"/>
          <w:shd w:val="clear" w:color="auto" w:fill="FFFFFF"/>
        </w:rPr>
        <w:t>Synthese</w:t>
      </w:r>
      <w:r w:rsidRPr="001F64A9">
        <w:rPr>
          <w:rFonts w:asciiTheme="majorBidi" w:hAnsiTheme="majorBidi" w:cstheme="majorBidi"/>
          <w:color w:val="222222"/>
          <w:sz w:val="24"/>
          <w:szCs w:val="24"/>
          <w:shd w:val="clear" w:color="auto" w:fill="FFFFFF"/>
        </w:rPr>
        <w:t>, </w:t>
      </w:r>
      <w:r w:rsidRPr="001F64A9">
        <w:rPr>
          <w:rFonts w:asciiTheme="majorBidi" w:hAnsiTheme="majorBidi" w:cstheme="majorBidi"/>
          <w:i/>
          <w:iCs/>
          <w:color w:val="222222"/>
          <w:sz w:val="24"/>
          <w:szCs w:val="24"/>
          <w:shd w:val="clear" w:color="auto" w:fill="FFFFFF"/>
        </w:rPr>
        <w:t>187</w:t>
      </w:r>
      <w:r w:rsidRPr="001F64A9">
        <w:rPr>
          <w:rFonts w:asciiTheme="majorBidi" w:hAnsiTheme="majorBidi" w:cstheme="majorBidi"/>
          <w:color w:val="222222"/>
          <w:sz w:val="24"/>
          <w:szCs w:val="24"/>
          <w:shd w:val="clear" w:color="auto" w:fill="FFFFFF"/>
        </w:rPr>
        <w:t>(1), 269-292. https://doi.org/10.1007/s11229-011-0024-4</w:t>
      </w:r>
    </w:p>
    <w:p w14:paraId="2F73290D"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Heyland, D. K., Heyland, R., Bailey, A., &amp; Howard, M. (2020). A novel decision aid to help plan for serious illness: a multisite randomized trial. </w:t>
      </w:r>
      <w:r w:rsidRPr="001F64A9">
        <w:rPr>
          <w:rFonts w:asciiTheme="majorBidi" w:hAnsiTheme="majorBidi" w:cstheme="majorBidi"/>
          <w:i/>
          <w:iCs/>
          <w:sz w:val="24"/>
          <w:szCs w:val="24"/>
          <w:shd w:val="clear" w:color="auto" w:fill="FFFFFF"/>
        </w:rPr>
        <w:t>Canadian Medical Association Open Access Journal</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8</w:t>
      </w:r>
      <w:r w:rsidRPr="001F64A9">
        <w:rPr>
          <w:rFonts w:asciiTheme="majorBidi" w:hAnsiTheme="majorBidi" w:cstheme="majorBidi"/>
          <w:sz w:val="24"/>
          <w:szCs w:val="24"/>
          <w:shd w:val="clear" w:color="auto" w:fill="FFFFFF"/>
        </w:rPr>
        <w:t>(2), E289-E296. https://doi.org/10.9778/cmajo.20190179</w:t>
      </w:r>
    </w:p>
    <w:p w14:paraId="6FFAB6A7"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color w:val="222222"/>
          <w:sz w:val="24"/>
          <w:szCs w:val="24"/>
          <w:shd w:val="clear" w:color="auto" w:fill="FFFFFF"/>
        </w:rPr>
        <w:t>Heyland, D. K., Ilan, R., Jiang, X., You, J. J., &amp; Dodek, P. (2016). The prevalence of medical error related to end-of-life communication in Canadian hospitals: results of a multicentre observational study. </w:t>
      </w:r>
      <w:r w:rsidRPr="001F64A9">
        <w:rPr>
          <w:rFonts w:asciiTheme="majorBidi" w:hAnsiTheme="majorBidi" w:cstheme="majorBidi"/>
          <w:i/>
          <w:iCs/>
          <w:color w:val="222222"/>
          <w:sz w:val="24"/>
          <w:szCs w:val="24"/>
          <w:shd w:val="clear" w:color="auto" w:fill="FFFFFF"/>
        </w:rPr>
        <w:t>BMJ Quality &amp; Safety</w:t>
      </w:r>
      <w:r w:rsidRPr="001F64A9">
        <w:rPr>
          <w:rFonts w:asciiTheme="majorBidi" w:hAnsiTheme="majorBidi" w:cstheme="majorBidi"/>
          <w:color w:val="222222"/>
          <w:sz w:val="24"/>
          <w:szCs w:val="24"/>
          <w:shd w:val="clear" w:color="auto" w:fill="FFFFFF"/>
        </w:rPr>
        <w:t>, </w:t>
      </w:r>
      <w:r w:rsidRPr="001F64A9">
        <w:rPr>
          <w:rFonts w:asciiTheme="majorBidi" w:hAnsiTheme="majorBidi" w:cstheme="majorBidi"/>
          <w:i/>
          <w:iCs/>
          <w:color w:val="222222"/>
          <w:sz w:val="24"/>
          <w:szCs w:val="24"/>
          <w:shd w:val="clear" w:color="auto" w:fill="FFFFFF"/>
        </w:rPr>
        <w:t>25</w:t>
      </w:r>
      <w:r w:rsidRPr="001F64A9">
        <w:rPr>
          <w:rFonts w:asciiTheme="majorBidi" w:hAnsiTheme="majorBidi" w:cstheme="majorBidi"/>
          <w:color w:val="222222"/>
          <w:sz w:val="24"/>
          <w:szCs w:val="24"/>
          <w:shd w:val="clear" w:color="auto" w:fill="FFFFFF"/>
        </w:rPr>
        <w:t>(9), 671-679. https://doi.org/10.1136/bmjqs-2015-004567</w:t>
      </w:r>
    </w:p>
    <w:p w14:paraId="003E2A32"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Howard, M., Bansback, N., Tan, A., Klein, D., Bernard, C., Barwich, D., ... &amp; Heyland, D. K. (2017). Recognizing difficult trade-offs: values and treatment preferences for end-of-life care in a multi-site survey of adult patients in family practices. </w:t>
      </w:r>
      <w:r w:rsidRPr="001F64A9">
        <w:rPr>
          <w:rFonts w:asciiTheme="majorBidi" w:hAnsiTheme="majorBidi" w:cstheme="majorBidi"/>
          <w:i/>
          <w:iCs/>
          <w:sz w:val="24"/>
          <w:szCs w:val="24"/>
          <w:shd w:val="clear" w:color="auto" w:fill="FFFFFF"/>
        </w:rPr>
        <w:t>BMC Medical Informatics and Decision Making</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17</w:t>
      </w:r>
      <w:r w:rsidRPr="001F64A9">
        <w:rPr>
          <w:rFonts w:asciiTheme="majorBidi" w:hAnsiTheme="majorBidi" w:cstheme="majorBidi"/>
          <w:sz w:val="24"/>
          <w:szCs w:val="24"/>
          <w:shd w:val="clear" w:color="auto" w:fill="FFFFFF"/>
        </w:rPr>
        <w:t>(1), 1-9. https://doi.org/10.1186/s12911-017-0570-x</w:t>
      </w:r>
    </w:p>
    <w:p w14:paraId="6BE567A6"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Jones, B. L., Parker‐Raley, J., Higgerson, R., Christie, L. M., Legett, S., &amp; Greathouse, J. (2008). Finding the right words: using the terms allow natural death (AND) and do not resuscitate (DNR) in pediatric palliative care. </w:t>
      </w:r>
      <w:r w:rsidRPr="001F64A9">
        <w:rPr>
          <w:rFonts w:asciiTheme="majorBidi" w:hAnsiTheme="majorBidi" w:cstheme="majorBidi"/>
          <w:i/>
          <w:iCs/>
          <w:sz w:val="24"/>
          <w:szCs w:val="24"/>
          <w:shd w:val="clear" w:color="auto" w:fill="FFFFFF"/>
        </w:rPr>
        <w:t>Journal for Healthcare Quality</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30</w:t>
      </w:r>
      <w:r w:rsidRPr="001F64A9">
        <w:rPr>
          <w:rFonts w:asciiTheme="majorBidi" w:hAnsiTheme="majorBidi" w:cstheme="majorBidi"/>
          <w:sz w:val="24"/>
          <w:szCs w:val="24"/>
          <w:shd w:val="clear" w:color="auto" w:fill="FFFFFF"/>
        </w:rPr>
        <w:t>(5), 55-63. https://doi.org/10.1111/j.1945-1474.2008.tb01162.x</w:t>
      </w:r>
    </w:p>
    <w:p w14:paraId="5AC640F1"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Kahneman, D. (2003). A perspective on judgment and choice: mapping bounded rationality. </w:t>
      </w:r>
      <w:r w:rsidRPr="001F64A9">
        <w:rPr>
          <w:rFonts w:asciiTheme="majorBidi" w:hAnsiTheme="majorBidi" w:cstheme="majorBidi"/>
          <w:i/>
          <w:iCs/>
          <w:sz w:val="24"/>
          <w:szCs w:val="24"/>
          <w:shd w:val="clear" w:color="auto" w:fill="FFFFFF"/>
        </w:rPr>
        <w:t>American Psychologist</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58</w:t>
      </w:r>
      <w:r w:rsidRPr="001F64A9">
        <w:rPr>
          <w:rFonts w:asciiTheme="majorBidi" w:hAnsiTheme="majorBidi" w:cstheme="majorBidi"/>
          <w:sz w:val="24"/>
          <w:szCs w:val="24"/>
          <w:shd w:val="clear" w:color="auto" w:fill="FFFFFF"/>
        </w:rPr>
        <w:t>(9), 697. https://doi.org/10.1037/0003-066X.58.9.697</w:t>
      </w:r>
    </w:p>
    <w:p w14:paraId="02B64C86"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lastRenderedPageBreak/>
        <w:t>Kahneman, D. (2011). </w:t>
      </w:r>
      <w:r w:rsidRPr="001F64A9">
        <w:rPr>
          <w:rFonts w:asciiTheme="majorBidi" w:hAnsiTheme="majorBidi" w:cstheme="majorBidi"/>
          <w:i/>
          <w:iCs/>
          <w:sz w:val="24"/>
          <w:szCs w:val="24"/>
          <w:shd w:val="clear" w:color="auto" w:fill="FFFFFF"/>
        </w:rPr>
        <w:t>Thinking, Fast and Slow</w:t>
      </w:r>
      <w:r w:rsidRPr="001F64A9">
        <w:rPr>
          <w:rFonts w:asciiTheme="majorBidi" w:hAnsiTheme="majorBidi" w:cstheme="majorBidi"/>
          <w:sz w:val="24"/>
          <w:szCs w:val="24"/>
          <w:shd w:val="clear" w:color="auto" w:fill="FFFFFF"/>
        </w:rPr>
        <w:t>. Macmillan.</w:t>
      </w:r>
    </w:p>
    <w:p w14:paraId="26A26488"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Kaldjian, L. C., Erekson, Z. D., Haberle, T. H., Curtis, A. E., Shinkunas, L. A., Cannon, K. T., &amp; Forman-Hoffman, V. L. (2009). Code status discussions and goals of care among hospitalised adults. </w:t>
      </w:r>
      <w:r w:rsidRPr="001F64A9">
        <w:rPr>
          <w:rFonts w:asciiTheme="majorBidi" w:hAnsiTheme="majorBidi" w:cstheme="majorBidi"/>
          <w:i/>
          <w:iCs/>
          <w:sz w:val="24"/>
          <w:szCs w:val="24"/>
          <w:shd w:val="clear" w:color="auto" w:fill="FFFFFF"/>
        </w:rPr>
        <w:t>Journal of Medical Ethics</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35</w:t>
      </w:r>
      <w:r w:rsidRPr="001F64A9">
        <w:rPr>
          <w:rFonts w:asciiTheme="majorBidi" w:hAnsiTheme="majorBidi" w:cstheme="majorBidi"/>
          <w:sz w:val="24"/>
          <w:szCs w:val="24"/>
          <w:shd w:val="clear" w:color="auto" w:fill="FFFFFF"/>
        </w:rPr>
        <w:t>(6), 338-342. https://doi.org/10.1136/jme.2008.027854</w:t>
      </w:r>
    </w:p>
    <w:p w14:paraId="3EF7838F"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eastAsia="Times New Roman" w:hAnsiTheme="majorBidi" w:cstheme="majorBidi"/>
          <w:sz w:val="24"/>
          <w:szCs w:val="24"/>
        </w:rPr>
        <w:t xml:space="preserve">Kant, I. (1996). </w:t>
      </w:r>
      <w:r w:rsidRPr="001F64A9">
        <w:rPr>
          <w:rFonts w:asciiTheme="majorBidi" w:eastAsia="Times New Roman" w:hAnsiTheme="majorBidi" w:cstheme="majorBidi"/>
          <w:i/>
          <w:sz w:val="24"/>
          <w:szCs w:val="24"/>
        </w:rPr>
        <w:t>The Metaphysics of Morals.</w:t>
      </w:r>
      <w:r w:rsidRPr="001F64A9">
        <w:rPr>
          <w:rFonts w:asciiTheme="majorBidi" w:eastAsia="Times New Roman" w:hAnsiTheme="majorBidi" w:cstheme="majorBidi"/>
          <w:sz w:val="24"/>
          <w:szCs w:val="24"/>
        </w:rPr>
        <w:t xml:space="preserve"> Cambridge University Press. https://doi.org/10.1017/CBO9780511809644</w:t>
      </w:r>
    </w:p>
    <w:p w14:paraId="387EE0BD"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Knox, C., &amp; Vereb, J. A. (2005). Allow natural death: a more humane approach to discussing end-of-life directives. </w:t>
      </w:r>
      <w:r w:rsidRPr="001F64A9">
        <w:rPr>
          <w:rFonts w:asciiTheme="majorBidi" w:hAnsiTheme="majorBidi" w:cstheme="majorBidi"/>
          <w:i/>
          <w:iCs/>
          <w:sz w:val="24"/>
          <w:szCs w:val="24"/>
          <w:shd w:val="clear" w:color="auto" w:fill="FFFFFF"/>
        </w:rPr>
        <w:t>Journal of Emergency Nursing</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31</w:t>
      </w:r>
      <w:r w:rsidRPr="001F64A9">
        <w:rPr>
          <w:rFonts w:asciiTheme="majorBidi" w:hAnsiTheme="majorBidi" w:cstheme="majorBidi"/>
          <w:sz w:val="24"/>
          <w:szCs w:val="24"/>
          <w:shd w:val="clear" w:color="auto" w:fill="FFFFFF"/>
        </w:rPr>
        <w:t>(6), 560-561. https://doi.org/10.1016/j.jen.2005.06.020</w:t>
      </w:r>
    </w:p>
    <w:p w14:paraId="768079B0"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Koch, K. A. (2008). Allow natural death: “Do not resuscitate” orders. </w:t>
      </w:r>
      <w:r w:rsidRPr="001F64A9">
        <w:rPr>
          <w:rFonts w:asciiTheme="majorBidi" w:hAnsiTheme="majorBidi" w:cstheme="majorBidi"/>
          <w:i/>
          <w:iCs/>
          <w:sz w:val="24"/>
          <w:szCs w:val="24"/>
          <w:shd w:val="clear" w:color="auto" w:fill="FFFFFF"/>
        </w:rPr>
        <w:t>Northeast Florida Medicine Supplement, 59</w:t>
      </w:r>
      <w:r w:rsidRPr="001F64A9">
        <w:rPr>
          <w:rFonts w:asciiTheme="majorBidi" w:hAnsiTheme="majorBidi" w:cstheme="majorBidi"/>
          <w:sz w:val="24"/>
          <w:szCs w:val="24"/>
          <w:shd w:val="clear" w:color="auto" w:fill="FFFFFF"/>
        </w:rPr>
        <w:t>, 13–17.</w:t>
      </w:r>
    </w:p>
    <w:p w14:paraId="39C95CA2"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Kressel, L. M., &amp; Chapman, G. B. (2007). The default effect in end-of-life medical treatment preferences. </w:t>
      </w:r>
      <w:r w:rsidRPr="001F64A9">
        <w:rPr>
          <w:rFonts w:asciiTheme="majorBidi" w:hAnsiTheme="majorBidi" w:cstheme="majorBidi"/>
          <w:i/>
          <w:iCs/>
          <w:sz w:val="24"/>
          <w:szCs w:val="24"/>
          <w:shd w:val="clear" w:color="auto" w:fill="FFFFFF"/>
        </w:rPr>
        <w:t>Medical Decision Making</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27</w:t>
      </w:r>
      <w:r w:rsidRPr="001F64A9">
        <w:rPr>
          <w:rFonts w:asciiTheme="majorBidi" w:hAnsiTheme="majorBidi" w:cstheme="majorBidi"/>
          <w:sz w:val="24"/>
          <w:szCs w:val="24"/>
          <w:shd w:val="clear" w:color="auto" w:fill="FFFFFF"/>
        </w:rPr>
        <w:t>(3), 299-310. https://doi.org/10.1177/0272989X07300608</w:t>
      </w:r>
    </w:p>
    <w:p w14:paraId="7CF38AE4"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Kressel, L. M., Chapman, G. B., &amp; Leventhal, E. (2007). The influence of default options on the expression of end-of-life treatment preferences in advance directives. </w:t>
      </w:r>
      <w:r w:rsidRPr="001F64A9">
        <w:rPr>
          <w:rFonts w:asciiTheme="majorBidi" w:hAnsiTheme="majorBidi" w:cstheme="majorBidi"/>
          <w:i/>
          <w:iCs/>
          <w:sz w:val="24"/>
          <w:szCs w:val="24"/>
          <w:shd w:val="clear" w:color="auto" w:fill="FFFFFF"/>
        </w:rPr>
        <w:t>Journal of General Internal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22</w:t>
      </w:r>
      <w:r w:rsidRPr="001F64A9">
        <w:rPr>
          <w:rFonts w:asciiTheme="majorBidi" w:hAnsiTheme="majorBidi" w:cstheme="majorBidi"/>
          <w:sz w:val="24"/>
          <w:szCs w:val="24"/>
          <w:shd w:val="clear" w:color="auto" w:fill="FFFFFF"/>
        </w:rPr>
        <w:t>, 1007-1010. https://doi.org/10.1177/0272989X07300608</w:t>
      </w:r>
    </w:p>
    <w:p w14:paraId="26243714"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Krosnick, J. A., &amp; Alwin, D. F. (1987). An evaluation of a cognitive theory of response-order effects in survey measurement. </w:t>
      </w:r>
      <w:r w:rsidRPr="001F64A9">
        <w:rPr>
          <w:rFonts w:asciiTheme="majorBidi" w:hAnsiTheme="majorBidi" w:cstheme="majorBidi"/>
          <w:i/>
          <w:iCs/>
          <w:sz w:val="24"/>
          <w:szCs w:val="24"/>
          <w:shd w:val="clear" w:color="auto" w:fill="FFFFFF"/>
        </w:rPr>
        <w:t>Public Opinion Quarterly</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51</w:t>
      </w:r>
      <w:r w:rsidRPr="001F64A9">
        <w:rPr>
          <w:rFonts w:asciiTheme="majorBidi" w:hAnsiTheme="majorBidi" w:cstheme="majorBidi"/>
          <w:sz w:val="24"/>
          <w:szCs w:val="24"/>
          <w:shd w:val="clear" w:color="auto" w:fill="FFFFFF"/>
        </w:rPr>
        <w:t>(2), 201-219. https://doi.org/10.1086/269029</w:t>
      </w:r>
    </w:p>
    <w:p w14:paraId="5661C39F"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 xml:space="preserve">Larkin, G. L., Copes, W. S., Nathanson, B. H., &amp; Kaye, W. (2010). Pre-resuscitation factors associated with mortality in 49,130 cases of in-hospital cardiac arrest: a report from the </w:t>
      </w:r>
      <w:r w:rsidRPr="001F64A9">
        <w:rPr>
          <w:rFonts w:asciiTheme="majorBidi" w:hAnsiTheme="majorBidi" w:cstheme="majorBidi"/>
          <w:sz w:val="24"/>
          <w:szCs w:val="24"/>
          <w:shd w:val="clear" w:color="auto" w:fill="FFFFFF"/>
        </w:rPr>
        <w:lastRenderedPageBreak/>
        <w:t>National Registry for Cardiopulmonary Resuscitation. </w:t>
      </w:r>
      <w:r w:rsidRPr="001F64A9">
        <w:rPr>
          <w:rFonts w:asciiTheme="majorBidi" w:hAnsiTheme="majorBidi" w:cstheme="majorBidi"/>
          <w:i/>
          <w:iCs/>
          <w:sz w:val="24"/>
          <w:szCs w:val="24"/>
          <w:shd w:val="clear" w:color="auto" w:fill="FFFFFF"/>
        </w:rPr>
        <w:t>Resuscitation</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81</w:t>
      </w:r>
      <w:r w:rsidRPr="001F64A9">
        <w:rPr>
          <w:rFonts w:asciiTheme="majorBidi" w:hAnsiTheme="majorBidi" w:cstheme="majorBidi"/>
          <w:sz w:val="24"/>
          <w:szCs w:val="24"/>
          <w:shd w:val="clear" w:color="auto" w:fill="FFFFFF"/>
        </w:rPr>
        <w:t>(3), 302-311. https://doi.org/10.1016/j.resuscitation.2009.11.021</w:t>
      </w:r>
    </w:p>
    <w:p w14:paraId="7F9A7DEE"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Latimer, A. E., Katulak, N. A., Mowad, L., &amp; Salovey, P. (2005). Motivating cancer prevention and early detection behaviors using psychologically tailored messages. </w:t>
      </w:r>
      <w:r w:rsidRPr="001F64A9">
        <w:rPr>
          <w:rFonts w:asciiTheme="majorBidi" w:eastAsia="Times New Roman" w:hAnsiTheme="majorBidi" w:cstheme="majorBidi"/>
          <w:i/>
          <w:sz w:val="24"/>
          <w:szCs w:val="24"/>
        </w:rPr>
        <w:t>Journal of health communication</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i/>
          <w:sz w:val="24"/>
          <w:szCs w:val="24"/>
        </w:rPr>
        <w:t>10</w:t>
      </w:r>
      <w:r w:rsidRPr="001F64A9">
        <w:rPr>
          <w:rFonts w:asciiTheme="majorBidi" w:eastAsia="Times New Roman" w:hAnsiTheme="majorBidi" w:cstheme="majorBidi"/>
          <w:sz w:val="24"/>
          <w:szCs w:val="24"/>
        </w:rPr>
        <w:t>(S1), 137-155. https://doi.org/10.1080/10810730500263364.</w:t>
      </w:r>
    </w:p>
    <w:p w14:paraId="64DE0520"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Latimer, A. E., Rench, T. A., Rivers, S. E., Katulak, N. A., Materese, S. A., Cadmus, L., ... &amp; Salovey, P. (2008). Promoting participation in physical activity using framed messages: An application of prospect theory. </w:t>
      </w:r>
      <w:r w:rsidRPr="001F64A9">
        <w:rPr>
          <w:rFonts w:asciiTheme="majorBidi" w:eastAsia="Times New Roman" w:hAnsiTheme="majorBidi" w:cstheme="majorBidi"/>
          <w:i/>
          <w:sz w:val="24"/>
          <w:szCs w:val="24"/>
        </w:rPr>
        <w:t>British Journal of Health Psychology</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i/>
          <w:sz w:val="24"/>
          <w:szCs w:val="24"/>
        </w:rPr>
        <w:t>13</w:t>
      </w:r>
      <w:r w:rsidRPr="001F64A9">
        <w:rPr>
          <w:rFonts w:asciiTheme="majorBidi" w:eastAsia="Times New Roman" w:hAnsiTheme="majorBidi" w:cstheme="majorBidi"/>
          <w:sz w:val="24"/>
          <w:szCs w:val="24"/>
        </w:rPr>
        <w:t>(4), 659-681. https://doi.org/10.1348/135910707X246186.</w:t>
      </w:r>
    </w:p>
    <w:p w14:paraId="34778B98"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Lichtenstein, S., &amp; Slovic, P. (Eds.). (2006). </w:t>
      </w:r>
      <w:r w:rsidRPr="001F64A9">
        <w:rPr>
          <w:rFonts w:asciiTheme="majorBidi" w:hAnsiTheme="majorBidi" w:cstheme="majorBidi"/>
          <w:i/>
          <w:iCs/>
          <w:sz w:val="24"/>
          <w:szCs w:val="24"/>
          <w:shd w:val="clear" w:color="auto" w:fill="FFFFFF"/>
        </w:rPr>
        <w:t>The Construction of Preference</w:t>
      </w:r>
      <w:r w:rsidRPr="001F64A9">
        <w:rPr>
          <w:rFonts w:asciiTheme="majorBidi" w:hAnsiTheme="majorBidi" w:cstheme="majorBidi"/>
          <w:sz w:val="24"/>
          <w:szCs w:val="24"/>
          <w:shd w:val="clear" w:color="auto" w:fill="FFFFFF"/>
        </w:rPr>
        <w:t>. Cambridge University Press. https://doi.org/10.1017/CBO9780511618031</w:t>
      </w:r>
    </w:p>
    <w:p w14:paraId="6933206E"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Lishner, D. A., Cooter, A. B., &amp; Zald, D. H. (2008). Addressing measurement limitations in affective rating scales: Development of an empirical valence scale. </w:t>
      </w:r>
      <w:r w:rsidRPr="001F64A9">
        <w:rPr>
          <w:rFonts w:asciiTheme="majorBidi" w:hAnsiTheme="majorBidi" w:cstheme="majorBidi"/>
          <w:i/>
          <w:iCs/>
          <w:sz w:val="24"/>
          <w:szCs w:val="24"/>
          <w:shd w:val="clear" w:color="auto" w:fill="FFFFFF"/>
        </w:rPr>
        <w:t>Cognition and Emotion</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22</w:t>
      </w:r>
      <w:r w:rsidRPr="001F64A9">
        <w:rPr>
          <w:rFonts w:asciiTheme="majorBidi" w:hAnsiTheme="majorBidi" w:cstheme="majorBidi"/>
          <w:sz w:val="24"/>
          <w:szCs w:val="24"/>
          <w:shd w:val="clear" w:color="auto" w:fill="FFFFFF"/>
        </w:rPr>
        <w:t>(1), 180-192. https://doi.org/10.1080/02699930701319139</w:t>
      </w:r>
    </w:p>
    <w:p w14:paraId="69701079"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McMeekin, D. E., Hickman Jr, R. L., Douglas, S. L., &amp; Kelley, C. G. (2017). Stress and coping of critical care nurses after unsuccessful cardiopulmonary resuscitation. </w:t>
      </w:r>
      <w:r w:rsidRPr="001F64A9">
        <w:rPr>
          <w:rFonts w:asciiTheme="majorBidi" w:hAnsiTheme="majorBidi" w:cstheme="majorBidi"/>
          <w:i/>
          <w:iCs/>
          <w:sz w:val="24"/>
          <w:szCs w:val="24"/>
          <w:shd w:val="clear" w:color="auto" w:fill="FFFFFF"/>
        </w:rPr>
        <w:t>American Journal of Critical Care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26</w:t>
      </w:r>
      <w:r w:rsidRPr="001F64A9">
        <w:rPr>
          <w:rFonts w:asciiTheme="majorBidi" w:hAnsiTheme="majorBidi" w:cstheme="majorBidi"/>
          <w:sz w:val="24"/>
          <w:szCs w:val="24"/>
          <w:shd w:val="clear" w:color="auto" w:fill="FFFFFF"/>
        </w:rPr>
        <w:t>(2), 128-135. https://doi.org/10.4037/ajcc2017916</w:t>
      </w:r>
    </w:p>
    <w:p w14:paraId="0B34DD1C"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McNeil, B. J., Pauker, S. G., Sox Jr, H. C., &amp; Tversky, A. (1982). On the elicitation of preferences for alternative therapies. </w:t>
      </w:r>
      <w:r w:rsidRPr="001F64A9">
        <w:rPr>
          <w:rFonts w:asciiTheme="majorBidi" w:eastAsia="Times New Roman" w:hAnsiTheme="majorBidi" w:cstheme="majorBidi"/>
          <w:i/>
          <w:sz w:val="24"/>
          <w:szCs w:val="24"/>
        </w:rPr>
        <w:t>New England Journal of Medicine</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i/>
          <w:sz w:val="24"/>
          <w:szCs w:val="24"/>
        </w:rPr>
        <w:t>306</w:t>
      </w:r>
      <w:r w:rsidRPr="001F64A9">
        <w:rPr>
          <w:rFonts w:asciiTheme="majorBidi" w:eastAsia="Times New Roman" w:hAnsiTheme="majorBidi" w:cstheme="majorBidi"/>
          <w:sz w:val="24"/>
          <w:szCs w:val="24"/>
        </w:rPr>
        <w:t>(21), 1259-1262. https://doi.org/10.1056/NEJM198205273062103.</w:t>
      </w:r>
    </w:p>
    <w:p w14:paraId="061324E9"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McPherson, C. J., Wilson, K. G., &amp; Murray, M. A. (2007). Feeling like a burden: Exploring the perspectives of patients at the end of life. </w:t>
      </w:r>
      <w:r w:rsidRPr="001F64A9">
        <w:rPr>
          <w:rFonts w:asciiTheme="majorBidi" w:hAnsiTheme="majorBidi" w:cstheme="majorBidi"/>
          <w:i/>
          <w:iCs/>
          <w:sz w:val="24"/>
          <w:szCs w:val="24"/>
          <w:shd w:val="clear" w:color="auto" w:fill="FFFFFF"/>
        </w:rPr>
        <w:t>Social Science &amp;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64</w:t>
      </w:r>
      <w:r w:rsidRPr="001F64A9">
        <w:rPr>
          <w:rFonts w:asciiTheme="majorBidi" w:hAnsiTheme="majorBidi" w:cstheme="majorBidi"/>
          <w:sz w:val="24"/>
          <w:szCs w:val="24"/>
          <w:shd w:val="clear" w:color="auto" w:fill="FFFFFF"/>
        </w:rPr>
        <w:t>(2), 417-427. https://doi.org/10.1016/j.socscimed.2006.09.013</w:t>
      </w:r>
    </w:p>
    <w:p w14:paraId="277BB8CA" w14:textId="77777777" w:rsidR="00EE5072" w:rsidRPr="001F64A9" w:rsidRDefault="00EE5072" w:rsidP="00EE5072">
      <w:pPr>
        <w:autoSpaceDE w:val="0"/>
        <w:autoSpaceDN w:val="0"/>
        <w:adjustRightInd w:val="0"/>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lastRenderedPageBreak/>
        <w:t xml:space="preserve">Meyer, C. (2010). </w:t>
      </w:r>
      <w:r w:rsidRPr="001F64A9">
        <w:rPr>
          <w:rFonts w:asciiTheme="majorBidi" w:hAnsiTheme="majorBidi" w:cstheme="majorBidi"/>
          <w:i/>
          <w:iCs/>
          <w:sz w:val="24"/>
          <w:szCs w:val="24"/>
          <w:shd w:val="clear" w:color="auto" w:fill="FFFFFF"/>
        </w:rPr>
        <w:t>A new designation for allowing natural death (AND).</w:t>
      </w:r>
      <w:r w:rsidRPr="001F64A9">
        <w:rPr>
          <w:rFonts w:asciiTheme="majorBidi" w:hAnsiTheme="majorBidi" w:cstheme="majorBidi"/>
          <w:sz w:val="24"/>
          <w:szCs w:val="24"/>
          <w:shd w:val="clear" w:color="auto" w:fill="FFFFFF"/>
        </w:rPr>
        <w:t xml:space="preserve"> </w:t>
      </w:r>
      <w:r w:rsidRPr="001F64A9">
        <w:rPr>
          <w:rFonts w:asciiTheme="majorBidi" w:hAnsiTheme="majorBidi" w:cstheme="majorBidi"/>
          <w:i/>
          <w:iCs/>
          <w:sz w:val="24"/>
          <w:szCs w:val="24"/>
          <w:shd w:val="clear" w:color="auto" w:fill="FFFFFF"/>
        </w:rPr>
        <w:t>Hospice Patients Alliance.</w:t>
      </w:r>
      <w:r w:rsidRPr="001F64A9">
        <w:rPr>
          <w:rFonts w:asciiTheme="majorBidi" w:hAnsiTheme="majorBidi" w:cstheme="majorBidi"/>
          <w:sz w:val="24"/>
          <w:szCs w:val="24"/>
          <w:shd w:val="clear" w:color="auto" w:fill="FFFFFF"/>
        </w:rPr>
        <w:t xml:space="preserve"> Retrieved from http://www.hospicepatients.org/and.html.</w:t>
      </w:r>
    </w:p>
    <w:p w14:paraId="506CF56C"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Mill, J. S. (1998). </w:t>
      </w:r>
      <w:r w:rsidRPr="001F64A9">
        <w:rPr>
          <w:rFonts w:asciiTheme="majorBidi" w:eastAsia="Times New Roman" w:hAnsiTheme="majorBidi" w:cstheme="majorBidi"/>
          <w:i/>
          <w:sz w:val="24"/>
          <w:szCs w:val="24"/>
        </w:rPr>
        <w:t>Utilitarianism.</w:t>
      </w:r>
      <w:r w:rsidRPr="001F64A9">
        <w:rPr>
          <w:rFonts w:asciiTheme="majorBidi" w:eastAsia="Times New Roman" w:hAnsiTheme="majorBidi" w:cstheme="majorBidi"/>
          <w:sz w:val="24"/>
          <w:szCs w:val="24"/>
        </w:rPr>
        <w:t xml:space="preserve"> Oxford University Press.</w:t>
      </w:r>
    </w:p>
    <w:p w14:paraId="7F101A7B"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 xml:space="preserve">Mills, B., Nurius, P., Matsueda, R., Rivara, F., &amp; Rowhani-Rahbar, A. (2017). 41 Patterns of prior hospitalisation and arrest: a comparison of legal intervention firearm injuries to assault-related firearm injuries and motor vehicle injuries in Seattle. </w:t>
      </w:r>
      <w:r w:rsidRPr="001F64A9">
        <w:rPr>
          <w:rStyle w:val="highwire-cite-metadata-journal"/>
          <w:rFonts w:asciiTheme="majorBidi" w:hAnsiTheme="majorBidi" w:cstheme="majorBidi"/>
          <w:i/>
          <w:iCs/>
          <w:sz w:val="24"/>
          <w:szCs w:val="24"/>
          <w:shd w:val="clear" w:color="auto" w:fill="FFFFFF"/>
        </w:rPr>
        <w:t>Injury Prevention</w:t>
      </w:r>
      <w:r w:rsidRPr="001F64A9">
        <w:rPr>
          <w:rStyle w:val="highwire-cite-metadata-year"/>
          <w:rFonts w:asciiTheme="majorBidi" w:hAnsiTheme="majorBidi" w:cstheme="majorBidi"/>
          <w:sz w:val="24"/>
          <w:szCs w:val="24"/>
          <w:shd w:val="clear" w:color="auto" w:fill="FFFFFF"/>
        </w:rPr>
        <w:t xml:space="preserve">, </w:t>
      </w:r>
      <w:r w:rsidRPr="001F64A9">
        <w:rPr>
          <w:rStyle w:val="highwire-cite-metadata-volume"/>
          <w:rFonts w:asciiTheme="majorBidi" w:hAnsiTheme="majorBidi" w:cstheme="majorBidi"/>
          <w:i/>
          <w:iCs/>
          <w:sz w:val="24"/>
          <w:szCs w:val="24"/>
          <w:shd w:val="clear" w:color="auto" w:fill="FFFFFF"/>
        </w:rPr>
        <w:t>23</w:t>
      </w:r>
      <w:r w:rsidRPr="001F64A9">
        <w:rPr>
          <w:rStyle w:val="highwire-cite-metadata-volume"/>
          <w:rFonts w:asciiTheme="majorBidi" w:hAnsiTheme="majorBidi" w:cstheme="majorBidi"/>
          <w:sz w:val="24"/>
          <w:szCs w:val="24"/>
          <w:shd w:val="clear" w:color="auto" w:fill="FFFFFF"/>
        </w:rPr>
        <w:t xml:space="preserve">. </w:t>
      </w:r>
      <w:r w:rsidRPr="001F64A9">
        <w:rPr>
          <w:rStyle w:val="highwire-cite-metadata-pages"/>
          <w:rFonts w:asciiTheme="majorBidi" w:hAnsiTheme="majorBidi" w:cstheme="majorBidi"/>
          <w:sz w:val="24"/>
          <w:szCs w:val="24"/>
          <w:shd w:val="clear" w:color="auto" w:fill="FFFFFF"/>
        </w:rPr>
        <w:t>A15-A16. https://doi.org/10.1136/injuryprev-2017-042560.41</w:t>
      </w:r>
    </w:p>
    <w:p w14:paraId="27D4D041"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Modes, M. E., Engelberg, R. A., Downey, L., Nielsen, E. L., Lee, R. Y., Curtis, J. R., &amp; Kross, E. K. (2019). Toward understanding the relationship between prioritized values and preferences for cardiopulmonary resuscitation among seriously ill adults. </w:t>
      </w:r>
      <w:r w:rsidRPr="001F64A9">
        <w:rPr>
          <w:rFonts w:asciiTheme="majorBidi" w:hAnsiTheme="majorBidi" w:cstheme="majorBidi"/>
          <w:i/>
          <w:iCs/>
          <w:sz w:val="24"/>
          <w:szCs w:val="24"/>
          <w:shd w:val="clear" w:color="auto" w:fill="FFFFFF"/>
        </w:rPr>
        <w:t>Journal of Pain and Symptom Management</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58</w:t>
      </w:r>
      <w:r w:rsidRPr="001F64A9">
        <w:rPr>
          <w:rFonts w:asciiTheme="majorBidi" w:hAnsiTheme="majorBidi" w:cstheme="majorBidi"/>
          <w:sz w:val="24"/>
          <w:szCs w:val="24"/>
          <w:shd w:val="clear" w:color="auto" w:fill="FFFFFF"/>
        </w:rPr>
        <w:t>(4), 567-577. https://doi.org/10.1016/j.jpainsymman.2019.06.011</w:t>
      </w:r>
    </w:p>
    <w:p w14:paraId="2A4612EC"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Moss, A. H. (1989). Informing the patient about cardiopulmonary resuscitation. </w:t>
      </w:r>
      <w:r w:rsidRPr="001F64A9">
        <w:rPr>
          <w:rFonts w:asciiTheme="majorBidi" w:hAnsiTheme="majorBidi" w:cstheme="majorBidi"/>
          <w:i/>
          <w:iCs/>
          <w:sz w:val="24"/>
          <w:szCs w:val="24"/>
          <w:shd w:val="clear" w:color="auto" w:fill="FFFFFF"/>
        </w:rPr>
        <w:t>Journal of General Internal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4</w:t>
      </w:r>
      <w:r w:rsidRPr="001F64A9">
        <w:rPr>
          <w:rFonts w:asciiTheme="majorBidi" w:hAnsiTheme="majorBidi" w:cstheme="majorBidi"/>
          <w:sz w:val="24"/>
          <w:szCs w:val="24"/>
          <w:shd w:val="clear" w:color="auto" w:fill="FFFFFF"/>
        </w:rPr>
        <w:t>(4), 349-355. https://doi.org/10.1007/BF02597409</w:t>
      </w:r>
    </w:p>
    <w:p w14:paraId="5D50C23F"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Naghshbandi, S., Salmasi, S., Parsian, Z., &amp; Rahmani, F. (2019). Attitude of nurses in intensive care units towards Do Not Resuscitate order. </w:t>
      </w:r>
      <w:r w:rsidRPr="001F64A9">
        <w:rPr>
          <w:rFonts w:asciiTheme="majorBidi" w:hAnsiTheme="majorBidi" w:cstheme="majorBidi"/>
          <w:i/>
          <w:iCs/>
          <w:sz w:val="24"/>
          <w:szCs w:val="24"/>
          <w:shd w:val="clear" w:color="auto" w:fill="FFFFFF"/>
        </w:rPr>
        <w:t>Journal of Research in Clinical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7</w:t>
      </w:r>
      <w:r w:rsidRPr="001F64A9">
        <w:rPr>
          <w:rFonts w:asciiTheme="majorBidi" w:hAnsiTheme="majorBidi" w:cstheme="majorBidi"/>
          <w:sz w:val="24"/>
          <w:szCs w:val="24"/>
          <w:shd w:val="clear" w:color="auto" w:fill="FFFFFF"/>
        </w:rPr>
        <w:t>(4), 122-128. https://doi.org/10.15171/jarcm.2019.023</w:t>
      </w:r>
    </w:p>
    <w:p w14:paraId="7E38D4E8"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O’Brien, H., Scarlett, S., Brady, A., Harkin, K., Kenny, R. A., &amp; Moriarty, J. (2018). Do-not-attempt-resuscitation (DNAR) orders: understanding and interpretation of their use in the hospitalised patient in Ireland. A brief report. </w:t>
      </w:r>
      <w:r w:rsidRPr="001F64A9">
        <w:rPr>
          <w:rFonts w:asciiTheme="majorBidi" w:hAnsiTheme="majorBidi" w:cstheme="majorBidi"/>
          <w:i/>
          <w:iCs/>
          <w:sz w:val="24"/>
          <w:szCs w:val="24"/>
          <w:shd w:val="clear" w:color="auto" w:fill="FFFFFF"/>
        </w:rPr>
        <w:t>Journal of Medical Ethics</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44</w:t>
      </w:r>
      <w:r w:rsidRPr="001F64A9">
        <w:rPr>
          <w:rFonts w:asciiTheme="majorBidi" w:hAnsiTheme="majorBidi" w:cstheme="majorBidi"/>
          <w:sz w:val="24"/>
          <w:szCs w:val="24"/>
          <w:shd w:val="clear" w:color="auto" w:fill="FFFFFF"/>
        </w:rPr>
        <w:t>(3), 201-203. https://doi.org/10.1136/medethics-2016-103986</w:t>
      </w:r>
    </w:p>
    <w:p w14:paraId="654CC94E" w14:textId="77777777" w:rsidR="00EE5072" w:rsidRPr="001F64A9" w:rsidRDefault="00EE5072" w:rsidP="00EE5072">
      <w:pPr>
        <w:shd w:val="clear" w:color="auto" w:fill="FFFFFF"/>
        <w:spacing w:after="0" w:line="480" w:lineRule="auto"/>
        <w:ind w:left="720" w:hanging="720"/>
        <w:textAlignment w:val="baseline"/>
        <w:rPr>
          <w:rFonts w:asciiTheme="majorBidi" w:eastAsia="Times New Roman" w:hAnsiTheme="majorBidi" w:cstheme="majorBidi"/>
          <w:sz w:val="24"/>
          <w:szCs w:val="24"/>
          <w:bdr w:val="none" w:sz="0" w:space="0" w:color="auto" w:frame="1"/>
          <w:shd w:val="clear" w:color="auto" w:fill="FFFFFF"/>
        </w:rPr>
      </w:pPr>
      <w:r w:rsidRPr="001F64A9">
        <w:rPr>
          <w:rFonts w:asciiTheme="majorBidi" w:hAnsiTheme="majorBidi" w:cstheme="majorBidi"/>
          <w:sz w:val="24"/>
          <w:szCs w:val="24"/>
          <w:shd w:val="clear" w:color="auto" w:fill="FFFFFF"/>
        </w:rPr>
        <w:t xml:space="preserve">Oczkowski, S. J., Chung, H. O., Hanvey, L., Mbuagbaw, L., &amp; You, J. J. (2016). Communication tools for end-of-life decision-making in ambulatory care settings: a </w:t>
      </w:r>
      <w:r w:rsidRPr="001F64A9">
        <w:rPr>
          <w:rFonts w:asciiTheme="majorBidi" w:hAnsiTheme="majorBidi" w:cstheme="majorBidi"/>
          <w:sz w:val="24"/>
          <w:szCs w:val="24"/>
          <w:shd w:val="clear" w:color="auto" w:fill="FFFFFF"/>
        </w:rPr>
        <w:lastRenderedPageBreak/>
        <w:t>systematic review and meta-analysis. </w:t>
      </w:r>
      <w:r w:rsidRPr="001F64A9">
        <w:rPr>
          <w:rFonts w:asciiTheme="majorBidi" w:hAnsiTheme="majorBidi" w:cstheme="majorBidi"/>
          <w:i/>
          <w:iCs/>
          <w:sz w:val="24"/>
          <w:szCs w:val="24"/>
          <w:shd w:val="clear" w:color="auto" w:fill="FFFFFF"/>
        </w:rPr>
        <w:t>PloS One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11</w:t>
      </w:r>
      <w:r w:rsidRPr="001F64A9">
        <w:rPr>
          <w:rFonts w:asciiTheme="majorBidi" w:hAnsiTheme="majorBidi" w:cstheme="majorBidi"/>
          <w:sz w:val="24"/>
          <w:szCs w:val="24"/>
          <w:shd w:val="clear" w:color="auto" w:fill="FFFFFF"/>
        </w:rPr>
        <w:t>(4), e0150671. https://doi.org/10.1371/journal.pone.0150671</w:t>
      </w:r>
    </w:p>
    <w:p w14:paraId="4DD3AD72" w14:textId="77777777" w:rsidR="00EE5072" w:rsidRPr="001F64A9" w:rsidRDefault="00EE5072" w:rsidP="00EE5072">
      <w:pPr>
        <w:shd w:val="clear" w:color="auto" w:fill="FFFFFF"/>
        <w:spacing w:after="0" w:line="480" w:lineRule="auto"/>
        <w:ind w:left="720" w:hanging="720"/>
        <w:textAlignment w:val="baseline"/>
        <w:rPr>
          <w:rFonts w:asciiTheme="majorBidi" w:eastAsia="Times New Roman" w:hAnsiTheme="majorBidi" w:cstheme="majorBidi"/>
          <w:sz w:val="24"/>
          <w:szCs w:val="24"/>
        </w:rPr>
      </w:pPr>
      <w:r w:rsidRPr="001F64A9">
        <w:rPr>
          <w:rFonts w:asciiTheme="majorBidi" w:eastAsia="Times New Roman" w:hAnsiTheme="majorBidi" w:cstheme="majorBidi"/>
          <w:sz w:val="24"/>
          <w:szCs w:val="24"/>
          <w:bdr w:val="none" w:sz="0" w:space="0" w:color="auto" w:frame="1"/>
          <w:shd w:val="clear" w:color="auto" w:fill="FFFFFF"/>
        </w:rPr>
        <w:t>Paul, S. R. (1989). Test for the equality of several correlation coefficients. </w:t>
      </w:r>
      <w:r w:rsidRPr="001F64A9">
        <w:rPr>
          <w:rFonts w:asciiTheme="majorBidi" w:eastAsia="Times New Roman" w:hAnsiTheme="majorBidi" w:cstheme="majorBidi"/>
          <w:i/>
          <w:iCs/>
          <w:sz w:val="24"/>
          <w:szCs w:val="24"/>
          <w:bdr w:val="none" w:sz="0" w:space="0" w:color="auto" w:frame="1"/>
          <w:shd w:val="clear" w:color="auto" w:fill="FFFFFF"/>
        </w:rPr>
        <w:t>Canadian Journal of Statistics</w:t>
      </w:r>
      <w:r w:rsidRPr="001F64A9">
        <w:rPr>
          <w:rFonts w:asciiTheme="majorBidi" w:eastAsia="Times New Roman" w:hAnsiTheme="majorBidi" w:cstheme="majorBidi"/>
          <w:sz w:val="24"/>
          <w:szCs w:val="24"/>
          <w:bdr w:val="none" w:sz="0" w:space="0" w:color="auto" w:frame="1"/>
          <w:shd w:val="clear" w:color="auto" w:fill="FFFFFF"/>
        </w:rPr>
        <w:t>, </w:t>
      </w:r>
      <w:r w:rsidRPr="001F64A9">
        <w:rPr>
          <w:rFonts w:asciiTheme="majorBidi" w:eastAsia="Times New Roman" w:hAnsiTheme="majorBidi" w:cstheme="majorBidi"/>
          <w:i/>
          <w:iCs/>
          <w:sz w:val="24"/>
          <w:szCs w:val="24"/>
          <w:bdr w:val="none" w:sz="0" w:space="0" w:color="auto" w:frame="1"/>
          <w:shd w:val="clear" w:color="auto" w:fill="FFFFFF"/>
        </w:rPr>
        <w:t>17</w:t>
      </w:r>
      <w:r w:rsidRPr="001F64A9">
        <w:rPr>
          <w:rFonts w:asciiTheme="majorBidi" w:eastAsia="Times New Roman" w:hAnsiTheme="majorBidi" w:cstheme="majorBidi"/>
          <w:sz w:val="24"/>
          <w:szCs w:val="24"/>
          <w:bdr w:val="none" w:sz="0" w:space="0" w:color="auto" w:frame="1"/>
          <w:shd w:val="clear" w:color="auto" w:fill="FFFFFF"/>
        </w:rPr>
        <w:t>(2), 217-227. https://doi.org/10.2307/3314850</w:t>
      </w:r>
    </w:p>
    <w:p w14:paraId="4CB1CEC5"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Rabkin, M. T., Gillerman, G., &amp; Rice, N. R. (1976). Orders not to resuscitate. </w:t>
      </w:r>
      <w:r w:rsidRPr="001F64A9">
        <w:rPr>
          <w:rFonts w:asciiTheme="majorBidi" w:hAnsiTheme="majorBidi" w:cstheme="majorBidi"/>
          <w:i/>
          <w:iCs/>
          <w:sz w:val="24"/>
          <w:szCs w:val="24"/>
          <w:shd w:val="clear" w:color="auto" w:fill="FFFFFF"/>
        </w:rPr>
        <w:t>New England Journal of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295</w:t>
      </w:r>
      <w:r w:rsidRPr="001F64A9">
        <w:rPr>
          <w:rFonts w:asciiTheme="majorBidi" w:hAnsiTheme="majorBidi" w:cstheme="majorBidi"/>
          <w:sz w:val="24"/>
          <w:szCs w:val="24"/>
          <w:shd w:val="clear" w:color="auto" w:fill="FFFFFF"/>
        </w:rPr>
        <w:t>(7), 364-366. https://doi.org/10.1056/NEJM197608122950705</w:t>
      </w:r>
    </w:p>
    <w:p w14:paraId="5C564C08"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Raibley, J. (2010). Well-being and the priority of values. </w:t>
      </w:r>
      <w:r w:rsidRPr="001F64A9">
        <w:rPr>
          <w:rFonts w:asciiTheme="majorBidi" w:hAnsiTheme="majorBidi" w:cstheme="majorBidi"/>
          <w:i/>
          <w:iCs/>
          <w:sz w:val="24"/>
          <w:szCs w:val="24"/>
          <w:shd w:val="clear" w:color="auto" w:fill="FFFFFF"/>
        </w:rPr>
        <w:t>Social Theory and Practice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36</w:t>
      </w:r>
      <w:r w:rsidRPr="001F64A9">
        <w:rPr>
          <w:rFonts w:asciiTheme="majorBidi" w:hAnsiTheme="majorBidi" w:cstheme="majorBidi"/>
          <w:sz w:val="24"/>
          <w:szCs w:val="24"/>
          <w:shd w:val="clear" w:color="auto" w:fill="FFFFFF"/>
        </w:rPr>
        <w:t>(4), 593-620. https://doi.org/10.5840/soctheorpract201036432</w:t>
      </w:r>
    </w:p>
    <w:p w14:paraId="75AFC165"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Regan, T. (1987). The case for animal rights. </w:t>
      </w:r>
      <w:r w:rsidRPr="001F64A9">
        <w:rPr>
          <w:rFonts w:asciiTheme="majorBidi" w:hAnsiTheme="majorBidi" w:cstheme="majorBidi"/>
          <w:i/>
          <w:iCs/>
          <w:sz w:val="24"/>
          <w:szCs w:val="24"/>
          <w:shd w:val="clear" w:color="auto" w:fill="FFFFFF"/>
        </w:rPr>
        <w:t>Advances in Animal Welfare Science 1986/87</w:t>
      </w:r>
      <w:r w:rsidRPr="001F64A9">
        <w:rPr>
          <w:rFonts w:asciiTheme="majorBidi" w:hAnsiTheme="majorBidi" w:cstheme="majorBidi"/>
          <w:sz w:val="24"/>
          <w:szCs w:val="24"/>
          <w:shd w:val="clear" w:color="auto" w:fill="FFFFFF"/>
        </w:rPr>
        <w:t>, 179-189.</w:t>
      </w:r>
    </w:p>
    <w:p w14:paraId="729B2E82"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Regan, T. (2011). The radical egalitarian case for animal rights. </w:t>
      </w:r>
      <w:r w:rsidRPr="001F64A9">
        <w:rPr>
          <w:rFonts w:asciiTheme="majorBidi" w:hAnsiTheme="majorBidi" w:cstheme="majorBidi"/>
          <w:i/>
          <w:iCs/>
          <w:sz w:val="24"/>
          <w:szCs w:val="24"/>
          <w:shd w:val="clear" w:color="auto" w:fill="FFFFFF"/>
        </w:rPr>
        <w:t>Food Ethics</w:t>
      </w:r>
      <w:r w:rsidRPr="001F64A9">
        <w:rPr>
          <w:rFonts w:asciiTheme="majorBidi" w:hAnsiTheme="majorBidi" w:cstheme="majorBidi"/>
          <w:sz w:val="24"/>
          <w:szCs w:val="24"/>
          <w:shd w:val="clear" w:color="auto" w:fill="FFFFFF"/>
        </w:rPr>
        <w:t>, 31.</w:t>
      </w:r>
    </w:p>
    <w:p w14:paraId="465423F1"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Resnick, L., Cowart, M. E., &amp; Kubrin, A. (1998). Perceptions of do-not-resuscitate orders. </w:t>
      </w:r>
      <w:r w:rsidRPr="001F64A9">
        <w:rPr>
          <w:rFonts w:asciiTheme="majorBidi" w:hAnsiTheme="majorBidi" w:cstheme="majorBidi"/>
          <w:i/>
          <w:iCs/>
          <w:sz w:val="24"/>
          <w:szCs w:val="24"/>
          <w:shd w:val="clear" w:color="auto" w:fill="FFFFFF"/>
        </w:rPr>
        <w:t>Social Work in Health Care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26</w:t>
      </w:r>
      <w:r w:rsidRPr="001F64A9">
        <w:rPr>
          <w:rFonts w:asciiTheme="majorBidi" w:hAnsiTheme="majorBidi" w:cstheme="majorBidi"/>
          <w:sz w:val="24"/>
          <w:szCs w:val="24"/>
          <w:shd w:val="clear" w:color="auto" w:fill="FFFFFF"/>
        </w:rPr>
        <w:t>(4), 1-21. https://doi.org/10.1300/J010v26n04_01</w:t>
      </w:r>
    </w:p>
    <w:p w14:paraId="24F3B1FD"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Rodgers, J. L., &amp; Nicewander, W. A. (1988). Thirteen ways to look at the correlation coefficient. </w:t>
      </w:r>
      <w:r w:rsidRPr="001F64A9">
        <w:rPr>
          <w:rFonts w:asciiTheme="majorBidi" w:hAnsiTheme="majorBidi" w:cstheme="majorBidi"/>
          <w:i/>
          <w:iCs/>
          <w:sz w:val="24"/>
          <w:szCs w:val="24"/>
          <w:shd w:val="clear" w:color="auto" w:fill="FFFFFF"/>
        </w:rPr>
        <w:t>American Statistician</w:t>
      </w:r>
      <w:r w:rsidRPr="001F64A9">
        <w:rPr>
          <w:rFonts w:asciiTheme="majorBidi" w:hAnsiTheme="majorBidi" w:cstheme="majorBidi"/>
          <w:sz w:val="24"/>
          <w:szCs w:val="24"/>
          <w:shd w:val="clear" w:color="auto" w:fill="FFFFFF"/>
        </w:rPr>
        <w:t>, 59-66. https://doi.org/10.2307/2685263</w:t>
      </w:r>
    </w:p>
    <w:p w14:paraId="33FFFDCB" w14:textId="77777777" w:rsidR="00EE5072" w:rsidRPr="001F64A9" w:rsidRDefault="00EE5072" w:rsidP="00EE5072">
      <w:pPr>
        <w:spacing w:after="0" w:line="480" w:lineRule="auto"/>
        <w:ind w:left="720" w:hanging="720"/>
        <w:rPr>
          <w:rFonts w:asciiTheme="majorBidi" w:hAnsiTheme="majorBidi" w:cstheme="majorBidi"/>
          <w:sz w:val="24"/>
          <w:szCs w:val="24"/>
        </w:rPr>
      </w:pPr>
      <w:r w:rsidRPr="001F64A9">
        <w:rPr>
          <w:rFonts w:asciiTheme="majorBidi" w:hAnsiTheme="majorBidi" w:cstheme="majorBidi"/>
          <w:color w:val="222222"/>
          <w:sz w:val="24"/>
          <w:szCs w:val="24"/>
          <w:shd w:val="clear" w:color="auto" w:fill="FFFFFF"/>
        </w:rPr>
        <w:t>Rothman, A. J., Martino, S. C., Bedell, B. T., Detweiler, J. B., &amp; Salovey, P. (1999). The systematic influence of gain-and loss-framed messages on interest in and use of different types of health behavior. </w:t>
      </w:r>
      <w:r w:rsidRPr="001F64A9">
        <w:rPr>
          <w:rFonts w:asciiTheme="majorBidi" w:hAnsiTheme="majorBidi" w:cstheme="majorBidi"/>
          <w:i/>
          <w:iCs/>
          <w:color w:val="222222"/>
          <w:sz w:val="24"/>
          <w:szCs w:val="24"/>
          <w:shd w:val="clear" w:color="auto" w:fill="FFFFFF"/>
        </w:rPr>
        <w:t>Personality and Social Psychology Bulletin</w:t>
      </w:r>
      <w:r w:rsidRPr="001F64A9">
        <w:rPr>
          <w:rFonts w:asciiTheme="majorBidi" w:hAnsiTheme="majorBidi" w:cstheme="majorBidi"/>
          <w:color w:val="222222"/>
          <w:sz w:val="24"/>
          <w:szCs w:val="24"/>
          <w:shd w:val="clear" w:color="auto" w:fill="FFFFFF"/>
        </w:rPr>
        <w:t>, </w:t>
      </w:r>
      <w:r w:rsidRPr="001F64A9">
        <w:rPr>
          <w:rFonts w:asciiTheme="majorBidi" w:hAnsiTheme="majorBidi" w:cstheme="majorBidi"/>
          <w:i/>
          <w:iCs/>
          <w:color w:val="222222"/>
          <w:sz w:val="24"/>
          <w:szCs w:val="24"/>
          <w:shd w:val="clear" w:color="auto" w:fill="FFFFFF"/>
        </w:rPr>
        <w:t>25</w:t>
      </w:r>
      <w:r w:rsidRPr="001F64A9">
        <w:rPr>
          <w:rFonts w:asciiTheme="majorBidi" w:hAnsiTheme="majorBidi" w:cstheme="majorBidi"/>
          <w:color w:val="222222"/>
          <w:sz w:val="24"/>
          <w:szCs w:val="24"/>
          <w:shd w:val="clear" w:color="auto" w:fill="FFFFFF"/>
        </w:rPr>
        <w:t>(11), 1355-1369. https://doi.org/10.1177/0146167299259003</w:t>
      </w:r>
    </w:p>
    <w:p w14:paraId="7EB82823"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rPr>
        <w:t xml:space="preserve">Sagiv, L., Roccas, S., Cieciuch, J., &amp; Schwartz, S.H. (2017). Personal values in human life. </w:t>
      </w:r>
      <w:r w:rsidRPr="001F64A9">
        <w:rPr>
          <w:rFonts w:asciiTheme="majorBidi" w:hAnsiTheme="majorBidi" w:cstheme="majorBidi"/>
          <w:i/>
          <w:iCs/>
          <w:sz w:val="24"/>
          <w:szCs w:val="24"/>
        </w:rPr>
        <w:t>Nature Human Behaviour, 1</w:t>
      </w:r>
      <w:r w:rsidRPr="001F64A9">
        <w:rPr>
          <w:rFonts w:asciiTheme="majorBidi" w:hAnsiTheme="majorBidi" w:cstheme="majorBidi"/>
          <w:sz w:val="24"/>
          <w:szCs w:val="24"/>
        </w:rPr>
        <w:t>(9), 630–639. https://doi.org/10.1038/ s41562-017-0185-3.</w:t>
      </w:r>
    </w:p>
    <w:p w14:paraId="79E8CD48"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color w:val="222222"/>
          <w:sz w:val="24"/>
          <w:szCs w:val="24"/>
          <w:shd w:val="clear" w:color="auto" w:fill="FFFFFF"/>
        </w:rPr>
        <w:lastRenderedPageBreak/>
        <w:t>Sanders, A., Schepp, M., &amp; Baird, M. (2011). Partial do-not-resuscitate orders: a hazard to patient safety and clinical outcomes?. </w:t>
      </w:r>
      <w:r w:rsidRPr="001F64A9">
        <w:rPr>
          <w:rFonts w:asciiTheme="majorBidi" w:hAnsiTheme="majorBidi" w:cstheme="majorBidi"/>
          <w:i/>
          <w:iCs/>
          <w:color w:val="222222"/>
          <w:sz w:val="24"/>
          <w:szCs w:val="24"/>
          <w:shd w:val="clear" w:color="auto" w:fill="FFFFFF"/>
        </w:rPr>
        <w:t>Critical Care Medicine</w:t>
      </w:r>
      <w:r w:rsidRPr="001F64A9">
        <w:rPr>
          <w:rFonts w:asciiTheme="majorBidi" w:hAnsiTheme="majorBidi" w:cstheme="majorBidi"/>
          <w:color w:val="222222"/>
          <w:sz w:val="24"/>
          <w:szCs w:val="24"/>
          <w:shd w:val="clear" w:color="auto" w:fill="FFFFFF"/>
        </w:rPr>
        <w:t>, </w:t>
      </w:r>
      <w:r w:rsidRPr="001F64A9">
        <w:rPr>
          <w:rFonts w:asciiTheme="majorBidi" w:hAnsiTheme="majorBidi" w:cstheme="majorBidi"/>
          <w:i/>
          <w:iCs/>
          <w:color w:val="222222"/>
          <w:sz w:val="24"/>
          <w:szCs w:val="24"/>
          <w:shd w:val="clear" w:color="auto" w:fill="FFFFFF"/>
        </w:rPr>
        <w:t>39</w:t>
      </w:r>
      <w:r w:rsidRPr="001F64A9">
        <w:rPr>
          <w:rFonts w:asciiTheme="majorBidi" w:hAnsiTheme="majorBidi" w:cstheme="majorBidi"/>
          <w:color w:val="222222"/>
          <w:sz w:val="24"/>
          <w:szCs w:val="24"/>
          <w:shd w:val="clear" w:color="auto" w:fill="FFFFFF"/>
        </w:rPr>
        <w:t>(1), 14-18. https://doi.org/10.1097/CCM.0b013e3181feb8f6</w:t>
      </w:r>
    </w:p>
    <w:p w14:paraId="73184C0C"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rPr>
        <w:t xml:space="preserve">Sanderson, R., &amp; McQuilkin, J. (2017). Many kinds of kindness: The relationship between values and pro-social behavior. In: S. Roccas &amp; L. Sagiv (Eds.), </w:t>
      </w:r>
      <w:r w:rsidRPr="001F64A9">
        <w:rPr>
          <w:rFonts w:asciiTheme="majorBidi" w:hAnsiTheme="majorBidi" w:cstheme="majorBidi"/>
          <w:i/>
          <w:iCs/>
          <w:sz w:val="24"/>
          <w:szCs w:val="24"/>
        </w:rPr>
        <w:t>Values and behavior: Taking a cross-cultural perspective</w:t>
      </w:r>
      <w:r w:rsidRPr="001F64A9">
        <w:rPr>
          <w:rFonts w:asciiTheme="majorBidi" w:hAnsiTheme="majorBidi" w:cstheme="majorBidi"/>
          <w:sz w:val="24"/>
          <w:szCs w:val="24"/>
        </w:rPr>
        <w:t xml:space="preserve"> (pp. 75–96). Cham: Springer. https://doi.org/10.1007/978-3-319-56352-7_4</w:t>
      </w:r>
    </w:p>
    <w:p w14:paraId="062A632C" w14:textId="77777777" w:rsidR="00EE5072" w:rsidRPr="001F64A9" w:rsidRDefault="00EE5072" w:rsidP="00EE5072">
      <w:pPr>
        <w:spacing w:after="0" w:line="480" w:lineRule="auto"/>
        <w:ind w:left="720" w:hanging="720"/>
        <w:rPr>
          <w:rFonts w:asciiTheme="majorBidi" w:hAnsiTheme="majorBidi" w:cstheme="majorBidi"/>
          <w:sz w:val="24"/>
          <w:szCs w:val="24"/>
        </w:rPr>
      </w:pPr>
      <w:r w:rsidRPr="001F64A9">
        <w:rPr>
          <w:rFonts w:asciiTheme="majorBidi" w:eastAsia="Times New Roman" w:hAnsiTheme="majorBidi" w:cstheme="majorBidi"/>
          <w:sz w:val="24"/>
          <w:szCs w:val="24"/>
        </w:rPr>
        <w:t>Schmidt, A. T., &amp; Engelen, B. (2020). The ethics of nudging: An overview. </w:t>
      </w:r>
      <w:r w:rsidRPr="001F64A9">
        <w:rPr>
          <w:rFonts w:asciiTheme="majorBidi" w:eastAsia="Times New Roman" w:hAnsiTheme="majorBidi" w:cstheme="majorBidi"/>
          <w:i/>
          <w:iCs/>
          <w:sz w:val="24"/>
          <w:szCs w:val="24"/>
        </w:rPr>
        <w:t>Philosophy Compass, 15</w:t>
      </w:r>
      <w:r w:rsidRPr="001F64A9">
        <w:rPr>
          <w:rFonts w:asciiTheme="majorBidi" w:eastAsia="Times New Roman" w:hAnsiTheme="majorBidi" w:cstheme="majorBidi"/>
          <w:sz w:val="24"/>
          <w:szCs w:val="24"/>
        </w:rPr>
        <w:t>(4), e12658. https://doi.org/10.1111/phc3.12658</w:t>
      </w:r>
    </w:p>
    <w:p w14:paraId="232B375F" w14:textId="77777777" w:rsidR="00EE5072" w:rsidRPr="001F64A9" w:rsidRDefault="00EE5072" w:rsidP="00EE5072">
      <w:pPr>
        <w:spacing w:after="0" w:line="480" w:lineRule="auto"/>
        <w:ind w:left="720" w:hanging="720"/>
        <w:rPr>
          <w:rFonts w:asciiTheme="majorBidi" w:hAnsiTheme="majorBidi" w:cstheme="majorBidi"/>
          <w:sz w:val="24"/>
          <w:szCs w:val="24"/>
        </w:rPr>
      </w:pPr>
      <w:r w:rsidRPr="001F64A9">
        <w:rPr>
          <w:rFonts w:asciiTheme="majorBidi" w:hAnsiTheme="majorBidi" w:cstheme="majorBidi"/>
          <w:color w:val="222222"/>
          <w:sz w:val="24"/>
          <w:szCs w:val="24"/>
          <w:shd w:val="clear" w:color="auto" w:fill="FFFFFF"/>
        </w:rPr>
        <w:t>Sehgal, N. L., &amp; Wachter, R. M. (2007). Identification of inpatient DNR status: a safety hazard begging for standardization. </w:t>
      </w:r>
      <w:r w:rsidRPr="001F64A9">
        <w:rPr>
          <w:rFonts w:asciiTheme="majorBidi" w:hAnsiTheme="majorBidi" w:cstheme="majorBidi"/>
          <w:i/>
          <w:iCs/>
          <w:color w:val="222222"/>
          <w:sz w:val="24"/>
          <w:szCs w:val="24"/>
          <w:shd w:val="clear" w:color="auto" w:fill="FFFFFF"/>
        </w:rPr>
        <w:t>Journal of Hospital Medicine: An Official Publication of the Society of Hospital Medicine</w:t>
      </w:r>
      <w:r w:rsidRPr="001F64A9">
        <w:rPr>
          <w:rFonts w:asciiTheme="majorBidi" w:hAnsiTheme="majorBidi" w:cstheme="majorBidi"/>
          <w:color w:val="222222"/>
          <w:sz w:val="24"/>
          <w:szCs w:val="24"/>
          <w:shd w:val="clear" w:color="auto" w:fill="FFFFFF"/>
        </w:rPr>
        <w:t>, </w:t>
      </w:r>
      <w:r w:rsidRPr="001F64A9">
        <w:rPr>
          <w:rFonts w:asciiTheme="majorBidi" w:hAnsiTheme="majorBidi" w:cstheme="majorBidi"/>
          <w:i/>
          <w:iCs/>
          <w:color w:val="222222"/>
          <w:sz w:val="24"/>
          <w:szCs w:val="24"/>
          <w:shd w:val="clear" w:color="auto" w:fill="FFFFFF"/>
        </w:rPr>
        <w:t>2</w:t>
      </w:r>
      <w:r w:rsidRPr="001F64A9">
        <w:rPr>
          <w:rFonts w:asciiTheme="majorBidi" w:hAnsiTheme="majorBidi" w:cstheme="majorBidi"/>
          <w:color w:val="222222"/>
          <w:sz w:val="24"/>
          <w:szCs w:val="24"/>
          <w:shd w:val="clear" w:color="auto" w:fill="FFFFFF"/>
        </w:rPr>
        <w:t>(6), 366-371. https://doi.org/10.1002/jhm.283</w:t>
      </w:r>
    </w:p>
    <w:p w14:paraId="4BF80DAE"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Shanmuganathan, N., Li, J. Y., Yong, T. Y., Hakendorf, P. H., Ben-Tovim, D. I., &amp; Thompson, C. H. (2011). Resuscitation orders and their relevance to patients’ clinical status and outcomes. </w:t>
      </w:r>
      <w:r w:rsidRPr="001F64A9">
        <w:rPr>
          <w:rFonts w:asciiTheme="majorBidi" w:hAnsiTheme="majorBidi" w:cstheme="majorBidi"/>
          <w:i/>
          <w:iCs/>
          <w:sz w:val="24"/>
          <w:szCs w:val="24"/>
          <w:shd w:val="clear" w:color="auto" w:fill="FFFFFF"/>
        </w:rPr>
        <w:t>QJM: An International Journal of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104</w:t>
      </w:r>
      <w:r w:rsidRPr="001F64A9">
        <w:rPr>
          <w:rFonts w:asciiTheme="majorBidi" w:hAnsiTheme="majorBidi" w:cstheme="majorBidi"/>
          <w:sz w:val="24"/>
          <w:szCs w:val="24"/>
          <w:shd w:val="clear" w:color="auto" w:fill="FFFFFF"/>
        </w:rPr>
        <w:t>(6), 485-488. https://doi.org/10.1093/qjmed/hcq241</w:t>
      </w:r>
    </w:p>
    <w:p w14:paraId="0631A1B5"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Shiell, A., Hawe, P., &amp; Seymour, J. (1997). Values and preferences are not necessarily the same. </w:t>
      </w:r>
      <w:r w:rsidRPr="001F64A9">
        <w:rPr>
          <w:rFonts w:asciiTheme="majorBidi" w:hAnsiTheme="majorBidi" w:cstheme="majorBidi"/>
          <w:i/>
          <w:iCs/>
          <w:sz w:val="24"/>
          <w:szCs w:val="24"/>
          <w:shd w:val="clear" w:color="auto" w:fill="FFFFFF"/>
        </w:rPr>
        <w:t>Health Economics</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6</w:t>
      </w:r>
      <w:r w:rsidRPr="001F64A9">
        <w:rPr>
          <w:rFonts w:asciiTheme="majorBidi" w:hAnsiTheme="majorBidi" w:cstheme="majorBidi"/>
          <w:sz w:val="24"/>
          <w:szCs w:val="24"/>
          <w:shd w:val="clear" w:color="auto" w:fill="FFFFFF"/>
        </w:rPr>
        <w:t>(5), 515-518. https://doi.org/10.1002/(SICI)1099-1050(199709)6:5%3C515::AID-HEC292%3E3.0.CO;2-N</w:t>
      </w:r>
    </w:p>
    <w:p w14:paraId="391559E5" w14:textId="77777777" w:rsidR="00EE5072" w:rsidRPr="001F64A9" w:rsidRDefault="00EE5072" w:rsidP="00EE5072">
      <w:pPr>
        <w:shd w:val="clear" w:color="auto" w:fill="FFFFFF"/>
        <w:spacing w:after="0" w:line="480" w:lineRule="auto"/>
        <w:ind w:left="720" w:hanging="720"/>
        <w:textAlignment w:val="baseline"/>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Silveira, M. J., Kim, S. Y., &amp; Langa, K. M. (2010). Advance directives and outcomes of surrogate decision making before death. </w:t>
      </w:r>
      <w:r w:rsidRPr="001F64A9">
        <w:rPr>
          <w:rFonts w:asciiTheme="majorBidi" w:hAnsiTheme="majorBidi" w:cstheme="majorBidi"/>
          <w:i/>
          <w:iCs/>
          <w:sz w:val="24"/>
          <w:szCs w:val="24"/>
          <w:shd w:val="clear" w:color="auto" w:fill="FFFFFF"/>
        </w:rPr>
        <w:t>New England Journal of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362</w:t>
      </w:r>
      <w:r w:rsidRPr="001F64A9">
        <w:rPr>
          <w:rFonts w:asciiTheme="majorBidi" w:hAnsiTheme="majorBidi" w:cstheme="majorBidi"/>
          <w:sz w:val="24"/>
          <w:szCs w:val="24"/>
          <w:shd w:val="clear" w:color="auto" w:fill="FFFFFF"/>
        </w:rPr>
        <w:t>(13), 1211-1218. https://doi.org/10.1056/NEJMsa0907901</w:t>
      </w:r>
    </w:p>
    <w:p w14:paraId="0326886D" w14:textId="77777777" w:rsidR="00EE5072" w:rsidRPr="001F64A9" w:rsidRDefault="00EE5072" w:rsidP="00EE5072">
      <w:pPr>
        <w:shd w:val="clear" w:color="auto" w:fill="FFFFFF"/>
        <w:spacing w:after="0" w:line="480" w:lineRule="auto"/>
        <w:ind w:left="720" w:hanging="720"/>
        <w:textAlignment w:val="baseline"/>
        <w:rPr>
          <w:rFonts w:asciiTheme="majorBidi" w:eastAsia="Times New Roman" w:hAnsiTheme="majorBidi" w:cstheme="majorBidi"/>
          <w:sz w:val="24"/>
          <w:szCs w:val="24"/>
          <w:bdr w:val="none" w:sz="0" w:space="0" w:color="auto" w:frame="1"/>
          <w:shd w:val="clear" w:color="auto" w:fill="FFFFFF"/>
        </w:rPr>
      </w:pPr>
      <w:r w:rsidRPr="001F64A9">
        <w:rPr>
          <w:rFonts w:asciiTheme="majorBidi" w:eastAsia="Times New Roman" w:hAnsiTheme="majorBidi" w:cstheme="majorBidi"/>
          <w:sz w:val="24"/>
          <w:szCs w:val="24"/>
          <w:bdr w:val="none" w:sz="0" w:space="0" w:color="auto" w:frame="1"/>
          <w:shd w:val="clear" w:color="auto" w:fill="FFFFFF"/>
        </w:rPr>
        <w:lastRenderedPageBreak/>
        <w:t>Silver, N. C., Zaikina, H., Hittner, J. B., &amp; May, K. (2008). INCOR: A computer program for testing differences among independent correlations. </w:t>
      </w:r>
      <w:r w:rsidRPr="001F64A9">
        <w:rPr>
          <w:rFonts w:asciiTheme="majorBidi" w:eastAsia="Times New Roman" w:hAnsiTheme="majorBidi" w:cstheme="majorBidi"/>
          <w:i/>
          <w:iCs/>
          <w:sz w:val="24"/>
          <w:szCs w:val="24"/>
          <w:bdr w:val="none" w:sz="0" w:space="0" w:color="auto" w:frame="1"/>
          <w:shd w:val="clear" w:color="auto" w:fill="FFFFFF"/>
        </w:rPr>
        <w:t>Molecular Ecology Resources</w:t>
      </w:r>
      <w:r w:rsidRPr="001F64A9">
        <w:rPr>
          <w:rFonts w:asciiTheme="majorBidi" w:eastAsia="Times New Roman" w:hAnsiTheme="majorBidi" w:cstheme="majorBidi"/>
          <w:sz w:val="24"/>
          <w:szCs w:val="24"/>
          <w:bdr w:val="none" w:sz="0" w:space="0" w:color="auto" w:frame="1"/>
          <w:shd w:val="clear" w:color="auto" w:fill="FFFFFF"/>
        </w:rPr>
        <w:t>, </w:t>
      </w:r>
      <w:r w:rsidRPr="001F64A9">
        <w:rPr>
          <w:rFonts w:asciiTheme="majorBidi" w:eastAsia="Times New Roman" w:hAnsiTheme="majorBidi" w:cstheme="majorBidi"/>
          <w:i/>
          <w:iCs/>
          <w:sz w:val="24"/>
          <w:szCs w:val="24"/>
          <w:bdr w:val="none" w:sz="0" w:space="0" w:color="auto" w:frame="1"/>
          <w:shd w:val="clear" w:color="auto" w:fill="FFFFFF"/>
        </w:rPr>
        <w:t>8</w:t>
      </w:r>
      <w:r w:rsidRPr="001F64A9">
        <w:rPr>
          <w:rFonts w:asciiTheme="majorBidi" w:eastAsia="Times New Roman" w:hAnsiTheme="majorBidi" w:cstheme="majorBidi"/>
          <w:sz w:val="24"/>
          <w:szCs w:val="24"/>
          <w:bdr w:val="none" w:sz="0" w:space="0" w:color="auto" w:frame="1"/>
          <w:shd w:val="clear" w:color="auto" w:fill="FFFFFF"/>
        </w:rPr>
        <w:t>(4), 763-764. https://doi.org/10.1111/j.1755-0998.2008.02107.x</w:t>
      </w:r>
    </w:p>
    <w:p w14:paraId="784C7617" w14:textId="77777777" w:rsidR="00EE5072" w:rsidRPr="001F64A9" w:rsidRDefault="00EE5072" w:rsidP="00EE5072">
      <w:pPr>
        <w:spacing w:after="0" w:line="480" w:lineRule="auto"/>
        <w:ind w:left="720" w:hanging="720"/>
        <w:rPr>
          <w:rFonts w:asciiTheme="majorBidi" w:hAnsiTheme="majorBidi" w:cstheme="majorBidi"/>
          <w:sz w:val="24"/>
          <w:szCs w:val="24"/>
        </w:rPr>
      </w:pPr>
      <w:r w:rsidRPr="001F64A9">
        <w:rPr>
          <w:rFonts w:asciiTheme="majorBidi" w:hAnsiTheme="majorBidi" w:cstheme="majorBidi"/>
          <w:color w:val="222222"/>
          <w:sz w:val="24"/>
          <w:szCs w:val="24"/>
          <w:shd w:val="clear" w:color="auto" w:fill="FFFFFF"/>
        </w:rPr>
        <w:t>Skimina, E., Cieciuch, J., Schwartz, S. H., Davidov, E., &amp; Algesheimer, R. (2019). Behavioral signatures of values in everyday behavior in retrospective and real-time self-reports. </w:t>
      </w:r>
      <w:r w:rsidRPr="001F64A9">
        <w:rPr>
          <w:rFonts w:asciiTheme="majorBidi" w:hAnsiTheme="majorBidi" w:cstheme="majorBidi"/>
          <w:i/>
          <w:iCs/>
          <w:color w:val="222222"/>
          <w:sz w:val="24"/>
          <w:szCs w:val="24"/>
          <w:shd w:val="clear" w:color="auto" w:fill="FFFFFF"/>
        </w:rPr>
        <w:t>Frontiers in Psychology</w:t>
      </w:r>
      <w:r w:rsidRPr="001F64A9">
        <w:rPr>
          <w:rFonts w:asciiTheme="majorBidi" w:hAnsiTheme="majorBidi" w:cstheme="majorBidi"/>
          <w:color w:val="222222"/>
          <w:sz w:val="24"/>
          <w:szCs w:val="24"/>
          <w:shd w:val="clear" w:color="auto" w:fill="FFFFFF"/>
        </w:rPr>
        <w:t>, </w:t>
      </w:r>
      <w:r w:rsidRPr="001F64A9">
        <w:rPr>
          <w:rFonts w:asciiTheme="majorBidi" w:hAnsiTheme="majorBidi" w:cstheme="majorBidi"/>
          <w:i/>
          <w:iCs/>
          <w:color w:val="222222"/>
          <w:sz w:val="24"/>
          <w:szCs w:val="24"/>
          <w:shd w:val="clear" w:color="auto" w:fill="FFFFFF"/>
        </w:rPr>
        <w:t>10</w:t>
      </w:r>
      <w:r w:rsidRPr="001F64A9">
        <w:rPr>
          <w:rFonts w:asciiTheme="majorBidi" w:hAnsiTheme="majorBidi" w:cstheme="majorBidi"/>
          <w:color w:val="222222"/>
          <w:sz w:val="24"/>
          <w:szCs w:val="24"/>
          <w:shd w:val="clear" w:color="auto" w:fill="FFFFFF"/>
        </w:rPr>
        <w:t>, 281. https://doi.org/10.3389/fpsyg.2019.00281</w:t>
      </w:r>
    </w:p>
    <w:p w14:paraId="285B4EEA"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color w:val="222222"/>
          <w:sz w:val="24"/>
          <w:szCs w:val="24"/>
          <w:shd w:val="clear" w:color="auto" w:fill="FFFFFF"/>
        </w:rPr>
        <w:t>Sokol, D. K. (2009). The Death of DNR. </w:t>
      </w:r>
      <w:r w:rsidRPr="001F64A9">
        <w:rPr>
          <w:rFonts w:asciiTheme="majorBidi" w:hAnsiTheme="majorBidi" w:cstheme="majorBidi"/>
          <w:i/>
          <w:iCs/>
          <w:color w:val="222222"/>
          <w:sz w:val="24"/>
          <w:szCs w:val="24"/>
          <w:shd w:val="clear" w:color="auto" w:fill="FFFFFF"/>
        </w:rPr>
        <w:t>BMJ</w:t>
      </w:r>
      <w:r w:rsidRPr="001F64A9">
        <w:rPr>
          <w:rFonts w:asciiTheme="majorBidi" w:hAnsiTheme="majorBidi" w:cstheme="majorBidi"/>
          <w:color w:val="222222"/>
          <w:sz w:val="24"/>
          <w:szCs w:val="24"/>
          <w:shd w:val="clear" w:color="auto" w:fill="FFFFFF"/>
        </w:rPr>
        <w:t>, </w:t>
      </w:r>
      <w:r w:rsidRPr="001F64A9">
        <w:rPr>
          <w:rFonts w:asciiTheme="majorBidi" w:hAnsiTheme="majorBidi" w:cstheme="majorBidi"/>
          <w:i/>
          <w:iCs/>
          <w:color w:val="222222"/>
          <w:sz w:val="24"/>
          <w:szCs w:val="24"/>
          <w:shd w:val="clear" w:color="auto" w:fill="FFFFFF"/>
        </w:rPr>
        <w:t>338</w:t>
      </w:r>
      <w:r w:rsidRPr="001F64A9">
        <w:rPr>
          <w:rFonts w:asciiTheme="majorBidi" w:hAnsiTheme="majorBidi" w:cstheme="majorBidi"/>
          <w:color w:val="222222"/>
          <w:sz w:val="24"/>
          <w:szCs w:val="24"/>
          <w:shd w:val="clear" w:color="auto" w:fill="FFFFFF"/>
        </w:rPr>
        <w:t>. https://doi.org/10.1136/bmj.b1723</w:t>
      </w:r>
    </w:p>
    <w:p w14:paraId="51EF2978"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Steinhauser, K. E., Bosworth, H. B., Clipp, E. C., McNeilly, M., Christakis, N. A., Parker, J., &amp; Tulsky, J. A. (2002). Initial assessment of a new instrument to measure quality of life at the end of life. </w:t>
      </w:r>
      <w:r w:rsidRPr="001F64A9">
        <w:rPr>
          <w:rFonts w:asciiTheme="majorBidi" w:hAnsiTheme="majorBidi" w:cstheme="majorBidi"/>
          <w:i/>
          <w:iCs/>
          <w:sz w:val="24"/>
          <w:szCs w:val="24"/>
          <w:shd w:val="clear" w:color="auto" w:fill="FFFFFF"/>
        </w:rPr>
        <w:t>Journal of Palliative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5</w:t>
      </w:r>
      <w:r w:rsidRPr="001F64A9">
        <w:rPr>
          <w:rFonts w:asciiTheme="majorBidi" w:hAnsiTheme="majorBidi" w:cstheme="majorBidi"/>
          <w:sz w:val="24"/>
          <w:szCs w:val="24"/>
          <w:shd w:val="clear" w:color="auto" w:fill="FFFFFF"/>
        </w:rPr>
        <w:t>(6), 829-841. https://doi.org/10.1089/10966210260499014</w:t>
      </w:r>
    </w:p>
    <w:p w14:paraId="5F16BEDA"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Sudore, R. L., Boscardin, J., Feuz, M. A., McMahan, R. D., Katen, M. T., &amp; Barnes, D. E. (2017). Effect of the PREPARE website vs an easy-to-read advance directive on advance care planning documentation and engagement among veterans: a randomized clinical trial. </w:t>
      </w:r>
      <w:r w:rsidRPr="001F64A9">
        <w:rPr>
          <w:rFonts w:asciiTheme="majorBidi" w:hAnsiTheme="majorBidi" w:cstheme="majorBidi"/>
          <w:i/>
          <w:iCs/>
          <w:sz w:val="24"/>
          <w:szCs w:val="24"/>
          <w:shd w:val="clear" w:color="auto" w:fill="FFFFFF"/>
        </w:rPr>
        <w:t>JAMA Internal Medicine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177</w:t>
      </w:r>
      <w:r w:rsidRPr="001F64A9">
        <w:rPr>
          <w:rFonts w:asciiTheme="majorBidi" w:hAnsiTheme="majorBidi" w:cstheme="majorBidi"/>
          <w:sz w:val="24"/>
          <w:szCs w:val="24"/>
          <w:shd w:val="clear" w:color="auto" w:fill="FFFFFF"/>
        </w:rPr>
        <w:t>(8), 1102-1109. https://doi.org/10.1001/jamainternmed.2017.1607</w:t>
      </w:r>
    </w:p>
    <w:p w14:paraId="06A49E5F"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eastAsia="Times New Roman" w:hAnsiTheme="majorBidi" w:cstheme="majorBidi"/>
          <w:sz w:val="24"/>
          <w:szCs w:val="24"/>
        </w:rPr>
        <w:t xml:space="preserve">Sunstein, C. R. (2018). “Better off, as judged by themselves”: a comment on evaluating nudges. </w:t>
      </w:r>
      <w:r w:rsidRPr="001F64A9">
        <w:rPr>
          <w:rFonts w:asciiTheme="majorBidi" w:eastAsia="Times New Roman" w:hAnsiTheme="majorBidi" w:cstheme="majorBidi"/>
          <w:i/>
          <w:sz w:val="24"/>
          <w:szCs w:val="24"/>
        </w:rPr>
        <w:t>International Review of Economics</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i/>
          <w:sz w:val="24"/>
          <w:szCs w:val="24"/>
        </w:rPr>
        <w:t>65</w:t>
      </w:r>
      <w:r w:rsidRPr="001F64A9">
        <w:rPr>
          <w:rFonts w:asciiTheme="majorBidi" w:eastAsia="Times New Roman" w:hAnsiTheme="majorBidi" w:cstheme="majorBidi"/>
          <w:sz w:val="24"/>
          <w:szCs w:val="24"/>
        </w:rPr>
        <w:t>(1), 1-8. https://doi.org/10.1007/s12232-017-0280-9</w:t>
      </w:r>
    </w:p>
    <w:p w14:paraId="745C4893"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Taha, S., Asfour, H., &amp; Attia, A. (2010). Critical Care Nurses' Knowledge and Attitudes Regarding the. </w:t>
      </w:r>
      <w:r w:rsidRPr="001F64A9">
        <w:rPr>
          <w:rFonts w:asciiTheme="majorBidi" w:hAnsiTheme="majorBidi" w:cstheme="majorBidi"/>
          <w:i/>
          <w:iCs/>
          <w:sz w:val="24"/>
          <w:szCs w:val="24"/>
          <w:shd w:val="clear" w:color="auto" w:fill="FFFFFF"/>
        </w:rPr>
        <w:t>Journal of High Institute of Public Health</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40</w:t>
      </w:r>
      <w:r w:rsidRPr="001F64A9">
        <w:rPr>
          <w:rFonts w:asciiTheme="majorBidi" w:hAnsiTheme="majorBidi" w:cstheme="majorBidi"/>
          <w:sz w:val="24"/>
          <w:szCs w:val="24"/>
          <w:shd w:val="clear" w:color="auto" w:fill="FFFFFF"/>
        </w:rPr>
        <w:t>(3), 528-562. https://doi.org/10.21608/jhiph.2010.20619</w:t>
      </w:r>
    </w:p>
    <w:p w14:paraId="135913BC"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lastRenderedPageBreak/>
        <w:t xml:space="preserve">Tanner, B. (2021). </w:t>
      </w:r>
      <w:r w:rsidRPr="001F64A9">
        <w:rPr>
          <w:rFonts w:asciiTheme="majorBidi" w:hAnsiTheme="majorBidi" w:cstheme="majorBidi"/>
          <w:i/>
          <w:iCs/>
          <w:sz w:val="24"/>
          <w:szCs w:val="24"/>
          <w:shd w:val="clear" w:color="auto" w:fill="FFFFFF"/>
        </w:rPr>
        <w:t>Cascading Effects of Nudging and Education on Common Goods: An Experimental Comparison of Potable Water Recycling Interventions.</w:t>
      </w:r>
      <w:r w:rsidRPr="001F64A9">
        <w:rPr>
          <w:rFonts w:asciiTheme="majorBidi" w:hAnsiTheme="majorBidi" w:cstheme="majorBidi"/>
          <w:sz w:val="24"/>
          <w:szCs w:val="24"/>
          <w:shd w:val="clear" w:color="auto" w:fill="FFFFFF"/>
        </w:rPr>
        <w:t xml:space="preserve"> Unpublished Master’s Thesis. University of Oklahoma.</w:t>
      </w:r>
    </w:p>
    <w:p w14:paraId="5B56CF2A"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Tanner, B., &amp; Feltz, A. (2022). Comparing effects of default nudges and informing on recycled water decisions. </w:t>
      </w:r>
      <w:r w:rsidRPr="001F64A9">
        <w:rPr>
          <w:rFonts w:asciiTheme="majorBidi" w:hAnsiTheme="majorBidi" w:cstheme="majorBidi"/>
          <w:i/>
          <w:iCs/>
          <w:sz w:val="24"/>
          <w:szCs w:val="24"/>
          <w:shd w:val="clear" w:color="auto" w:fill="FFFFFF"/>
        </w:rPr>
        <w:t>Journal of Experimental Psychology: Applied</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28</w:t>
      </w:r>
      <w:r w:rsidRPr="001F64A9">
        <w:rPr>
          <w:rFonts w:asciiTheme="majorBidi" w:hAnsiTheme="majorBidi" w:cstheme="majorBidi"/>
          <w:sz w:val="24"/>
          <w:szCs w:val="24"/>
          <w:shd w:val="clear" w:color="auto" w:fill="FFFFFF"/>
        </w:rPr>
        <w:t>(2), 399. https://doi.org/10.1037/xap0000406</w:t>
      </w:r>
    </w:p>
    <w:p w14:paraId="2C565D1E"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eastAsia="Times New Roman" w:hAnsiTheme="majorBidi" w:cstheme="majorBidi"/>
          <w:sz w:val="24"/>
          <w:szCs w:val="24"/>
        </w:rPr>
        <w:t xml:space="preserve">Thaler, R. H., and Sunstein, C. R. (2008). </w:t>
      </w:r>
      <w:r w:rsidRPr="001F64A9">
        <w:rPr>
          <w:rFonts w:asciiTheme="majorBidi" w:eastAsia="Times New Roman" w:hAnsiTheme="majorBidi" w:cstheme="majorBidi"/>
          <w:i/>
          <w:sz w:val="24"/>
          <w:szCs w:val="24"/>
        </w:rPr>
        <w:t>Nudge: Improving decisions about health, wealth, and happiness.</w:t>
      </w:r>
      <w:r w:rsidRPr="001F64A9">
        <w:rPr>
          <w:rFonts w:asciiTheme="majorBidi" w:eastAsia="Times New Roman" w:hAnsiTheme="majorBidi" w:cstheme="majorBidi"/>
          <w:sz w:val="24"/>
          <w:szCs w:val="24"/>
        </w:rPr>
        <w:t xml:space="preserve"> New Haven, CT: Yale University Press.</w:t>
      </w:r>
    </w:p>
    <w:p w14:paraId="083F2018"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Thomas, K., Hevey, D., Pertl, M., Ní Chuinneagáin, S., Craig, A., &amp; Maher, L. (2011). Appearance matters: The frame and focus of health messages influences beliefs about skin cancer. </w:t>
      </w:r>
      <w:r w:rsidRPr="001F64A9">
        <w:rPr>
          <w:rFonts w:asciiTheme="majorBidi" w:eastAsia="Times New Roman" w:hAnsiTheme="majorBidi" w:cstheme="majorBidi"/>
          <w:i/>
          <w:iCs/>
          <w:sz w:val="24"/>
          <w:szCs w:val="24"/>
        </w:rPr>
        <w:t>British Journal of Health Psychology, 16</w:t>
      </w:r>
      <w:r w:rsidRPr="001F64A9">
        <w:rPr>
          <w:rFonts w:asciiTheme="majorBidi" w:eastAsia="Times New Roman" w:hAnsiTheme="majorBidi" w:cstheme="majorBidi"/>
          <w:sz w:val="24"/>
          <w:szCs w:val="24"/>
        </w:rPr>
        <w:t>(2), 418-429. https://doi.org/10.1348/135910710X520088</w:t>
      </w:r>
    </w:p>
    <w:p w14:paraId="78BEE42D"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Tiberius, V. (2014). How theories of well-being can help us help. </w:t>
      </w:r>
      <w:r w:rsidRPr="001F64A9">
        <w:rPr>
          <w:rFonts w:asciiTheme="majorBidi" w:hAnsiTheme="majorBidi" w:cstheme="majorBidi"/>
          <w:i/>
          <w:iCs/>
          <w:sz w:val="24"/>
          <w:szCs w:val="24"/>
          <w:shd w:val="clear" w:color="auto" w:fill="FFFFFF"/>
        </w:rPr>
        <w:t>Journal of Practical Ethics</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w:t>
      </w:r>
      <w:r w:rsidRPr="001F64A9">
        <w:rPr>
          <w:rFonts w:asciiTheme="majorBidi" w:hAnsiTheme="majorBidi" w:cstheme="majorBidi"/>
          <w:sz w:val="24"/>
          <w:szCs w:val="24"/>
          <w:shd w:val="clear" w:color="auto" w:fill="FFFFFF"/>
        </w:rPr>
        <w:t>(2).</w:t>
      </w:r>
    </w:p>
    <w:p w14:paraId="4E4479AC"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Tiberius, V. (2018). </w:t>
      </w:r>
      <w:r w:rsidRPr="001F64A9">
        <w:rPr>
          <w:rFonts w:asciiTheme="majorBidi" w:hAnsiTheme="majorBidi" w:cstheme="majorBidi"/>
          <w:i/>
          <w:iCs/>
          <w:sz w:val="24"/>
          <w:szCs w:val="24"/>
          <w:shd w:val="clear" w:color="auto" w:fill="FFFFFF"/>
        </w:rPr>
        <w:t>Well-being as value fulfillment: How we can help each other to live well</w:t>
      </w:r>
      <w:r w:rsidRPr="001F64A9">
        <w:rPr>
          <w:rFonts w:asciiTheme="majorBidi" w:hAnsiTheme="majorBidi" w:cstheme="majorBidi"/>
          <w:sz w:val="24"/>
          <w:szCs w:val="24"/>
          <w:shd w:val="clear" w:color="auto" w:fill="FFFFFF"/>
        </w:rPr>
        <w:t>. Oxford University Press, USA. https://doi.org/10.1093/oso/9780198809494.001.0001</w:t>
      </w:r>
    </w:p>
    <w:p w14:paraId="33FCA7E8"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Tsao, C. W., Aday, A. W., Almarzooq, Z. I., Anderson, C. A., Arora, P., Avery, C. L., ... &amp; American Heart Association Council on Epidemiology and Prevention Statistics Committee and Stroke Statistics Subcommittee. (2023). Heart disease and stroke statistics—2023 update: a report from the American Heart Association. </w:t>
      </w:r>
      <w:r w:rsidRPr="001F64A9">
        <w:rPr>
          <w:rFonts w:asciiTheme="majorBidi" w:hAnsiTheme="majorBidi" w:cstheme="majorBidi"/>
          <w:i/>
          <w:iCs/>
          <w:sz w:val="24"/>
          <w:szCs w:val="24"/>
          <w:shd w:val="clear" w:color="auto" w:fill="FFFFFF"/>
        </w:rPr>
        <w:t>Circulation</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147</w:t>
      </w:r>
      <w:r w:rsidRPr="001F64A9">
        <w:rPr>
          <w:rFonts w:asciiTheme="majorBidi" w:hAnsiTheme="majorBidi" w:cstheme="majorBidi"/>
          <w:sz w:val="24"/>
          <w:szCs w:val="24"/>
          <w:shd w:val="clear" w:color="auto" w:fill="FFFFFF"/>
        </w:rPr>
        <w:t>(8), e93-e621. https://doi.org/10.1161/CIR.0000000000001123</w:t>
      </w:r>
    </w:p>
    <w:p w14:paraId="7EC242BF"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lastRenderedPageBreak/>
        <w:t xml:space="preserve">Tverskey, A. &amp; Kahneman, D. (1981). The framing of decisions and the psychology of choice. </w:t>
      </w:r>
      <w:r w:rsidRPr="001F64A9">
        <w:rPr>
          <w:rFonts w:asciiTheme="majorBidi" w:eastAsia="Times New Roman" w:hAnsiTheme="majorBidi" w:cstheme="majorBidi"/>
          <w:i/>
          <w:sz w:val="24"/>
          <w:szCs w:val="24"/>
        </w:rPr>
        <w:t>Science, 211</w:t>
      </w:r>
      <w:r w:rsidRPr="001F64A9">
        <w:rPr>
          <w:rFonts w:asciiTheme="majorBidi" w:eastAsia="Times New Roman" w:hAnsiTheme="majorBidi" w:cstheme="majorBidi"/>
          <w:sz w:val="24"/>
          <w:szCs w:val="24"/>
        </w:rPr>
        <w:t>(4481), 453-458. https://doi.org/10.1126/science.7455683</w:t>
      </w:r>
    </w:p>
    <w:p w14:paraId="7D87A6EC"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Tverskey, A. &amp; Kahneman, D. (1986). Rational choice and the framing of decisions. </w:t>
      </w:r>
      <w:r w:rsidRPr="001F64A9">
        <w:rPr>
          <w:rFonts w:asciiTheme="majorBidi" w:eastAsia="Times New Roman" w:hAnsiTheme="majorBidi" w:cstheme="majorBidi"/>
          <w:i/>
          <w:sz w:val="24"/>
          <w:szCs w:val="24"/>
        </w:rPr>
        <w:t>Journal of Business, 59</w:t>
      </w:r>
      <w:r w:rsidRPr="001F64A9">
        <w:rPr>
          <w:rFonts w:asciiTheme="majorBidi" w:eastAsia="Times New Roman" w:hAnsiTheme="majorBidi" w:cstheme="majorBidi"/>
          <w:sz w:val="24"/>
          <w:szCs w:val="24"/>
        </w:rPr>
        <w:t>, 251-278. https://doi.org/10.1086/296365</w:t>
      </w:r>
    </w:p>
    <w:p w14:paraId="581BB095"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color w:val="000000"/>
          <w:sz w:val="24"/>
          <w:szCs w:val="24"/>
          <w:shd w:val="clear" w:color="auto" w:fill="FFFFFF"/>
        </w:rPr>
        <w:t xml:space="preserve">Tversky, A., &amp; Kahneman, D. (1987). Rational Choice and the Framing of Decisions. In R. M. Hogarth and M. W. Reder (Eds.), </w:t>
      </w:r>
      <w:r w:rsidRPr="001F64A9">
        <w:rPr>
          <w:rFonts w:asciiTheme="majorBidi" w:hAnsiTheme="majorBidi" w:cstheme="majorBidi"/>
          <w:i/>
          <w:iCs/>
          <w:color w:val="000000"/>
          <w:sz w:val="24"/>
          <w:szCs w:val="24"/>
          <w:shd w:val="clear" w:color="auto" w:fill="FFFFFF"/>
        </w:rPr>
        <w:t>Rational Choice</w:t>
      </w:r>
      <w:r w:rsidRPr="001F64A9">
        <w:rPr>
          <w:rFonts w:asciiTheme="majorBidi" w:hAnsiTheme="majorBidi" w:cstheme="majorBidi"/>
          <w:color w:val="000000"/>
          <w:sz w:val="24"/>
          <w:szCs w:val="24"/>
          <w:shd w:val="clear" w:color="auto" w:fill="FFFFFF"/>
        </w:rPr>
        <w:t>. Chicago: University of Chicago Press. https://doi.org/10.1017/CBO9780511598951.011</w:t>
      </w:r>
    </w:p>
    <w:p w14:paraId="39521FEB"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van der Smissen, D., Overbeek, A., van Dulmen, S., van Gemert-Pijnen, L., van der Heide, A., Rietjens, J. A., &amp; Korfage, I. J. (2020). The feasibility and effectiveness of web-based advance care planning programs: scoping review. </w:t>
      </w:r>
      <w:r w:rsidRPr="001F64A9">
        <w:rPr>
          <w:rFonts w:asciiTheme="majorBidi" w:hAnsiTheme="majorBidi" w:cstheme="majorBidi"/>
          <w:i/>
          <w:iCs/>
          <w:sz w:val="24"/>
          <w:szCs w:val="24"/>
          <w:shd w:val="clear" w:color="auto" w:fill="FFFFFF"/>
        </w:rPr>
        <w:t>Journal of Medical Internet Research</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22</w:t>
      </w:r>
      <w:r w:rsidRPr="001F64A9">
        <w:rPr>
          <w:rFonts w:asciiTheme="majorBidi" w:hAnsiTheme="majorBidi" w:cstheme="majorBidi"/>
          <w:sz w:val="24"/>
          <w:szCs w:val="24"/>
          <w:shd w:val="clear" w:color="auto" w:fill="FFFFFF"/>
        </w:rPr>
        <w:t>(3), e15578. https://doi.org/10.2196/15578</w:t>
      </w:r>
    </w:p>
    <w:p w14:paraId="1E9F4168"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Venneman, S. S., Narnor-Harris, P., Perish, M., &amp; Hamilton, M. (2008). “Allow natural death” versus “do not resuscitate”: three words that can change a life. </w:t>
      </w:r>
      <w:r w:rsidRPr="001F64A9">
        <w:rPr>
          <w:rFonts w:asciiTheme="majorBidi" w:hAnsiTheme="majorBidi" w:cstheme="majorBidi"/>
          <w:i/>
          <w:iCs/>
          <w:sz w:val="24"/>
          <w:szCs w:val="24"/>
          <w:shd w:val="clear" w:color="auto" w:fill="FFFFFF"/>
        </w:rPr>
        <w:t>Journal of Medical Ethics</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34</w:t>
      </w:r>
      <w:r w:rsidRPr="001F64A9">
        <w:rPr>
          <w:rFonts w:asciiTheme="majorBidi" w:hAnsiTheme="majorBidi" w:cstheme="majorBidi"/>
          <w:sz w:val="24"/>
          <w:szCs w:val="24"/>
          <w:shd w:val="clear" w:color="auto" w:fill="FFFFFF"/>
        </w:rPr>
        <w:t>(1), 2-6. https://doi.org/10.1136/jme.2006.018317</w:t>
      </w:r>
    </w:p>
    <w:p w14:paraId="5E9CEDC0"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 xml:space="preserve">Volandes, A. E., Brandeis, G. H., Davis, A. D., Paasche-Orlow, M. K., Gillick, M. R., Chang, Y., ... &amp; Mitchell, S. L. (2012). A randomized controlled trial of a goals-of-care video for elderly patients admitted to skilled nursing facilities. </w:t>
      </w:r>
      <w:r w:rsidRPr="001F64A9">
        <w:rPr>
          <w:rFonts w:asciiTheme="majorBidi" w:eastAsia="Times New Roman" w:hAnsiTheme="majorBidi" w:cstheme="majorBidi"/>
          <w:i/>
          <w:sz w:val="24"/>
          <w:szCs w:val="24"/>
        </w:rPr>
        <w:t>Journal of Palliative Medicine</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i/>
          <w:sz w:val="24"/>
          <w:szCs w:val="24"/>
        </w:rPr>
        <w:t>15</w:t>
      </w:r>
      <w:r w:rsidRPr="001F64A9">
        <w:rPr>
          <w:rFonts w:asciiTheme="majorBidi" w:eastAsia="Times New Roman" w:hAnsiTheme="majorBidi" w:cstheme="majorBidi"/>
          <w:sz w:val="24"/>
          <w:szCs w:val="24"/>
        </w:rPr>
        <w:t>(7), 805-811.</w:t>
      </w:r>
      <w:hyperlink r:id="rId10" w:history="1">
        <w:r w:rsidRPr="001F64A9">
          <w:rPr>
            <w:rStyle w:val="Hyperlink"/>
            <w:rFonts w:asciiTheme="majorBidi" w:eastAsia="Times New Roman" w:hAnsiTheme="majorBidi" w:cstheme="majorBidi"/>
            <w:color w:val="auto"/>
            <w:sz w:val="24"/>
            <w:szCs w:val="24"/>
            <w:u w:val="none"/>
          </w:rPr>
          <w:t xml:space="preserve"> </w:t>
        </w:r>
      </w:hyperlink>
      <w:hyperlink r:id="rId11" w:history="1">
        <w:r w:rsidRPr="001F64A9">
          <w:rPr>
            <w:rStyle w:val="Hyperlink"/>
            <w:rFonts w:asciiTheme="majorBidi" w:eastAsia="Times New Roman" w:hAnsiTheme="majorBidi" w:cstheme="majorBidi"/>
            <w:color w:val="auto"/>
            <w:sz w:val="24"/>
            <w:szCs w:val="24"/>
            <w:u w:val="none"/>
          </w:rPr>
          <w:t>https://doi.org/10.1089/jpm.2011.0505</w:t>
        </w:r>
      </w:hyperlink>
      <w:r w:rsidRPr="001F64A9">
        <w:rPr>
          <w:rFonts w:asciiTheme="majorBidi" w:eastAsia="Times New Roman" w:hAnsiTheme="majorBidi" w:cstheme="majorBidi"/>
          <w:sz w:val="24"/>
          <w:szCs w:val="24"/>
        </w:rPr>
        <w:t>.</w:t>
      </w:r>
    </w:p>
    <w:p w14:paraId="4559B6B7"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Weirich, P. (2004). </w:t>
      </w:r>
      <w:r w:rsidRPr="001F64A9">
        <w:rPr>
          <w:rFonts w:asciiTheme="majorBidi" w:hAnsiTheme="majorBidi" w:cstheme="majorBidi"/>
          <w:i/>
          <w:iCs/>
          <w:sz w:val="24"/>
          <w:szCs w:val="24"/>
          <w:shd w:val="clear" w:color="auto" w:fill="FFFFFF"/>
        </w:rPr>
        <w:t>Realistic decision theory: Rules for nonideal agents in nonideal circumstances</w:t>
      </w:r>
      <w:r w:rsidRPr="001F64A9">
        <w:rPr>
          <w:rFonts w:asciiTheme="majorBidi" w:hAnsiTheme="majorBidi" w:cstheme="majorBidi"/>
          <w:sz w:val="24"/>
          <w:szCs w:val="24"/>
          <w:shd w:val="clear" w:color="auto" w:fill="FFFFFF"/>
        </w:rPr>
        <w:t>. Oxford University Press. https://doi.org/10.1093/019517125X.001.0001</w:t>
      </w:r>
    </w:p>
    <w:p w14:paraId="1DC36DC3"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Williams Jr, R. M. (1979). Change and stability in values and value systems: A sociological perspective. </w:t>
      </w:r>
      <w:r w:rsidRPr="001F64A9">
        <w:rPr>
          <w:rFonts w:asciiTheme="majorBidi" w:hAnsiTheme="majorBidi" w:cstheme="majorBidi"/>
          <w:i/>
          <w:iCs/>
          <w:sz w:val="24"/>
          <w:szCs w:val="24"/>
          <w:shd w:val="clear" w:color="auto" w:fill="FFFFFF"/>
        </w:rPr>
        <w:t>Understanding Human Values</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15</w:t>
      </w:r>
      <w:r w:rsidRPr="001F64A9">
        <w:rPr>
          <w:rFonts w:asciiTheme="majorBidi" w:hAnsiTheme="majorBidi" w:cstheme="majorBidi"/>
          <w:sz w:val="24"/>
          <w:szCs w:val="24"/>
          <w:shd w:val="clear" w:color="auto" w:fill="FFFFFF"/>
        </w:rPr>
        <w:t>, 46.</w:t>
      </w:r>
    </w:p>
    <w:p w14:paraId="6D569F2A"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lastRenderedPageBreak/>
        <w:t xml:space="preserve">Winter, L. (2013). Patient values and preferences for end-of-life treatments: are values better predictors than a living will?. </w:t>
      </w:r>
      <w:r w:rsidRPr="001F64A9">
        <w:rPr>
          <w:rFonts w:asciiTheme="majorBidi" w:eastAsia="Times New Roman" w:hAnsiTheme="majorBidi" w:cstheme="majorBidi"/>
          <w:i/>
          <w:sz w:val="24"/>
          <w:szCs w:val="24"/>
        </w:rPr>
        <w:t>Journal of Palliative Medicine</w:t>
      </w:r>
      <w:r w:rsidRPr="001F64A9">
        <w:rPr>
          <w:rFonts w:asciiTheme="majorBidi" w:eastAsia="Times New Roman" w:hAnsiTheme="majorBidi" w:cstheme="majorBidi"/>
          <w:sz w:val="24"/>
          <w:szCs w:val="24"/>
        </w:rPr>
        <w:t xml:space="preserve">, </w:t>
      </w:r>
      <w:r w:rsidRPr="001F64A9">
        <w:rPr>
          <w:rFonts w:asciiTheme="majorBidi" w:eastAsia="Times New Roman" w:hAnsiTheme="majorBidi" w:cstheme="majorBidi"/>
          <w:i/>
          <w:sz w:val="24"/>
          <w:szCs w:val="24"/>
        </w:rPr>
        <w:t>16</w:t>
      </w:r>
      <w:r w:rsidRPr="001F64A9">
        <w:rPr>
          <w:rFonts w:asciiTheme="majorBidi" w:eastAsia="Times New Roman" w:hAnsiTheme="majorBidi" w:cstheme="majorBidi"/>
          <w:sz w:val="24"/>
          <w:szCs w:val="24"/>
        </w:rPr>
        <w:t>(4), 362-368. https://doi.org/10.1089/jpm.2012.0303</w:t>
      </w:r>
    </w:p>
    <w:p w14:paraId="2F24F97B" w14:textId="77777777" w:rsidR="00EE5072" w:rsidRPr="001F64A9" w:rsidRDefault="00EE5072" w:rsidP="00EE5072">
      <w:pPr>
        <w:spacing w:after="0" w:line="480" w:lineRule="auto"/>
        <w:ind w:left="720" w:hanging="720"/>
        <w:rPr>
          <w:rFonts w:asciiTheme="majorBidi" w:eastAsia="Times New Roman" w:hAnsiTheme="majorBidi" w:cstheme="majorBidi"/>
          <w:sz w:val="24"/>
          <w:szCs w:val="24"/>
        </w:rPr>
      </w:pPr>
      <w:r w:rsidRPr="001F64A9">
        <w:rPr>
          <w:rFonts w:asciiTheme="majorBidi" w:hAnsiTheme="majorBidi" w:cstheme="majorBidi"/>
          <w:sz w:val="24"/>
          <w:szCs w:val="24"/>
          <w:shd w:val="clear" w:color="auto" w:fill="FFFFFF"/>
        </w:rPr>
        <w:t>Wixted, J. T., Mickes, L., Clark, S. E., Gronlund, S. D., &amp; Roediger III, H. L. (2015). Initial eyewitness confidence reliably predicts eyewitness identification accuracy. </w:t>
      </w:r>
      <w:r w:rsidRPr="001F64A9">
        <w:rPr>
          <w:rFonts w:asciiTheme="majorBidi" w:hAnsiTheme="majorBidi" w:cstheme="majorBidi"/>
          <w:i/>
          <w:iCs/>
          <w:sz w:val="24"/>
          <w:szCs w:val="24"/>
          <w:shd w:val="clear" w:color="auto" w:fill="FFFFFF"/>
        </w:rPr>
        <w:t>American Psychologist</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70</w:t>
      </w:r>
      <w:r w:rsidRPr="001F64A9">
        <w:rPr>
          <w:rFonts w:asciiTheme="majorBidi" w:hAnsiTheme="majorBidi" w:cstheme="majorBidi"/>
          <w:sz w:val="24"/>
          <w:szCs w:val="24"/>
          <w:shd w:val="clear" w:color="auto" w:fill="FFFFFF"/>
        </w:rPr>
        <w:t>(6), 515. https://psycnet.apa.org/doi/10.1037/a0039510</w:t>
      </w:r>
    </w:p>
    <w:p w14:paraId="3883BAD3"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Yan, S., Gan, Y., Jiang, N., Wang, R., Chen, Y., Luo, Z., ... &amp; Lv, C. (2020). The global survival rate among adult out-of-hospital cardiac arrest patients who received cardiopulmonary resuscitation: a systematic review and meta-analysis. </w:t>
      </w:r>
      <w:r w:rsidRPr="001F64A9">
        <w:rPr>
          <w:rFonts w:asciiTheme="majorBidi" w:hAnsiTheme="majorBidi" w:cstheme="majorBidi"/>
          <w:i/>
          <w:iCs/>
          <w:sz w:val="24"/>
          <w:szCs w:val="24"/>
          <w:shd w:val="clear" w:color="auto" w:fill="FFFFFF"/>
        </w:rPr>
        <w:t>Critical Care</w:t>
      </w:r>
      <w:r w:rsidRPr="001F64A9">
        <w:rPr>
          <w:rFonts w:asciiTheme="majorBidi" w:hAnsiTheme="majorBidi" w:cstheme="majorBidi"/>
          <w:sz w:val="24"/>
          <w:szCs w:val="24"/>
          <w:shd w:val="clear" w:color="auto" w:fill="FFFFFF"/>
        </w:rPr>
        <w:t>, </w:t>
      </w:r>
      <w:r w:rsidRPr="001F64A9">
        <w:rPr>
          <w:rFonts w:asciiTheme="majorBidi" w:hAnsiTheme="majorBidi" w:cstheme="majorBidi"/>
          <w:i/>
          <w:iCs/>
          <w:sz w:val="24"/>
          <w:szCs w:val="24"/>
          <w:shd w:val="clear" w:color="auto" w:fill="FFFFFF"/>
        </w:rPr>
        <w:t>24</w:t>
      </w:r>
      <w:r w:rsidRPr="001F64A9">
        <w:rPr>
          <w:rFonts w:asciiTheme="majorBidi" w:hAnsiTheme="majorBidi" w:cstheme="majorBidi"/>
          <w:sz w:val="24"/>
          <w:szCs w:val="24"/>
          <w:shd w:val="clear" w:color="auto" w:fill="FFFFFF"/>
        </w:rPr>
        <w:t>(1), 1-13. https://doi.org/10.1186/s13054-020-2773-2</w:t>
      </w:r>
    </w:p>
    <w:p w14:paraId="30A31402" w14:textId="77777777" w:rsidR="00EE5072" w:rsidRPr="001F64A9" w:rsidRDefault="00EE5072" w:rsidP="00EE5072">
      <w:pPr>
        <w:spacing w:after="0" w:line="480" w:lineRule="auto"/>
        <w:ind w:left="720" w:hanging="720"/>
        <w:rPr>
          <w:rFonts w:asciiTheme="majorBidi" w:hAnsiTheme="majorBidi" w:cstheme="majorBidi"/>
          <w:sz w:val="24"/>
          <w:szCs w:val="24"/>
          <w:shd w:val="clear" w:color="auto" w:fill="FFFFFF"/>
        </w:rPr>
      </w:pPr>
      <w:r w:rsidRPr="001F64A9">
        <w:rPr>
          <w:rFonts w:asciiTheme="majorBidi" w:hAnsiTheme="majorBidi" w:cstheme="majorBidi"/>
          <w:sz w:val="24"/>
          <w:szCs w:val="24"/>
          <w:shd w:val="clear" w:color="auto" w:fill="FFFFFF"/>
        </w:rPr>
        <w:t>Ybarra, V., Allan, J., Garcia-Retamero, R., Feltz, A., &amp; Cokely, E. (2018). Rethinking the bias blind spot: Numerate people are less biased, and they know it. </w:t>
      </w:r>
      <w:r w:rsidRPr="001F64A9">
        <w:rPr>
          <w:rFonts w:asciiTheme="majorBidi" w:hAnsiTheme="majorBidi" w:cstheme="majorBidi"/>
          <w:i/>
          <w:iCs/>
          <w:sz w:val="24"/>
          <w:szCs w:val="24"/>
          <w:shd w:val="clear" w:color="auto" w:fill="FFFFFF"/>
        </w:rPr>
        <w:t>Society for Judgment and Decision Making</w:t>
      </w:r>
      <w:r w:rsidRPr="001F64A9">
        <w:rPr>
          <w:rFonts w:asciiTheme="majorBidi" w:hAnsiTheme="majorBidi" w:cstheme="majorBidi"/>
          <w:sz w:val="24"/>
          <w:szCs w:val="24"/>
          <w:shd w:val="clear" w:color="auto" w:fill="FFFFFF"/>
        </w:rPr>
        <w:t>.</w:t>
      </w:r>
    </w:p>
    <w:p w14:paraId="7B436505" w14:textId="77777777" w:rsidR="00EE5072" w:rsidRPr="001F64A9" w:rsidRDefault="00EE5072" w:rsidP="00EE5072">
      <w:pPr>
        <w:rPr>
          <w:rFonts w:asciiTheme="majorBidi" w:hAnsiTheme="majorBidi" w:cstheme="majorBidi"/>
        </w:rPr>
      </w:pPr>
    </w:p>
    <w:p w14:paraId="638757EA" w14:textId="77777777" w:rsidR="00EE5072" w:rsidRPr="001F64A9" w:rsidRDefault="00EE5072" w:rsidP="00EE5072">
      <w:pP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br w:type="page"/>
      </w:r>
    </w:p>
    <w:p w14:paraId="5A44A9D0" w14:textId="77777777" w:rsidR="00EE5072" w:rsidRPr="001F64A9" w:rsidRDefault="00EE5072" w:rsidP="00EE5072">
      <w:pPr>
        <w:spacing w:line="480" w:lineRule="auto"/>
        <w:jc w:val="both"/>
        <w:rPr>
          <w:rFonts w:asciiTheme="majorBidi" w:hAnsiTheme="majorBidi" w:cstheme="majorBidi"/>
          <w:b/>
          <w:bCs/>
          <w:sz w:val="24"/>
          <w:szCs w:val="24"/>
        </w:rPr>
      </w:pPr>
      <w:r w:rsidRPr="001F64A9">
        <w:rPr>
          <w:rFonts w:asciiTheme="majorBidi" w:hAnsiTheme="majorBidi" w:cstheme="majorBidi"/>
          <w:b/>
          <w:bCs/>
          <w:sz w:val="24"/>
          <w:szCs w:val="24"/>
        </w:rPr>
        <w:lastRenderedPageBreak/>
        <w:t>Figure 1</w:t>
      </w:r>
    </w:p>
    <w:p w14:paraId="1733696E" w14:textId="77777777" w:rsidR="00EE5072" w:rsidRPr="001F64A9" w:rsidRDefault="00EE5072" w:rsidP="00EE5072">
      <w:pPr>
        <w:spacing w:line="480" w:lineRule="auto"/>
        <w:jc w:val="both"/>
        <w:rPr>
          <w:rFonts w:asciiTheme="majorBidi" w:hAnsiTheme="majorBidi" w:cstheme="majorBidi"/>
          <w:i/>
          <w:iCs/>
          <w:sz w:val="24"/>
          <w:szCs w:val="24"/>
        </w:rPr>
      </w:pPr>
      <w:r w:rsidRPr="001F64A9">
        <w:rPr>
          <w:rFonts w:asciiTheme="majorBidi" w:hAnsiTheme="majorBidi" w:cstheme="majorBidi"/>
          <w:i/>
          <w:iCs/>
          <w:sz w:val="24"/>
          <w:szCs w:val="24"/>
        </w:rPr>
        <w:t xml:space="preserve">Theoretical Model of Framing Influencing Decision making Through Irrational Persuasion </w:t>
      </w:r>
    </w:p>
    <w:p w14:paraId="2A6064C6" w14:textId="51C7E7D4" w:rsidR="00EE5072" w:rsidRPr="001F64A9" w:rsidRDefault="00EE5072" w:rsidP="00EE5072">
      <w:pPr>
        <w:spacing w:line="480" w:lineRule="auto"/>
        <w:jc w:val="center"/>
        <w:rPr>
          <w:rFonts w:asciiTheme="majorBidi" w:hAnsiTheme="majorBidi" w:cstheme="majorBidi"/>
          <w:sz w:val="24"/>
          <w:szCs w:val="24"/>
        </w:rPr>
      </w:pPr>
      <w:r w:rsidRPr="001F64A9">
        <w:rPr>
          <w:rFonts w:asciiTheme="majorBidi" w:hAnsiTheme="majorBidi" w:cstheme="majorBidi"/>
          <w:noProof/>
          <w:sz w:val="24"/>
          <w:szCs w:val="24"/>
        </w:rPr>
        <w:drawing>
          <wp:inline distT="0" distB="0" distL="0" distR="0" wp14:anchorId="0D28BD90" wp14:editId="7A636288">
            <wp:extent cx="4975860" cy="2880360"/>
            <wp:effectExtent l="0" t="0" r="0" b="0"/>
            <wp:docPr id="1659583090"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75860" cy="2880360"/>
                    </a:xfrm>
                    <a:prstGeom prst="rect">
                      <a:avLst/>
                    </a:prstGeom>
                    <a:noFill/>
                    <a:ln>
                      <a:noFill/>
                    </a:ln>
                  </pic:spPr>
                </pic:pic>
              </a:graphicData>
            </a:graphic>
          </wp:inline>
        </w:drawing>
      </w:r>
    </w:p>
    <w:p w14:paraId="4F06C22A" w14:textId="77777777" w:rsidR="00EE5072" w:rsidRPr="001F64A9" w:rsidRDefault="00EE5072" w:rsidP="00EE5072">
      <w:pPr>
        <w:rPr>
          <w:rFonts w:asciiTheme="majorBidi" w:hAnsiTheme="majorBidi" w:cstheme="majorBidi"/>
          <w:sz w:val="24"/>
          <w:szCs w:val="24"/>
        </w:rPr>
      </w:pPr>
      <w:r w:rsidRPr="001F64A9">
        <w:rPr>
          <w:rFonts w:asciiTheme="majorBidi" w:hAnsiTheme="majorBidi" w:cstheme="majorBidi"/>
          <w:sz w:val="24"/>
          <w:szCs w:val="24"/>
        </w:rPr>
        <w:br w:type="page"/>
      </w:r>
    </w:p>
    <w:p w14:paraId="5153B4FA"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lastRenderedPageBreak/>
        <w:t>Figure 2</w:t>
      </w:r>
    </w:p>
    <w:p w14:paraId="1352ADFE" w14:textId="77777777" w:rsidR="00EE5072" w:rsidRPr="001F64A9" w:rsidRDefault="00EE5072" w:rsidP="00EE5072">
      <w:pPr>
        <w:rPr>
          <w:rFonts w:asciiTheme="majorBidi" w:hAnsiTheme="majorBidi" w:cstheme="majorBidi"/>
          <w:i/>
          <w:iCs/>
          <w:sz w:val="24"/>
          <w:szCs w:val="24"/>
        </w:rPr>
      </w:pPr>
      <w:r w:rsidRPr="001F64A9">
        <w:rPr>
          <w:rFonts w:asciiTheme="majorBidi" w:hAnsiTheme="majorBidi" w:cstheme="majorBidi"/>
          <w:i/>
          <w:iCs/>
          <w:sz w:val="24"/>
          <w:szCs w:val="24"/>
        </w:rPr>
        <w:t>Process Model of Skilled Decision Theory</w:t>
      </w:r>
    </w:p>
    <w:p w14:paraId="65E9B493" w14:textId="18037EEF" w:rsidR="00EE5072" w:rsidRPr="001F64A9" w:rsidRDefault="00EE5072" w:rsidP="00EE5072">
      <w:pPr>
        <w:jc w:val="center"/>
        <w:rPr>
          <w:rFonts w:asciiTheme="majorBidi" w:hAnsiTheme="majorBidi" w:cstheme="majorBidi"/>
          <w:b/>
          <w:bCs/>
          <w:sz w:val="24"/>
          <w:szCs w:val="24"/>
        </w:rPr>
      </w:pPr>
      <w:r w:rsidRPr="001F64A9">
        <w:rPr>
          <w:rFonts w:asciiTheme="majorBidi" w:hAnsiTheme="majorBidi" w:cstheme="majorBidi"/>
          <w:b/>
          <w:bCs/>
          <w:noProof/>
          <w:sz w:val="24"/>
          <w:szCs w:val="24"/>
        </w:rPr>
        <w:drawing>
          <wp:inline distT="0" distB="0" distL="0" distR="0" wp14:anchorId="6EFCEC71" wp14:editId="24958B08">
            <wp:extent cx="5372100" cy="2895600"/>
            <wp:effectExtent l="0" t="0" r="0" b="0"/>
            <wp:docPr id="101955738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2100" cy="2895600"/>
                    </a:xfrm>
                    <a:prstGeom prst="rect">
                      <a:avLst/>
                    </a:prstGeom>
                    <a:noFill/>
                    <a:ln>
                      <a:noFill/>
                    </a:ln>
                  </pic:spPr>
                </pic:pic>
              </a:graphicData>
            </a:graphic>
          </wp:inline>
        </w:drawing>
      </w:r>
      <w:r w:rsidRPr="001F64A9">
        <w:rPr>
          <w:rFonts w:asciiTheme="majorBidi" w:hAnsiTheme="majorBidi" w:cstheme="majorBidi"/>
          <w:b/>
          <w:bCs/>
          <w:sz w:val="24"/>
          <w:szCs w:val="24"/>
        </w:rPr>
        <w:br w:type="page"/>
      </w:r>
    </w:p>
    <w:p w14:paraId="51C15A4C" w14:textId="77777777" w:rsidR="00EE5072" w:rsidRPr="001F64A9" w:rsidRDefault="00EE5072" w:rsidP="00EE5072">
      <w:pPr>
        <w:spacing w:line="480" w:lineRule="auto"/>
        <w:rPr>
          <w:rFonts w:asciiTheme="majorBidi" w:hAnsiTheme="majorBidi" w:cstheme="majorBidi"/>
          <w:b/>
          <w:bCs/>
          <w:sz w:val="24"/>
          <w:szCs w:val="24"/>
        </w:rPr>
      </w:pPr>
      <w:r w:rsidRPr="001F64A9">
        <w:rPr>
          <w:rFonts w:asciiTheme="majorBidi" w:hAnsiTheme="majorBidi" w:cstheme="majorBidi"/>
          <w:b/>
          <w:bCs/>
          <w:sz w:val="24"/>
          <w:szCs w:val="24"/>
        </w:rPr>
        <w:lastRenderedPageBreak/>
        <w:t>Figure 3</w:t>
      </w:r>
    </w:p>
    <w:p w14:paraId="01B1E8DC" w14:textId="77777777" w:rsidR="00EE5072" w:rsidRPr="001F64A9" w:rsidRDefault="00EE5072" w:rsidP="00EE5072">
      <w:pPr>
        <w:spacing w:line="480" w:lineRule="auto"/>
        <w:rPr>
          <w:rFonts w:asciiTheme="majorBidi" w:eastAsia="Times New Roman" w:hAnsiTheme="majorBidi" w:cstheme="majorBidi"/>
          <w:i/>
          <w:iCs/>
          <w:sz w:val="24"/>
          <w:szCs w:val="24"/>
        </w:rPr>
      </w:pPr>
      <w:r w:rsidRPr="001F64A9">
        <w:rPr>
          <w:rFonts w:asciiTheme="majorBidi" w:hAnsiTheme="majorBidi" w:cstheme="majorBidi"/>
          <w:i/>
          <w:iCs/>
          <w:sz w:val="24"/>
          <w:szCs w:val="24"/>
        </w:rPr>
        <w:t xml:space="preserve">Understanding Score Differences about </w:t>
      </w:r>
      <w:r w:rsidRPr="001F64A9">
        <w:rPr>
          <w:rFonts w:asciiTheme="majorBidi" w:eastAsia="Times New Roman" w:hAnsiTheme="majorBidi" w:cstheme="majorBidi"/>
          <w:i/>
          <w:iCs/>
          <w:sz w:val="24"/>
          <w:szCs w:val="24"/>
        </w:rPr>
        <w:t>CPR, intermediate-AND, and DNR in Experiment 1a</w:t>
      </w:r>
    </w:p>
    <w:p w14:paraId="213EEBD5" w14:textId="6D99887D" w:rsidR="00EE5072" w:rsidRPr="001F64A9" w:rsidRDefault="00EE5072" w:rsidP="00EE5072">
      <w:pPr>
        <w:rPr>
          <w:rFonts w:asciiTheme="majorBidi" w:hAnsiTheme="majorBidi" w:cstheme="majorBidi"/>
          <w:sz w:val="24"/>
          <w:szCs w:val="24"/>
        </w:rPr>
      </w:pPr>
      <w:r w:rsidRPr="001F64A9">
        <w:rPr>
          <w:rFonts w:asciiTheme="majorBidi" w:hAnsiTheme="majorBidi" w:cstheme="majorBidi"/>
          <w:noProof/>
        </w:rPr>
        <w:drawing>
          <wp:inline distT="0" distB="0" distL="0" distR="0" wp14:anchorId="78078E8D" wp14:editId="2BD0354D">
            <wp:extent cx="5532120" cy="3208020"/>
            <wp:effectExtent l="0" t="0" r="0" b="0"/>
            <wp:docPr id="1738961051" name="Picture 17" descr="A picture containing text, screenshot, diagram,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screenshot, diagram, desig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2120" cy="3208020"/>
                    </a:xfrm>
                    <a:prstGeom prst="rect">
                      <a:avLst/>
                    </a:prstGeom>
                    <a:noFill/>
                    <a:ln>
                      <a:noFill/>
                    </a:ln>
                  </pic:spPr>
                </pic:pic>
              </a:graphicData>
            </a:graphic>
          </wp:inline>
        </w:drawing>
      </w:r>
    </w:p>
    <w:p w14:paraId="05EA0ECB" w14:textId="77777777" w:rsidR="00EE5072" w:rsidRPr="001F64A9" w:rsidRDefault="00EE5072" w:rsidP="00EE5072">
      <w:pPr>
        <w:spacing w:before="100" w:beforeAutospacing="1" w:after="100" w:afterAutospacing="1" w:line="480" w:lineRule="auto"/>
        <w:rPr>
          <w:rFonts w:asciiTheme="majorBidi" w:eastAsia="Times New Roman" w:hAnsiTheme="majorBidi" w:cstheme="majorBidi"/>
          <w:sz w:val="20"/>
          <w:szCs w:val="20"/>
        </w:rPr>
      </w:pPr>
      <w:r w:rsidRPr="001F64A9">
        <w:rPr>
          <w:rFonts w:asciiTheme="majorBidi" w:eastAsia="Times New Roman" w:hAnsiTheme="majorBidi" w:cstheme="majorBidi"/>
          <w:i/>
          <w:iCs/>
          <w:sz w:val="20"/>
          <w:szCs w:val="20"/>
        </w:rPr>
        <w:t>Note.</w:t>
      </w:r>
      <w:r w:rsidRPr="001F64A9">
        <w:rPr>
          <w:rFonts w:asciiTheme="majorBidi" w:eastAsia="Times New Roman" w:hAnsiTheme="majorBidi" w:cstheme="majorBidi"/>
          <w:sz w:val="20"/>
          <w:szCs w:val="20"/>
        </w:rPr>
        <w:t xml:space="preserve"> Error bars are standard errors. </w:t>
      </w:r>
    </w:p>
    <w:p w14:paraId="7F464601" w14:textId="77777777" w:rsidR="00EE5072" w:rsidRPr="001F64A9" w:rsidRDefault="00EE5072" w:rsidP="00EE5072">
      <w:pPr>
        <w:rPr>
          <w:rFonts w:asciiTheme="majorBidi" w:hAnsiTheme="majorBidi" w:cstheme="majorBidi"/>
          <w:sz w:val="24"/>
          <w:szCs w:val="24"/>
        </w:rPr>
      </w:pPr>
      <w:r w:rsidRPr="001F64A9">
        <w:rPr>
          <w:rFonts w:asciiTheme="majorBidi" w:hAnsiTheme="majorBidi" w:cstheme="majorBidi"/>
          <w:sz w:val="24"/>
          <w:szCs w:val="24"/>
        </w:rPr>
        <w:br w:type="page"/>
      </w:r>
    </w:p>
    <w:p w14:paraId="45F88069" w14:textId="77777777" w:rsidR="00EE5072" w:rsidRPr="001F64A9" w:rsidRDefault="00EE5072" w:rsidP="00EE5072">
      <w:pPr>
        <w:spacing w:before="100" w:beforeAutospacing="1" w:after="100" w:afterAutospacing="1" w:line="480" w:lineRule="auto"/>
        <w:jc w:val="both"/>
        <w:rPr>
          <w:rFonts w:asciiTheme="majorBidi" w:hAnsiTheme="majorBidi" w:cstheme="majorBidi"/>
          <w:b/>
          <w:bCs/>
          <w:sz w:val="24"/>
          <w:szCs w:val="24"/>
        </w:rPr>
      </w:pPr>
      <w:r w:rsidRPr="001F64A9">
        <w:rPr>
          <w:rFonts w:asciiTheme="majorBidi" w:hAnsiTheme="majorBidi" w:cstheme="majorBidi"/>
          <w:b/>
          <w:bCs/>
          <w:sz w:val="24"/>
          <w:szCs w:val="24"/>
        </w:rPr>
        <w:lastRenderedPageBreak/>
        <w:t>Figure 4</w:t>
      </w:r>
    </w:p>
    <w:p w14:paraId="69631349" w14:textId="77777777" w:rsidR="00EE5072" w:rsidRPr="001F64A9" w:rsidRDefault="00EE5072" w:rsidP="00EE5072">
      <w:pPr>
        <w:spacing w:line="480" w:lineRule="auto"/>
        <w:rPr>
          <w:rFonts w:asciiTheme="majorBidi" w:eastAsia="Times New Roman" w:hAnsiTheme="majorBidi" w:cstheme="majorBidi"/>
          <w:i/>
          <w:iCs/>
          <w:sz w:val="24"/>
          <w:szCs w:val="24"/>
        </w:rPr>
      </w:pPr>
      <w:r w:rsidRPr="001F64A9">
        <w:rPr>
          <w:rFonts w:asciiTheme="majorBidi" w:hAnsiTheme="majorBidi" w:cstheme="majorBidi"/>
          <w:i/>
          <w:iCs/>
          <w:sz w:val="24"/>
          <w:szCs w:val="24"/>
        </w:rPr>
        <w:t xml:space="preserve">Positive Valence Score Differences about </w:t>
      </w:r>
      <w:r w:rsidRPr="001F64A9">
        <w:rPr>
          <w:rFonts w:asciiTheme="majorBidi" w:eastAsia="Times New Roman" w:hAnsiTheme="majorBidi" w:cstheme="majorBidi"/>
          <w:i/>
          <w:iCs/>
          <w:sz w:val="24"/>
          <w:szCs w:val="24"/>
        </w:rPr>
        <w:t>CPR, intermediate-AND, and DNR</w:t>
      </w:r>
      <w:r w:rsidRPr="001F64A9">
        <w:rPr>
          <w:rFonts w:asciiTheme="majorBidi" w:hAnsiTheme="majorBidi" w:cstheme="majorBidi"/>
        </w:rPr>
        <w:t xml:space="preserve"> </w:t>
      </w:r>
      <w:r w:rsidRPr="001F64A9">
        <w:rPr>
          <w:rFonts w:asciiTheme="majorBidi" w:eastAsia="Times New Roman" w:hAnsiTheme="majorBidi" w:cstheme="majorBidi"/>
          <w:i/>
          <w:iCs/>
          <w:sz w:val="24"/>
          <w:szCs w:val="24"/>
        </w:rPr>
        <w:t>in Experiment 1a</w:t>
      </w:r>
    </w:p>
    <w:p w14:paraId="18E7BAE1" w14:textId="4F368FE8" w:rsidR="00EE5072" w:rsidRPr="001F64A9" w:rsidRDefault="00EE5072" w:rsidP="00EE5072">
      <w:pPr>
        <w:spacing w:before="100" w:beforeAutospacing="1" w:after="100" w:afterAutospacing="1" w:line="480" w:lineRule="auto"/>
        <w:rPr>
          <w:rFonts w:asciiTheme="majorBidi" w:eastAsia="Times New Roman" w:hAnsiTheme="majorBidi" w:cstheme="majorBidi"/>
          <w:sz w:val="24"/>
          <w:szCs w:val="24"/>
        </w:rPr>
      </w:pPr>
      <w:r w:rsidRPr="001F64A9">
        <w:rPr>
          <w:rFonts w:asciiTheme="majorBidi" w:hAnsiTheme="majorBidi" w:cstheme="majorBidi"/>
          <w:noProof/>
        </w:rPr>
        <w:drawing>
          <wp:inline distT="0" distB="0" distL="0" distR="0" wp14:anchorId="54F4BFD1" wp14:editId="3A8D0646">
            <wp:extent cx="5455920" cy="3238500"/>
            <wp:effectExtent l="0" t="0" r="0" b="0"/>
            <wp:docPr id="1273941582" name="Picture 16" descr="A graph of positive valence scor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graph of positive valence scores&#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55920" cy="3238500"/>
                    </a:xfrm>
                    <a:prstGeom prst="rect">
                      <a:avLst/>
                    </a:prstGeom>
                    <a:noFill/>
                    <a:ln>
                      <a:noFill/>
                    </a:ln>
                  </pic:spPr>
                </pic:pic>
              </a:graphicData>
            </a:graphic>
          </wp:inline>
        </w:drawing>
      </w:r>
    </w:p>
    <w:p w14:paraId="0CF8F7AC" w14:textId="77777777" w:rsidR="00EE5072" w:rsidRPr="001F64A9" w:rsidRDefault="00EE5072" w:rsidP="00EE5072">
      <w:pPr>
        <w:spacing w:before="100" w:beforeAutospacing="1" w:after="100" w:afterAutospacing="1" w:line="480" w:lineRule="auto"/>
        <w:jc w:val="both"/>
        <w:rPr>
          <w:rFonts w:asciiTheme="majorBidi" w:eastAsia="Times New Roman" w:hAnsiTheme="majorBidi" w:cstheme="majorBidi"/>
          <w:sz w:val="24"/>
          <w:szCs w:val="24"/>
        </w:rPr>
      </w:pPr>
      <w:r w:rsidRPr="001F64A9">
        <w:rPr>
          <w:rFonts w:asciiTheme="majorBidi" w:eastAsia="Times New Roman" w:hAnsiTheme="majorBidi" w:cstheme="majorBidi"/>
          <w:i/>
          <w:iCs/>
          <w:sz w:val="20"/>
          <w:szCs w:val="20"/>
        </w:rPr>
        <w:t>Note.</w:t>
      </w:r>
      <w:r w:rsidRPr="001F64A9">
        <w:rPr>
          <w:rFonts w:asciiTheme="majorBidi" w:eastAsia="Times New Roman" w:hAnsiTheme="majorBidi" w:cstheme="majorBidi"/>
          <w:sz w:val="20"/>
          <w:szCs w:val="20"/>
        </w:rPr>
        <w:t xml:space="preserve"> Error bars are standard errors.</w:t>
      </w:r>
    </w:p>
    <w:p w14:paraId="46424239" w14:textId="77777777" w:rsidR="00EE5072" w:rsidRPr="001F64A9" w:rsidRDefault="00EE5072" w:rsidP="00EE5072">
      <w:pPr>
        <w:rPr>
          <w:rFonts w:asciiTheme="majorBidi" w:eastAsia="Times New Roman" w:hAnsiTheme="majorBidi" w:cstheme="majorBidi"/>
          <w:sz w:val="20"/>
          <w:szCs w:val="20"/>
        </w:rPr>
      </w:pPr>
      <w:r w:rsidRPr="001F64A9">
        <w:rPr>
          <w:rFonts w:asciiTheme="majorBidi" w:eastAsia="Times New Roman" w:hAnsiTheme="majorBidi" w:cstheme="majorBidi"/>
          <w:sz w:val="20"/>
          <w:szCs w:val="20"/>
        </w:rPr>
        <w:br w:type="page"/>
      </w:r>
    </w:p>
    <w:p w14:paraId="76F35C25" w14:textId="77777777" w:rsidR="00EE5072" w:rsidRPr="001F64A9" w:rsidRDefault="00EE5072" w:rsidP="00EE5072">
      <w:pPr>
        <w:spacing w:before="100" w:beforeAutospacing="1" w:after="100" w:afterAutospacing="1" w:line="480" w:lineRule="auto"/>
        <w:jc w:val="both"/>
        <w:rPr>
          <w:rFonts w:asciiTheme="majorBidi" w:hAnsiTheme="majorBidi" w:cstheme="majorBidi"/>
          <w:b/>
          <w:bCs/>
          <w:sz w:val="24"/>
          <w:szCs w:val="24"/>
        </w:rPr>
      </w:pPr>
      <w:r w:rsidRPr="001F64A9">
        <w:rPr>
          <w:rFonts w:asciiTheme="majorBidi" w:hAnsiTheme="majorBidi" w:cstheme="majorBidi"/>
          <w:b/>
          <w:bCs/>
          <w:sz w:val="24"/>
          <w:szCs w:val="24"/>
        </w:rPr>
        <w:lastRenderedPageBreak/>
        <w:t>Figure 5</w:t>
      </w:r>
    </w:p>
    <w:p w14:paraId="7122F6AB" w14:textId="77777777" w:rsidR="00EE5072" w:rsidRPr="001F64A9" w:rsidRDefault="00EE5072" w:rsidP="00EE5072">
      <w:pPr>
        <w:spacing w:before="100" w:beforeAutospacing="1" w:after="100" w:afterAutospacing="1" w:line="480" w:lineRule="auto"/>
        <w:jc w:val="both"/>
        <w:rPr>
          <w:rFonts w:asciiTheme="majorBidi" w:eastAsia="Times New Roman" w:hAnsiTheme="majorBidi" w:cstheme="majorBidi"/>
          <w:i/>
          <w:iCs/>
          <w:sz w:val="24"/>
          <w:szCs w:val="24"/>
        </w:rPr>
      </w:pPr>
      <w:r w:rsidRPr="001F64A9">
        <w:rPr>
          <w:rFonts w:asciiTheme="majorBidi" w:hAnsiTheme="majorBidi" w:cstheme="majorBidi"/>
          <w:i/>
          <w:iCs/>
          <w:sz w:val="24"/>
          <w:szCs w:val="24"/>
        </w:rPr>
        <w:t xml:space="preserve">CPR Understanding Score Differences about </w:t>
      </w:r>
      <w:r w:rsidRPr="001F64A9">
        <w:rPr>
          <w:rFonts w:asciiTheme="majorBidi" w:eastAsia="Times New Roman" w:hAnsiTheme="majorBidi" w:cstheme="majorBidi"/>
          <w:i/>
          <w:iCs/>
          <w:sz w:val="24"/>
          <w:szCs w:val="24"/>
        </w:rPr>
        <w:t>CPR, intermediate-AND, and DNR in Experimen1b</w:t>
      </w:r>
    </w:p>
    <w:p w14:paraId="655DE871" w14:textId="48CF447E" w:rsidR="00EE5072" w:rsidRPr="001F64A9" w:rsidRDefault="00EE5072" w:rsidP="00EE5072">
      <w:pPr>
        <w:spacing w:before="100" w:beforeAutospacing="1" w:after="100" w:afterAutospacing="1" w:line="480" w:lineRule="auto"/>
        <w:jc w:val="both"/>
        <w:rPr>
          <w:rFonts w:asciiTheme="majorBidi" w:hAnsiTheme="majorBidi" w:cstheme="majorBidi"/>
          <w:b/>
          <w:bCs/>
          <w:sz w:val="24"/>
          <w:szCs w:val="24"/>
        </w:rPr>
      </w:pPr>
      <w:r w:rsidRPr="001F64A9">
        <w:rPr>
          <w:rFonts w:asciiTheme="majorBidi" w:hAnsiTheme="majorBidi" w:cstheme="majorBidi"/>
          <w:noProof/>
        </w:rPr>
        <w:drawing>
          <wp:inline distT="0" distB="0" distL="0" distR="0" wp14:anchorId="4C6F93DC" wp14:editId="738B79DF">
            <wp:extent cx="5539740" cy="3246120"/>
            <wp:effectExtent l="0" t="0" r="3810" b="0"/>
            <wp:docPr id="1211577557" name="Picture 15" descr="A picture containing text, screenshot, diagram,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text, screenshot, diagram, design&#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39740" cy="3246120"/>
                    </a:xfrm>
                    <a:prstGeom prst="rect">
                      <a:avLst/>
                    </a:prstGeom>
                    <a:noFill/>
                    <a:ln>
                      <a:noFill/>
                    </a:ln>
                  </pic:spPr>
                </pic:pic>
              </a:graphicData>
            </a:graphic>
          </wp:inline>
        </w:drawing>
      </w:r>
    </w:p>
    <w:p w14:paraId="5EAB2DA9" w14:textId="77777777" w:rsidR="00EE5072" w:rsidRPr="001F64A9" w:rsidRDefault="00EE5072" w:rsidP="00EE5072">
      <w:pPr>
        <w:spacing w:before="100" w:beforeAutospacing="1" w:after="100" w:afterAutospacing="1" w:line="480" w:lineRule="auto"/>
        <w:jc w:val="both"/>
        <w:rPr>
          <w:rFonts w:asciiTheme="majorBidi" w:hAnsiTheme="majorBidi" w:cstheme="majorBidi"/>
          <w:b/>
          <w:bCs/>
          <w:sz w:val="24"/>
          <w:szCs w:val="24"/>
        </w:rPr>
      </w:pPr>
      <w:r w:rsidRPr="001F64A9">
        <w:rPr>
          <w:rFonts w:asciiTheme="majorBidi" w:eastAsia="Times New Roman" w:hAnsiTheme="majorBidi" w:cstheme="majorBidi"/>
          <w:i/>
          <w:iCs/>
          <w:sz w:val="20"/>
          <w:szCs w:val="20"/>
        </w:rPr>
        <w:t>Note.</w:t>
      </w:r>
      <w:r w:rsidRPr="001F64A9">
        <w:rPr>
          <w:rFonts w:asciiTheme="majorBidi" w:eastAsia="Times New Roman" w:hAnsiTheme="majorBidi" w:cstheme="majorBidi"/>
          <w:sz w:val="20"/>
          <w:szCs w:val="20"/>
        </w:rPr>
        <w:t xml:space="preserve"> Error bars are standard errors.</w:t>
      </w:r>
    </w:p>
    <w:p w14:paraId="68039AD6"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br w:type="page"/>
      </w:r>
    </w:p>
    <w:p w14:paraId="6D57F9E7" w14:textId="77777777" w:rsidR="00EE5072" w:rsidRPr="001F64A9" w:rsidRDefault="00EE5072" w:rsidP="00EE5072">
      <w:pPr>
        <w:spacing w:before="100" w:beforeAutospacing="1" w:after="100" w:afterAutospacing="1" w:line="480" w:lineRule="auto"/>
        <w:jc w:val="both"/>
        <w:rPr>
          <w:rFonts w:asciiTheme="majorBidi" w:hAnsiTheme="majorBidi" w:cstheme="majorBidi"/>
          <w:b/>
          <w:bCs/>
          <w:sz w:val="24"/>
          <w:szCs w:val="24"/>
        </w:rPr>
      </w:pPr>
      <w:r w:rsidRPr="001F64A9">
        <w:rPr>
          <w:rFonts w:asciiTheme="majorBidi" w:hAnsiTheme="majorBidi" w:cstheme="majorBidi"/>
          <w:b/>
          <w:bCs/>
          <w:sz w:val="24"/>
          <w:szCs w:val="24"/>
        </w:rPr>
        <w:lastRenderedPageBreak/>
        <w:t>Figure 6</w:t>
      </w:r>
    </w:p>
    <w:p w14:paraId="631AFDEA" w14:textId="77777777" w:rsidR="00EE5072" w:rsidRPr="001F64A9" w:rsidRDefault="00EE5072" w:rsidP="00EE5072">
      <w:pPr>
        <w:spacing w:before="100" w:beforeAutospacing="1" w:after="100" w:afterAutospacing="1" w:line="480" w:lineRule="auto"/>
        <w:jc w:val="both"/>
        <w:rPr>
          <w:rFonts w:asciiTheme="majorBidi" w:eastAsia="Times New Roman" w:hAnsiTheme="majorBidi" w:cstheme="majorBidi"/>
          <w:sz w:val="24"/>
          <w:szCs w:val="24"/>
        </w:rPr>
      </w:pPr>
      <w:r w:rsidRPr="001F64A9">
        <w:rPr>
          <w:rFonts w:asciiTheme="majorBidi" w:hAnsiTheme="majorBidi" w:cstheme="majorBidi"/>
          <w:i/>
          <w:iCs/>
          <w:sz w:val="24"/>
          <w:szCs w:val="24"/>
        </w:rPr>
        <w:t xml:space="preserve">Positive Valence Score Differences about </w:t>
      </w:r>
      <w:r w:rsidRPr="001F64A9">
        <w:rPr>
          <w:rFonts w:asciiTheme="majorBidi" w:eastAsia="Times New Roman" w:hAnsiTheme="majorBidi" w:cstheme="majorBidi"/>
          <w:i/>
          <w:iCs/>
          <w:sz w:val="24"/>
          <w:szCs w:val="24"/>
        </w:rPr>
        <w:t>CPR, intermediate-AND, and DNR in Experimen1b</w:t>
      </w:r>
    </w:p>
    <w:p w14:paraId="1D8BE289" w14:textId="6C544F61" w:rsidR="00EE5072" w:rsidRPr="001F64A9" w:rsidRDefault="00EE5072" w:rsidP="00EE5072">
      <w:pPr>
        <w:spacing w:line="480" w:lineRule="auto"/>
        <w:jc w:val="both"/>
        <w:rPr>
          <w:rFonts w:asciiTheme="majorBidi" w:hAnsiTheme="majorBidi" w:cstheme="majorBidi"/>
          <w:b/>
          <w:bCs/>
          <w:sz w:val="24"/>
          <w:szCs w:val="24"/>
        </w:rPr>
      </w:pPr>
      <w:r w:rsidRPr="001F64A9">
        <w:rPr>
          <w:rFonts w:asciiTheme="majorBidi" w:hAnsiTheme="majorBidi" w:cstheme="majorBidi"/>
          <w:noProof/>
        </w:rPr>
        <w:drawing>
          <wp:inline distT="0" distB="0" distL="0" distR="0" wp14:anchorId="6F883E14" wp14:editId="51CE2452">
            <wp:extent cx="5494020" cy="3253740"/>
            <wp:effectExtent l="0" t="0" r="0" b="3810"/>
            <wp:docPr id="457667790" name="Picture 14" descr="A graph of negative valence scor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graph of negative valence scores&#10;&#10;Description automatically generated with low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94020" cy="3253740"/>
                    </a:xfrm>
                    <a:prstGeom prst="rect">
                      <a:avLst/>
                    </a:prstGeom>
                    <a:noFill/>
                    <a:ln>
                      <a:noFill/>
                    </a:ln>
                  </pic:spPr>
                </pic:pic>
              </a:graphicData>
            </a:graphic>
          </wp:inline>
        </w:drawing>
      </w:r>
    </w:p>
    <w:p w14:paraId="1A7E6429" w14:textId="77777777" w:rsidR="00EE5072" w:rsidRPr="001F64A9" w:rsidRDefault="00EE5072" w:rsidP="00EE5072">
      <w:pPr>
        <w:spacing w:line="480" w:lineRule="auto"/>
        <w:jc w:val="both"/>
        <w:rPr>
          <w:rFonts w:asciiTheme="majorBidi" w:hAnsiTheme="majorBidi" w:cstheme="majorBidi"/>
          <w:b/>
          <w:bCs/>
          <w:sz w:val="24"/>
          <w:szCs w:val="24"/>
        </w:rPr>
      </w:pPr>
      <w:r w:rsidRPr="001F64A9">
        <w:rPr>
          <w:rFonts w:asciiTheme="majorBidi" w:eastAsia="Times New Roman" w:hAnsiTheme="majorBidi" w:cstheme="majorBidi"/>
          <w:i/>
          <w:iCs/>
          <w:sz w:val="20"/>
          <w:szCs w:val="20"/>
        </w:rPr>
        <w:t>Note.</w:t>
      </w:r>
      <w:r w:rsidRPr="001F64A9">
        <w:rPr>
          <w:rFonts w:asciiTheme="majorBidi" w:eastAsia="Times New Roman" w:hAnsiTheme="majorBidi" w:cstheme="majorBidi"/>
          <w:sz w:val="20"/>
          <w:szCs w:val="20"/>
        </w:rPr>
        <w:t xml:space="preserve"> Error bars are standard errors.</w:t>
      </w:r>
    </w:p>
    <w:p w14:paraId="7DD529D2"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br w:type="page"/>
      </w:r>
    </w:p>
    <w:p w14:paraId="75B24E94" w14:textId="77777777" w:rsidR="00EE5072" w:rsidRPr="001F64A9" w:rsidRDefault="00EE5072" w:rsidP="00EE5072">
      <w:pPr>
        <w:spacing w:line="480" w:lineRule="auto"/>
        <w:jc w:val="both"/>
        <w:rPr>
          <w:rFonts w:asciiTheme="majorBidi" w:hAnsiTheme="majorBidi" w:cstheme="majorBidi"/>
          <w:b/>
          <w:bCs/>
          <w:sz w:val="24"/>
          <w:szCs w:val="24"/>
        </w:rPr>
      </w:pPr>
      <w:r w:rsidRPr="001F64A9">
        <w:rPr>
          <w:rFonts w:asciiTheme="majorBidi" w:hAnsiTheme="majorBidi" w:cstheme="majorBidi"/>
          <w:b/>
          <w:bCs/>
          <w:sz w:val="24"/>
          <w:szCs w:val="24"/>
        </w:rPr>
        <w:lastRenderedPageBreak/>
        <w:t>Figure 7</w:t>
      </w:r>
    </w:p>
    <w:p w14:paraId="547D762E" w14:textId="77777777" w:rsidR="00EE5072" w:rsidRPr="001F64A9" w:rsidRDefault="00EE5072" w:rsidP="00EE5072">
      <w:pPr>
        <w:spacing w:line="480" w:lineRule="auto"/>
        <w:jc w:val="both"/>
        <w:rPr>
          <w:rFonts w:asciiTheme="majorBidi" w:hAnsiTheme="majorBidi" w:cstheme="majorBidi"/>
          <w:i/>
          <w:iCs/>
          <w:sz w:val="24"/>
          <w:szCs w:val="24"/>
        </w:rPr>
      </w:pPr>
      <w:r w:rsidRPr="001F64A9">
        <w:rPr>
          <w:rFonts w:asciiTheme="majorBidi" w:hAnsiTheme="majorBidi" w:cstheme="majorBidi"/>
          <w:i/>
          <w:iCs/>
          <w:sz w:val="24"/>
          <w:szCs w:val="24"/>
        </w:rPr>
        <w:t xml:space="preserve">Comparison of Correlations between EOL Values and DNR Preference across Terminologies in Experiment 1b </w:t>
      </w:r>
    </w:p>
    <w:p w14:paraId="6C2BAAA2" w14:textId="68C47309" w:rsidR="00EE5072" w:rsidRPr="001F64A9" w:rsidRDefault="00EE5072" w:rsidP="00EE5072">
      <w:pPr>
        <w:spacing w:line="480" w:lineRule="auto"/>
        <w:jc w:val="both"/>
        <w:rPr>
          <w:rFonts w:asciiTheme="majorBidi" w:hAnsiTheme="majorBidi" w:cstheme="majorBidi"/>
          <w:sz w:val="24"/>
          <w:szCs w:val="24"/>
        </w:rPr>
      </w:pPr>
      <w:r w:rsidRPr="001F64A9">
        <w:rPr>
          <w:rFonts w:asciiTheme="majorBidi" w:hAnsiTheme="majorBidi" w:cstheme="majorBidi"/>
          <w:noProof/>
        </w:rPr>
        <w:drawing>
          <wp:inline distT="0" distB="0" distL="0" distR="0" wp14:anchorId="58C27954" wp14:editId="14645959">
            <wp:extent cx="5935980" cy="3131820"/>
            <wp:effectExtent l="0" t="0" r="7620" b="0"/>
            <wp:docPr id="98757904" name="Picture 13"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screenshot, diagram, fon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5980" cy="3131820"/>
                    </a:xfrm>
                    <a:prstGeom prst="rect">
                      <a:avLst/>
                    </a:prstGeom>
                    <a:noFill/>
                    <a:ln>
                      <a:noFill/>
                    </a:ln>
                  </pic:spPr>
                </pic:pic>
              </a:graphicData>
            </a:graphic>
          </wp:inline>
        </w:drawing>
      </w:r>
    </w:p>
    <w:p w14:paraId="623E0694" w14:textId="77777777" w:rsidR="00EE5072" w:rsidRPr="001F64A9" w:rsidRDefault="00EE5072" w:rsidP="00EE5072">
      <w:pPr>
        <w:spacing w:line="480" w:lineRule="auto"/>
        <w:jc w:val="both"/>
        <w:rPr>
          <w:rFonts w:asciiTheme="majorBidi" w:hAnsiTheme="majorBidi" w:cstheme="majorBidi"/>
          <w:sz w:val="20"/>
          <w:szCs w:val="20"/>
        </w:rPr>
      </w:pPr>
      <w:r w:rsidRPr="001F64A9">
        <w:rPr>
          <w:rFonts w:asciiTheme="majorBidi" w:hAnsiTheme="majorBidi" w:cstheme="majorBidi"/>
          <w:i/>
          <w:iCs/>
          <w:sz w:val="20"/>
          <w:szCs w:val="20"/>
        </w:rPr>
        <w:t>Note.</w:t>
      </w:r>
      <w:r w:rsidRPr="001F64A9">
        <w:rPr>
          <w:rFonts w:asciiTheme="majorBidi" w:hAnsiTheme="majorBidi" w:cstheme="majorBidi"/>
          <w:sz w:val="20"/>
          <w:szCs w:val="20"/>
        </w:rPr>
        <w:t xml:space="preserve"> </w:t>
      </w:r>
      <w:r w:rsidRPr="001F64A9">
        <w:rPr>
          <w:rFonts w:asciiTheme="majorBidi" w:hAnsiTheme="majorBidi" w:cstheme="majorBidi"/>
          <w:sz w:val="20"/>
          <w:szCs w:val="20"/>
          <w:vertAlign w:val="superscript"/>
        </w:rPr>
        <w:t>†</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.10, *</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.05.</w:t>
      </w:r>
    </w:p>
    <w:p w14:paraId="008F542E" w14:textId="77777777" w:rsidR="00EE5072" w:rsidRPr="001F64A9" w:rsidRDefault="00EE5072" w:rsidP="00EE5072">
      <w:pPr>
        <w:rPr>
          <w:rFonts w:asciiTheme="majorBidi" w:hAnsiTheme="majorBidi" w:cstheme="majorBidi"/>
          <w:sz w:val="20"/>
          <w:szCs w:val="20"/>
        </w:rPr>
      </w:pPr>
      <w:r w:rsidRPr="001F64A9">
        <w:rPr>
          <w:rFonts w:asciiTheme="majorBidi" w:hAnsiTheme="majorBidi" w:cstheme="majorBidi"/>
          <w:sz w:val="20"/>
          <w:szCs w:val="20"/>
        </w:rPr>
        <w:br w:type="page"/>
      </w:r>
    </w:p>
    <w:p w14:paraId="159D1838" w14:textId="77777777" w:rsidR="00EE5072" w:rsidRPr="001F64A9" w:rsidRDefault="00EE5072" w:rsidP="00EE5072">
      <w:pPr>
        <w:rPr>
          <w:rFonts w:asciiTheme="majorBidi" w:eastAsia="Times New Roman" w:hAnsiTheme="majorBidi" w:cstheme="majorBidi"/>
          <w:b/>
          <w:bCs/>
          <w:noProof/>
          <w:sz w:val="24"/>
          <w:szCs w:val="24"/>
        </w:rPr>
      </w:pPr>
      <w:r w:rsidRPr="001F64A9">
        <w:rPr>
          <w:rFonts w:asciiTheme="majorBidi" w:eastAsia="Times New Roman" w:hAnsiTheme="majorBidi" w:cstheme="majorBidi"/>
          <w:b/>
          <w:bCs/>
          <w:noProof/>
          <w:sz w:val="24"/>
          <w:szCs w:val="24"/>
        </w:rPr>
        <w:lastRenderedPageBreak/>
        <w:t>Figure 8</w:t>
      </w:r>
    </w:p>
    <w:p w14:paraId="46B6D5F7" w14:textId="77777777" w:rsidR="00EE5072" w:rsidRPr="001F64A9" w:rsidRDefault="00EE5072" w:rsidP="00EE5072">
      <w:pPr>
        <w:rPr>
          <w:rFonts w:asciiTheme="majorBidi" w:eastAsia="Times New Roman" w:hAnsiTheme="majorBidi" w:cstheme="majorBidi"/>
          <w:noProof/>
          <w:sz w:val="24"/>
          <w:szCs w:val="24"/>
        </w:rPr>
      </w:pPr>
      <w:r w:rsidRPr="001F64A9">
        <w:rPr>
          <w:rFonts w:asciiTheme="majorBidi" w:eastAsia="Times New Roman" w:hAnsiTheme="majorBidi" w:cstheme="majorBidi"/>
          <w:i/>
          <w:iCs/>
          <w:sz w:val="24"/>
          <w:szCs w:val="24"/>
        </w:rPr>
        <w:t>The Effects of Informing and Framing Nudge on the Probability to Write a DNR in Experiment 1c</w:t>
      </w:r>
    </w:p>
    <w:p w14:paraId="6F3B3DDB" w14:textId="67C5B13B" w:rsidR="00EE5072" w:rsidRPr="001F64A9" w:rsidRDefault="00EE5072" w:rsidP="00EE5072">
      <w:pPr>
        <w:rPr>
          <w:rFonts w:asciiTheme="majorBidi" w:eastAsia="Times New Roman" w:hAnsiTheme="majorBidi" w:cstheme="majorBidi"/>
          <w:sz w:val="24"/>
          <w:szCs w:val="24"/>
        </w:rPr>
      </w:pPr>
      <w:r w:rsidRPr="001F64A9">
        <w:rPr>
          <w:rFonts w:asciiTheme="majorBidi" w:hAnsiTheme="majorBidi" w:cstheme="majorBidi"/>
          <w:noProof/>
        </w:rPr>
        <w:drawing>
          <wp:inline distT="0" distB="0" distL="0" distR="0" wp14:anchorId="37B5734B" wp14:editId="3661FA22">
            <wp:extent cx="5943600" cy="4183380"/>
            <wp:effectExtent l="0" t="0" r="0" b="7620"/>
            <wp:docPr id="1846519279"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183380"/>
                    </a:xfrm>
                    <a:prstGeom prst="rect">
                      <a:avLst/>
                    </a:prstGeom>
                    <a:noFill/>
                    <a:ln>
                      <a:noFill/>
                    </a:ln>
                  </pic:spPr>
                </pic:pic>
              </a:graphicData>
            </a:graphic>
          </wp:inline>
        </w:drawing>
      </w:r>
    </w:p>
    <w:p w14:paraId="4EC0E9E7" w14:textId="77777777" w:rsidR="00EE5072" w:rsidRPr="001F64A9" w:rsidRDefault="00EE5072" w:rsidP="00EE5072">
      <w:pPr>
        <w:rPr>
          <w:rFonts w:asciiTheme="majorBidi" w:eastAsia="Times New Roman" w:hAnsiTheme="majorBidi" w:cstheme="majorBidi"/>
          <w:sz w:val="24"/>
          <w:szCs w:val="24"/>
        </w:rPr>
      </w:pPr>
    </w:p>
    <w:p w14:paraId="59DA19C2" w14:textId="77777777" w:rsidR="00EE5072" w:rsidRPr="001F64A9" w:rsidRDefault="00EE5072" w:rsidP="00EE5072">
      <w:pPr>
        <w:spacing w:line="480" w:lineRule="auto"/>
        <w:jc w:val="both"/>
        <w:rPr>
          <w:rFonts w:asciiTheme="majorBidi" w:hAnsiTheme="majorBidi" w:cstheme="majorBidi"/>
          <w:b/>
          <w:bCs/>
          <w:sz w:val="24"/>
          <w:szCs w:val="24"/>
        </w:rPr>
      </w:pPr>
    </w:p>
    <w:p w14:paraId="1F1B1553"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br w:type="page"/>
      </w:r>
    </w:p>
    <w:p w14:paraId="6D0DCF91" w14:textId="77777777" w:rsidR="00EE5072" w:rsidRPr="001F64A9" w:rsidRDefault="00EE5072" w:rsidP="00EE5072">
      <w:pPr>
        <w:rPr>
          <w:rFonts w:asciiTheme="majorBidi" w:eastAsia="Times New Roman" w:hAnsiTheme="majorBidi" w:cstheme="majorBidi"/>
          <w:b/>
          <w:bCs/>
          <w:noProof/>
          <w:sz w:val="24"/>
          <w:szCs w:val="24"/>
        </w:rPr>
      </w:pPr>
      <w:r w:rsidRPr="001F64A9">
        <w:rPr>
          <w:rFonts w:asciiTheme="majorBidi" w:eastAsia="Times New Roman" w:hAnsiTheme="majorBidi" w:cstheme="majorBidi"/>
          <w:b/>
          <w:bCs/>
          <w:noProof/>
          <w:sz w:val="24"/>
          <w:szCs w:val="24"/>
        </w:rPr>
        <w:lastRenderedPageBreak/>
        <w:t>Figure 9</w:t>
      </w:r>
    </w:p>
    <w:p w14:paraId="45E0D347" w14:textId="77777777" w:rsidR="00EE5072" w:rsidRPr="001F64A9" w:rsidRDefault="00EE5072" w:rsidP="00EE5072">
      <w:pPr>
        <w:rPr>
          <w:rFonts w:asciiTheme="majorBidi" w:eastAsia="Times New Roman" w:hAnsiTheme="majorBidi" w:cstheme="majorBidi"/>
          <w:noProof/>
          <w:sz w:val="24"/>
          <w:szCs w:val="24"/>
        </w:rPr>
      </w:pPr>
      <w:r w:rsidRPr="001F64A9">
        <w:rPr>
          <w:rFonts w:asciiTheme="majorBidi" w:eastAsia="Times New Roman" w:hAnsiTheme="majorBidi" w:cstheme="majorBidi"/>
          <w:i/>
          <w:iCs/>
          <w:sz w:val="24"/>
          <w:szCs w:val="24"/>
        </w:rPr>
        <w:t>The Effects of Informing and Framing Nudge on the Probability to get CPR in Experiment 1c</w:t>
      </w:r>
    </w:p>
    <w:p w14:paraId="5D163052" w14:textId="2D185D94" w:rsidR="00EE5072" w:rsidRPr="001F64A9" w:rsidRDefault="00EE5072" w:rsidP="00EE5072">
      <w:pPr>
        <w:rPr>
          <w:rFonts w:asciiTheme="majorBidi" w:eastAsia="Times New Roman" w:hAnsiTheme="majorBidi" w:cstheme="majorBidi"/>
          <w:sz w:val="24"/>
          <w:szCs w:val="24"/>
        </w:rPr>
      </w:pPr>
      <w:r w:rsidRPr="001F64A9">
        <w:rPr>
          <w:rFonts w:asciiTheme="majorBidi" w:hAnsiTheme="majorBidi" w:cstheme="majorBidi"/>
          <w:noProof/>
        </w:rPr>
        <w:drawing>
          <wp:inline distT="0" distB="0" distL="0" distR="0" wp14:anchorId="4714CDAD" wp14:editId="3A8F78C1">
            <wp:extent cx="5943600" cy="4183380"/>
            <wp:effectExtent l="0" t="0" r="0" b="7620"/>
            <wp:docPr id="1179567464" name="Picture 11"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art, 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183380"/>
                    </a:xfrm>
                    <a:prstGeom prst="rect">
                      <a:avLst/>
                    </a:prstGeom>
                    <a:noFill/>
                    <a:ln>
                      <a:noFill/>
                    </a:ln>
                  </pic:spPr>
                </pic:pic>
              </a:graphicData>
            </a:graphic>
          </wp:inline>
        </w:drawing>
      </w:r>
    </w:p>
    <w:p w14:paraId="37489859" w14:textId="77777777" w:rsidR="00EE5072" w:rsidRPr="001F64A9" w:rsidRDefault="00EE5072" w:rsidP="00EE5072">
      <w:pPr>
        <w:spacing w:before="100" w:beforeAutospacing="1" w:after="100" w:afterAutospacing="1" w:line="480" w:lineRule="auto"/>
        <w:jc w:val="both"/>
        <w:rPr>
          <w:rFonts w:asciiTheme="majorBidi" w:eastAsia="Times New Roman" w:hAnsiTheme="majorBidi" w:cstheme="majorBidi"/>
          <w:sz w:val="24"/>
          <w:szCs w:val="24"/>
        </w:rPr>
      </w:pPr>
    </w:p>
    <w:p w14:paraId="77097102"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br w:type="page"/>
      </w:r>
    </w:p>
    <w:p w14:paraId="40416265" w14:textId="77777777" w:rsidR="00EE5072" w:rsidRPr="001F64A9" w:rsidRDefault="00EE5072" w:rsidP="00EE5072">
      <w:pPr>
        <w:spacing w:line="480" w:lineRule="auto"/>
        <w:jc w:val="both"/>
        <w:rPr>
          <w:rFonts w:asciiTheme="majorBidi" w:hAnsiTheme="majorBidi" w:cstheme="majorBidi"/>
          <w:b/>
          <w:bCs/>
          <w:sz w:val="24"/>
          <w:szCs w:val="24"/>
        </w:rPr>
      </w:pPr>
      <w:r w:rsidRPr="001F64A9">
        <w:rPr>
          <w:rFonts w:asciiTheme="majorBidi" w:hAnsiTheme="majorBidi" w:cstheme="majorBidi"/>
          <w:b/>
          <w:bCs/>
          <w:sz w:val="24"/>
          <w:szCs w:val="24"/>
        </w:rPr>
        <w:lastRenderedPageBreak/>
        <w:t>Figure 10</w:t>
      </w:r>
    </w:p>
    <w:p w14:paraId="2768A285" w14:textId="77777777" w:rsidR="00EE5072" w:rsidRPr="001F64A9" w:rsidRDefault="00EE5072" w:rsidP="00EE5072">
      <w:pPr>
        <w:spacing w:line="480" w:lineRule="auto"/>
        <w:jc w:val="both"/>
        <w:rPr>
          <w:rFonts w:asciiTheme="majorBidi" w:hAnsiTheme="majorBidi" w:cstheme="majorBidi"/>
          <w:i/>
          <w:iCs/>
          <w:sz w:val="24"/>
          <w:szCs w:val="24"/>
        </w:rPr>
      </w:pPr>
      <w:r w:rsidRPr="001F64A9">
        <w:rPr>
          <w:rFonts w:asciiTheme="majorBidi" w:hAnsiTheme="majorBidi" w:cstheme="majorBidi"/>
          <w:i/>
          <w:iCs/>
          <w:sz w:val="24"/>
          <w:szCs w:val="24"/>
        </w:rPr>
        <w:t xml:space="preserve">Comparison of Correlations between EOL Values and DNR Preference across Experimental Conditions </w:t>
      </w:r>
      <w:r w:rsidRPr="001F64A9">
        <w:rPr>
          <w:rFonts w:asciiTheme="majorBidi" w:eastAsia="Times New Roman" w:hAnsiTheme="majorBidi" w:cstheme="majorBidi"/>
          <w:i/>
          <w:iCs/>
          <w:sz w:val="24"/>
          <w:szCs w:val="24"/>
        </w:rPr>
        <w:t>in Experiment 2</w:t>
      </w:r>
    </w:p>
    <w:p w14:paraId="742F9C62" w14:textId="16388457" w:rsidR="00EE5072" w:rsidRPr="001F64A9" w:rsidRDefault="00EE5072" w:rsidP="00EE5072">
      <w:pPr>
        <w:spacing w:line="480" w:lineRule="auto"/>
        <w:jc w:val="both"/>
        <w:rPr>
          <w:rFonts w:asciiTheme="majorBidi" w:hAnsiTheme="majorBidi" w:cstheme="majorBidi"/>
          <w:sz w:val="24"/>
          <w:szCs w:val="24"/>
        </w:rPr>
      </w:pPr>
      <w:r w:rsidRPr="001F64A9">
        <w:rPr>
          <w:rFonts w:asciiTheme="majorBidi" w:hAnsiTheme="majorBidi" w:cstheme="majorBidi"/>
          <w:noProof/>
        </w:rPr>
        <w:drawing>
          <wp:inline distT="0" distB="0" distL="0" distR="0" wp14:anchorId="04233FFE" wp14:editId="33E5E96B">
            <wp:extent cx="5943600" cy="3322320"/>
            <wp:effectExtent l="0" t="0" r="0" b="0"/>
            <wp:docPr id="1938304384" name="Picture 10"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text, screenshot, diagram, fon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322320"/>
                    </a:xfrm>
                    <a:prstGeom prst="rect">
                      <a:avLst/>
                    </a:prstGeom>
                    <a:noFill/>
                    <a:ln>
                      <a:noFill/>
                    </a:ln>
                  </pic:spPr>
                </pic:pic>
              </a:graphicData>
            </a:graphic>
          </wp:inline>
        </w:drawing>
      </w:r>
    </w:p>
    <w:p w14:paraId="618F5429" w14:textId="77777777" w:rsidR="00EE5072" w:rsidRPr="001F64A9" w:rsidRDefault="00EE5072" w:rsidP="00EE5072">
      <w:pPr>
        <w:spacing w:line="480" w:lineRule="auto"/>
        <w:rPr>
          <w:rFonts w:asciiTheme="majorBidi" w:hAnsiTheme="majorBidi" w:cstheme="majorBidi"/>
          <w:sz w:val="24"/>
          <w:szCs w:val="24"/>
        </w:rPr>
      </w:pPr>
      <w:r w:rsidRPr="001F64A9">
        <w:rPr>
          <w:rFonts w:asciiTheme="majorBidi" w:hAnsiTheme="majorBidi" w:cstheme="majorBidi"/>
          <w:i/>
          <w:iCs/>
          <w:sz w:val="20"/>
          <w:szCs w:val="20"/>
        </w:rPr>
        <w:t>Note.</w:t>
      </w:r>
      <w:r w:rsidRPr="001F64A9">
        <w:rPr>
          <w:rFonts w:asciiTheme="majorBidi" w:hAnsiTheme="majorBidi" w:cstheme="majorBidi"/>
          <w:sz w:val="20"/>
          <w:szCs w:val="20"/>
        </w:rPr>
        <w:t xml:space="preserve"> </w:t>
      </w:r>
      <w:r w:rsidRPr="001F64A9">
        <w:rPr>
          <w:rFonts w:asciiTheme="majorBidi" w:hAnsiTheme="majorBidi" w:cstheme="majorBidi"/>
          <w:sz w:val="20"/>
          <w:szCs w:val="20"/>
          <w:vertAlign w:val="superscript"/>
        </w:rPr>
        <w:t>†</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.10, *</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.05.</w:t>
      </w:r>
    </w:p>
    <w:p w14:paraId="529C8CC6" w14:textId="77777777" w:rsidR="00EE5072" w:rsidRPr="001F64A9" w:rsidRDefault="00EE5072" w:rsidP="00EE5072">
      <w:pPr>
        <w:spacing w:line="480" w:lineRule="auto"/>
        <w:jc w:val="both"/>
        <w:rPr>
          <w:rFonts w:asciiTheme="majorBidi" w:hAnsiTheme="majorBidi" w:cstheme="majorBidi"/>
          <w:sz w:val="20"/>
          <w:szCs w:val="20"/>
        </w:rPr>
      </w:pPr>
    </w:p>
    <w:p w14:paraId="5AD166A3"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br w:type="page"/>
      </w:r>
    </w:p>
    <w:p w14:paraId="2E5B6BD5" w14:textId="77777777" w:rsidR="00EE5072" w:rsidRPr="001F64A9" w:rsidRDefault="00EE5072" w:rsidP="00EE5072">
      <w:pPr>
        <w:spacing w:line="480" w:lineRule="auto"/>
        <w:jc w:val="both"/>
        <w:rPr>
          <w:rFonts w:asciiTheme="majorBidi" w:hAnsiTheme="majorBidi" w:cstheme="majorBidi"/>
          <w:b/>
          <w:bCs/>
          <w:sz w:val="24"/>
          <w:szCs w:val="24"/>
        </w:rPr>
      </w:pPr>
      <w:r w:rsidRPr="001F64A9">
        <w:rPr>
          <w:rFonts w:asciiTheme="majorBidi" w:hAnsiTheme="majorBidi" w:cstheme="majorBidi"/>
          <w:b/>
          <w:bCs/>
          <w:sz w:val="24"/>
          <w:szCs w:val="24"/>
        </w:rPr>
        <w:lastRenderedPageBreak/>
        <w:t>Figure 11</w:t>
      </w:r>
    </w:p>
    <w:p w14:paraId="0444A472" w14:textId="77777777" w:rsidR="00EE5072" w:rsidRPr="001F64A9" w:rsidRDefault="00EE5072" w:rsidP="00EE5072">
      <w:pPr>
        <w:spacing w:line="480" w:lineRule="auto"/>
        <w:jc w:val="both"/>
        <w:rPr>
          <w:rFonts w:asciiTheme="majorBidi" w:hAnsiTheme="majorBidi" w:cstheme="majorBidi"/>
          <w:i/>
          <w:iCs/>
          <w:sz w:val="24"/>
          <w:szCs w:val="24"/>
        </w:rPr>
      </w:pPr>
      <w:r w:rsidRPr="001F64A9">
        <w:rPr>
          <w:rFonts w:asciiTheme="majorBidi" w:hAnsiTheme="majorBidi" w:cstheme="majorBidi"/>
          <w:i/>
          <w:iCs/>
          <w:sz w:val="24"/>
          <w:szCs w:val="24"/>
        </w:rPr>
        <w:t xml:space="preserve">Comparison of Correlations between EOL Values and CPR Preference across Experimental Conditions </w:t>
      </w:r>
      <w:r w:rsidRPr="001F64A9">
        <w:rPr>
          <w:rFonts w:asciiTheme="majorBidi" w:eastAsia="Times New Roman" w:hAnsiTheme="majorBidi" w:cstheme="majorBidi"/>
          <w:i/>
          <w:iCs/>
          <w:sz w:val="24"/>
          <w:szCs w:val="24"/>
        </w:rPr>
        <w:t>in Experiment 2</w:t>
      </w:r>
    </w:p>
    <w:p w14:paraId="586569A0" w14:textId="2F41BD6C" w:rsidR="00EE5072" w:rsidRPr="001F64A9" w:rsidRDefault="00EE5072" w:rsidP="00EE5072">
      <w:pPr>
        <w:spacing w:line="480" w:lineRule="auto"/>
        <w:jc w:val="both"/>
        <w:rPr>
          <w:rFonts w:asciiTheme="majorBidi" w:hAnsiTheme="majorBidi" w:cstheme="majorBidi"/>
          <w:sz w:val="24"/>
          <w:szCs w:val="24"/>
        </w:rPr>
      </w:pPr>
      <w:r w:rsidRPr="001F64A9">
        <w:rPr>
          <w:rFonts w:asciiTheme="majorBidi" w:hAnsiTheme="majorBidi" w:cstheme="majorBidi"/>
          <w:noProof/>
        </w:rPr>
        <w:drawing>
          <wp:inline distT="0" distB="0" distL="0" distR="0" wp14:anchorId="575A9417" wp14:editId="05948F15">
            <wp:extent cx="5935980" cy="3139440"/>
            <wp:effectExtent l="0" t="0" r="7620" b="3810"/>
            <wp:docPr id="1463241749" name="Picture 9"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 screenshot, diagram, fon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5980" cy="3139440"/>
                    </a:xfrm>
                    <a:prstGeom prst="rect">
                      <a:avLst/>
                    </a:prstGeom>
                    <a:noFill/>
                    <a:ln>
                      <a:noFill/>
                    </a:ln>
                  </pic:spPr>
                </pic:pic>
              </a:graphicData>
            </a:graphic>
          </wp:inline>
        </w:drawing>
      </w:r>
    </w:p>
    <w:p w14:paraId="45921284" w14:textId="77777777" w:rsidR="00EE5072" w:rsidRPr="001F64A9" w:rsidRDefault="00EE5072" w:rsidP="00EE5072">
      <w:pPr>
        <w:spacing w:line="480" w:lineRule="auto"/>
        <w:rPr>
          <w:rFonts w:asciiTheme="majorBidi" w:hAnsiTheme="majorBidi" w:cstheme="majorBidi"/>
          <w:sz w:val="24"/>
          <w:szCs w:val="24"/>
        </w:rPr>
      </w:pPr>
      <w:r w:rsidRPr="001F64A9">
        <w:rPr>
          <w:rFonts w:asciiTheme="majorBidi" w:hAnsiTheme="majorBidi" w:cstheme="majorBidi"/>
          <w:i/>
          <w:iCs/>
          <w:sz w:val="20"/>
          <w:szCs w:val="20"/>
        </w:rPr>
        <w:t>Note.</w:t>
      </w:r>
      <w:r w:rsidRPr="001F64A9">
        <w:rPr>
          <w:rFonts w:asciiTheme="majorBidi" w:hAnsiTheme="majorBidi" w:cstheme="majorBidi"/>
          <w:sz w:val="20"/>
          <w:szCs w:val="20"/>
        </w:rPr>
        <w:t xml:space="preserve"> </w:t>
      </w:r>
      <w:r w:rsidRPr="001F64A9">
        <w:rPr>
          <w:rFonts w:asciiTheme="majorBidi" w:hAnsiTheme="majorBidi" w:cstheme="majorBidi"/>
          <w:sz w:val="20"/>
          <w:szCs w:val="20"/>
          <w:vertAlign w:val="superscript"/>
        </w:rPr>
        <w:t>†</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.10, *</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.05.</w:t>
      </w:r>
    </w:p>
    <w:p w14:paraId="0FDD214E"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br w:type="page"/>
      </w:r>
    </w:p>
    <w:p w14:paraId="31536E86" w14:textId="77777777" w:rsidR="00EE5072" w:rsidRPr="001F64A9" w:rsidRDefault="00EE5072" w:rsidP="00EE5072">
      <w:pPr>
        <w:spacing w:line="360" w:lineRule="auto"/>
        <w:rPr>
          <w:rFonts w:asciiTheme="majorBidi" w:hAnsiTheme="majorBidi" w:cstheme="majorBidi"/>
          <w:b/>
          <w:bCs/>
          <w:sz w:val="24"/>
          <w:szCs w:val="24"/>
        </w:rPr>
      </w:pPr>
      <w:r w:rsidRPr="001F64A9">
        <w:rPr>
          <w:rFonts w:asciiTheme="majorBidi" w:hAnsiTheme="majorBidi" w:cstheme="majorBidi"/>
          <w:b/>
          <w:bCs/>
          <w:sz w:val="24"/>
          <w:szCs w:val="24"/>
        </w:rPr>
        <w:lastRenderedPageBreak/>
        <w:t>Figure 12</w:t>
      </w:r>
    </w:p>
    <w:p w14:paraId="68C3E591" w14:textId="77777777" w:rsidR="00EE5072" w:rsidRPr="001F64A9" w:rsidRDefault="00EE5072" w:rsidP="00EE5072">
      <w:pPr>
        <w:spacing w:line="360" w:lineRule="auto"/>
        <w:rPr>
          <w:rFonts w:asciiTheme="majorBidi" w:hAnsiTheme="majorBidi" w:cstheme="majorBidi"/>
          <w:i/>
          <w:iCs/>
          <w:sz w:val="24"/>
          <w:szCs w:val="24"/>
        </w:rPr>
      </w:pPr>
      <w:r w:rsidRPr="001F64A9">
        <w:rPr>
          <w:rFonts w:asciiTheme="majorBidi" w:hAnsiTheme="majorBidi" w:cstheme="majorBidi"/>
          <w:i/>
          <w:iCs/>
          <w:sz w:val="24"/>
          <w:szCs w:val="24"/>
        </w:rPr>
        <w:t xml:space="preserve">DNR Knowledge Before and After Across Interventions </w:t>
      </w:r>
      <w:r w:rsidRPr="001F64A9">
        <w:rPr>
          <w:rFonts w:asciiTheme="majorBidi" w:eastAsia="Times New Roman" w:hAnsiTheme="majorBidi" w:cstheme="majorBidi"/>
          <w:i/>
          <w:iCs/>
          <w:sz w:val="24"/>
          <w:szCs w:val="24"/>
        </w:rPr>
        <w:t>in Experiment 2</w:t>
      </w:r>
    </w:p>
    <w:p w14:paraId="3E4AD22E" w14:textId="2E487153" w:rsidR="00EE5072" w:rsidRPr="001F64A9" w:rsidRDefault="00EE5072" w:rsidP="00EE5072">
      <w:pPr>
        <w:spacing w:line="360" w:lineRule="auto"/>
        <w:rPr>
          <w:rFonts w:asciiTheme="majorBidi" w:hAnsiTheme="majorBidi" w:cstheme="majorBidi"/>
          <w:b/>
          <w:bCs/>
          <w:sz w:val="24"/>
          <w:szCs w:val="24"/>
        </w:rPr>
      </w:pPr>
      <w:r w:rsidRPr="001F64A9">
        <w:rPr>
          <w:rFonts w:asciiTheme="majorBidi" w:hAnsiTheme="majorBidi" w:cstheme="majorBidi"/>
          <w:noProof/>
        </w:rPr>
        <w:drawing>
          <wp:inline distT="0" distB="0" distL="0" distR="0" wp14:anchorId="48F025A0" wp14:editId="06765DA1">
            <wp:extent cx="5785104" cy="3893820"/>
            <wp:effectExtent l="0" t="0" r="6350" b="0"/>
            <wp:docPr id="992798929" name="Picture 8" descr="A picture containing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icture containing diagram, line, plo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87802" cy="3895636"/>
                    </a:xfrm>
                    <a:prstGeom prst="rect">
                      <a:avLst/>
                    </a:prstGeom>
                    <a:noFill/>
                    <a:ln>
                      <a:noFill/>
                    </a:ln>
                  </pic:spPr>
                </pic:pic>
              </a:graphicData>
            </a:graphic>
          </wp:inline>
        </w:drawing>
      </w:r>
    </w:p>
    <w:p w14:paraId="576DF4C5" w14:textId="77777777" w:rsidR="00EE5072" w:rsidRPr="001F64A9" w:rsidRDefault="00EE5072" w:rsidP="00EE5072">
      <w:pPr>
        <w:rPr>
          <w:rFonts w:asciiTheme="majorBidi" w:hAnsiTheme="majorBidi" w:cstheme="majorBidi"/>
          <w:i/>
          <w:iCs/>
          <w:sz w:val="24"/>
          <w:szCs w:val="24"/>
        </w:rPr>
      </w:pPr>
      <w:r w:rsidRPr="001F64A9">
        <w:rPr>
          <w:rFonts w:asciiTheme="majorBidi" w:hAnsiTheme="majorBidi" w:cstheme="majorBidi"/>
          <w:i/>
          <w:iCs/>
          <w:sz w:val="24"/>
          <w:szCs w:val="24"/>
        </w:rPr>
        <w:br w:type="page"/>
      </w:r>
    </w:p>
    <w:p w14:paraId="3053FD0A"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lastRenderedPageBreak/>
        <w:t>Figure 13</w:t>
      </w:r>
    </w:p>
    <w:p w14:paraId="211F2973" w14:textId="77777777" w:rsidR="00EE5072" w:rsidRPr="001F64A9" w:rsidRDefault="00EE5072" w:rsidP="00EE5072">
      <w:pPr>
        <w:rPr>
          <w:rFonts w:asciiTheme="majorBidi" w:hAnsiTheme="majorBidi" w:cstheme="majorBidi"/>
          <w:i/>
          <w:iCs/>
          <w:sz w:val="24"/>
          <w:szCs w:val="24"/>
        </w:rPr>
      </w:pPr>
      <w:r w:rsidRPr="001F64A9">
        <w:rPr>
          <w:rFonts w:asciiTheme="majorBidi" w:hAnsiTheme="majorBidi" w:cstheme="majorBidi"/>
          <w:i/>
          <w:iCs/>
          <w:sz w:val="24"/>
          <w:szCs w:val="24"/>
        </w:rPr>
        <w:t xml:space="preserve">Mediational Model for DNR Preference </w:t>
      </w:r>
      <w:r w:rsidRPr="001F64A9">
        <w:rPr>
          <w:rFonts w:asciiTheme="majorBidi" w:eastAsia="Times New Roman" w:hAnsiTheme="majorBidi" w:cstheme="majorBidi"/>
          <w:i/>
          <w:iCs/>
          <w:sz w:val="24"/>
          <w:szCs w:val="24"/>
        </w:rPr>
        <w:t>in Experiment 2</w:t>
      </w:r>
    </w:p>
    <w:p w14:paraId="4385D8D3" w14:textId="7C788580" w:rsidR="00EE5072" w:rsidRPr="001F64A9" w:rsidRDefault="00EE5072" w:rsidP="00B92B85">
      <w:pPr>
        <w:rPr>
          <w:rFonts w:asciiTheme="majorBidi" w:hAnsiTheme="majorBidi" w:cstheme="majorBidi"/>
          <w:i/>
          <w:iCs/>
          <w:sz w:val="24"/>
          <w:szCs w:val="24"/>
        </w:rPr>
      </w:pPr>
      <w:r w:rsidRPr="001F64A9">
        <w:rPr>
          <w:rFonts w:asciiTheme="majorBidi" w:hAnsiTheme="majorBidi" w:cstheme="majorBidi"/>
          <w:noProof/>
        </w:rPr>
        <w:drawing>
          <wp:inline distT="0" distB="0" distL="0" distR="0" wp14:anchorId="3FE03AD9" wp14:editId="006B9C0A">
            <wp:extent cx="5814060" cy="3515255"/>
            <wp:effectExtent l="0" t="0" r="0" b="9525"/>
            <wp:docPr id="1201549443"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agram&#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3889" cy="3533290"/>
                    </a:xfrm>
                    <a:prstGeom prst="rect">
                      <a:avLst/>
                    </a:prstGeom>
                    <a:noFill/>
                    <a:ln>
                      <a:noFill/>
                    </a:ln>
                  </pic:spPr>
                </pic:pic>
              </a:graphicData>
            </a:graphic>
          </wp:inline>
        </w:drawing>
      </w:r>
    </w:p>
    <w:p w14:paraId="00DBEB67" w14:textId="77777777" w:rsidR="00EE5072" w:rsidRPr="001F64A9" w:rsidRDefault="00EE5072" w:rsidP="00EE5072">
      <w:pPr>
        <w:rPr>
          <w:rFonts w:asciiTheme="majorBidi" w:hAnsiTheme="majorBidi" w:cstheme="majorBidi"/>
          <w:i/>
          <w:iCs/>
          <w:sz w:val="24"/>
          <w:szCs w:val="24"/>
        </w:rPr>
      </w:pPr>
      <w:r w:rsidRPr="001F64A9">
        <w:rPr>
          <w:rFonts w:asciiTheme="majorBidi" w:hAnsiTheme="majorBidi" w:cstheme="majorBidi"/>
          <w:i/>
          <w:iCs/>
          <w:sz w:val="20"/>
          <w:szCs w:val="20"/>
        </w:rPr>
        <w:t>Note.</w:t>
      </w:r>
      <w:r w:rsidRPr="001F64A9">
        <w:rPr>
          <w:rFonts w:asciiTheme="majorBidi" w:hAnsiTheme="majorBidi" w:cstheme="majorBidi"/>
          <w:sz w:val="20"/>
          <w:szCs w:val="20"/>
        </w:rPr>
        <w:t xml:space="preserve">  ** </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.01, *** </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.001.</w:t>
      </w:r>
    </w:p>
    <w:p w14:paraId="0FE26C3E"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br w:type="page"/>
      </w:r>
    </w:p>
    <w:p w14:paraId="7C5F453C" w14:textId="77777777" w:rsidR="00EE5072" w:rsidRPr="001F64A9" w:rsidRDefault="00EE5072" w:rsidP="00EE5072">
      <w:pPr>
        <w:spacing w:line="360" w:lineRule="auto"/>
        <w:rPr>
          <w:rFonts w:asciiTheme="majorBidi" w:hAnsiTheme="majorBidi" w:cstheme="majorBidi"/>
          <w:b/>
          <w:bCs/>
          <w:sz w:val="24"/>
          <w:szCs w:val="24"/>
        </w:rPr>
      </w:pPr>
      <w:r w:rsidRPr="001F64A9">
        <w:rPr>
          <w:rFonts w:asciiTheme="majorBidi" w:hAnsiTheme="majorBidi" w:cstheme="majorBidi"/>
          <w:b/>
          <w:bCs/>
          <w:sz w:val="24"/>
          <w:szCs w:val="24"/>
        </w:rPr>
        <w:lastRenderedPageBreak/>
        <w:t>Figure 14</w:t>
      </w:r>
    </w:p>
    <w:p w14:paraId="6DF01BC6" w14:textId="77777777" w:rsidR="00EE5072" w:rsidRPr="001F64A9" w:rsidRDefault="00EE5072" w:rsidP="00EE5072">
      <w:pPr>
        <w:rPr>
          <w:rFonts w:asciiTheme="majorBidi" w:hAnsiTheme="majorBidi" w:cstheme="majorBidi"/>
          <w:i/>
          <w:iCs/>
          <w:sz w:val="24"/>
          <w:szCs w:val="24"/>
        </w:rPr>
      </w:pPr>
      <w:r w:rsidRPr="001F64A9">
        <w:rPr>
          <w:rFonts w:asciiTheme="majorBidi" w:hAnsiTheme="majorBidi" w:cstheme="majorBidi"/>
          <w:i/>
          <w:iCs/>
          <w:sz w:val="24"/>
          <w:szCs w:val="24"/>
        </w:rPr>
        <w:t xml:space="preserve">Mediational Model for CPR Preference </w:t>
      </w:r>
      <w:r w:rsidRPr="001F64A9">
        <w:rPr>
          <w:rFonts w:asciiTheme="majorBidi" w:eastAsia="Times New Roman" w:hAnsiTheme="majorBidi" w:cstheme="majorBidi"/>
          <w:i/>
          <w:iCs/>
          <w:sz w:val="24"/>
          <w:szCs w:val="24"/>
        </w:rPr>
        <w:t>in Experiment 2</w:t>
      </w:r>
    </w:p>
    <w:p w14:paraId="2F665EA9" w14:textId="701D9FC9" w:rsidR="00EE5072" w:rsidRPr="001F64A9" w:rsidRDefault="00EE5072" w:rsidP="00B92B85">
      <w:pPr>
        <w:rPr>
          <w:rFonts w:asciiTheme="majorBidi" w:hAnsiTheme="majorBidi" w:cstheme="majorBidi"/>
          <w:sz w:val="24"/>
          <w:szCs w:val="24"/>
        </w:rPr>
      </w:pPr>
      <w:r w:rsidRPr="001F64A9">
        <w:rPr>
          <w:rFonts w:asciiTheme="majorBidi" w:hAnsiTheme="majorBidi" w:cstheme="majorBidi"/>
          <w:noProof/>
        </w:rPr>
        <w:drawing>
          <wp:inline distT="0" distB="0" distL="0" distR="0" wp14:anchorId="183E7ADD" wp14:editId="466EF579">
            <wp:extent cx="5730240" cy="3480447"/>
            <wp:effectExtent l="0" t="0" r="3810" b="5715"/>
            <wp:docPr id="788545459"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71651" cy="3505599"/>
                    </a:xfrm>
                    <a:prstGeom prst="rect">
                      <a:avLst/>
                    </a:prstGeom>
                    <a:noFill/>
                    <a:ln>
                      <a:noFill/>
                    </a:ln>
                  </pic:spPr>
                </pic:pic>
              </a:graphicData>
            </a:graphic>
          </wp:inline>
        </w:drawing>
      </w:r>
    </w:p>
    <w:p w14:paraId="054A4A3F" w14:textId="77777777" w:rsidR="00EE5072" w:rsidRPr="001F64A9" w:rsidRDefault="00EE5072" w:rsidP="00EE5072">
      <w:pPr>
        <w:rPr>
          <w:rFonts w:asciiTheme="majorBidi" w:hAnsiTheme="majorBidi" w:cstheme="majorBidi"/>
          <w:sz w:val="20"/>
          <w:szCs w:val="20"/>
        </w:rPr>
      </w:pPr>
      <w:r w:rsidRPr="001F64A9">
        <w:rPr>
          <w:rFonts w:asciiTheme="majorBidi" w:hAnsiTheme="majorBidi" w:cstheme="majorBidi"/>
          <w:i/>
          <w:iCs/>
          <w:sz w:val="20"/>
          <w:szCs w:val="20"/>
        </w:rPr>
        <w:t>Note.</w:t>
      </w:r>
      <w:r w:rsidRPr="001F64A9">
        <w:rPr>
          <w:rFonts w:asciiTheme="majorBidi" w:hAnsiTheme="majorBidi" w:cstheme="majorBidi"/>
          <w:sz w:val="20"/>
          <w:szCs w:val="20"/>
        </w:rPr>
        <w:t xml:space="preserve"> </w:t>
      </w:r>
      <w:r w:rsidRPr="001F64A9">
        <w:rPr>
          <w:rFonts w:asciiTheme="majorBidi" w:hAnsiTheme="majorBidi" w:cstheme="majorBidi"/>
          <w:sz w:val="20"/>
          <w:szCs w:val="20"/>
          <w:vertAlign w:val="superscript"/>
        </w:rPr>
        <w:t>†</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.10, * </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.05, ** </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.01, *** </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.001. </w:t>
      </w:r>
    </w:p>
    <w:p w14:paraId="0E0F05FE" w14:textId="77777777" w:rsidR="00EE5072" w:rsidRPr="001F64A9" w:rsidRDefault="00EE5072" w:rsidP="00EE5072">
      <w:pPr>
        <w:rPr>
          <w:rFonts w:asciiTheme="majorBidi" w:hAnsiTheme="majorBidi" w:cstheme="majorBidi"/>
          <w:sz w:val="24"/>
          <w:szCs w:val="24"/>
        </w:rPr>
      </w:pPr>
      <w:r w:rsidRPr="001F64A9">
        <w:rPr>
          <w:rFonts w:asciiTheme="majorBidi" w:hAnsiTheme="majorBidi" w:cstheme="majorBidi"/>
          <w:sz w:val="24"/>
          <w:szCs w:val="24"/>
        </w:rPr>
        <w:br w:type="page"/>
      </w:r>
    </w:p>
    <w:p w14:paraId="7165901A" w14:textId="77777777" w:rsidR="00EE5072" w:rsidRPr="001F64A9" w:rsidRDefault="00EE5072" w:rsidP="00EE5072">
      <w:pPr>
        <w:spacing w:line="360" w:lineRule="auto"/>
        <w:rPr>
          <w:rFonts w:asciiTheme="majorBidi" w:hAnsiTheme="majorBidi" w:cstheme="majorBidi"/>
          <w:b/>
          <w:bCs/>
          <w:sz w:val="24"/>
          <w:szCs w:val="24"/>
        </w:rPr>
      </w:pPr>
      <w:r w:rsidRPr="001F64A9">
        <w:rPr>
          <w:rFonts w:asciiTheme="majorBidi" w:hAnsiTheme="majorBidi" w:cstheme="majorBidi"/>
          <w:b/>
          <w:bCs/>
          <w:sz w:val="24"/>
          <w:szCs w:val="24"/>
        </w:rPr>
        <w:lastRenderedPageBreak/>
        <w:t>Figure 15</w:t>
      </w:r>
    </w:p>
    <w:p w14:paraId="60562370" w14:textId="77777777" w:rsidR="00EE5072" w:rsidRPr="001F64A9" w:rsidRDefault="00EE5072" w:rsidP="00EE5072">
      <w:pPr>
        <w:spacing w:line="360" w:lineRule="auto"/>
        <w:rPr>
          <w:rFonts w:asciiTheme="majorBidi" w:hAnsiTheme="majorBidi" w:cstheme="majorBidi"/>
          <w:i/>
          <w:iCs/>
          <w:sz w:val="24"/>
          <w:szCs w:val="24"/>
        </w:rPr>
      </w:pPr>
      <w:r w:rsidRPr="001F64A9">
        <w:rPr>
          <w:rFonts w:asciiTheme="majorBidi" w:hAnsiTheme="majorBidi" w:cstheme="majorBidi"/>
          <w:i/>
          <w:iCs/>
          <w:sz w:val="24"/>
          <w:szCs w:val="24"/>
        </w:rPr>
        <w:t xml:space="preserve">Attitude Toward DNR Before and After Across Interventions </w:t>
      </w:r>
      <w:r w:rsidRPr="001F64A9">
        <w:rPr>
          <w:rFonts w:asciiTheme="majorBidi" w:eastAsia="Times New Roman" w:hAnsiTheme="majorBidi" w:cstheme="majorBidi"/>
          <w:i/>
          <w:iCs/>
          <w:sz w:val="24"/>
          <w:szCs w:val="24"/>
        </w:rPr>
        <w:t>in Experiment 2</w:t>
      </w:r>
    </w:p>
    <w:p w14:paraId="639A7267" w14:textId="1FBF2DA7" w:rsidR="00EE5072" w:rsidRPr="001F64A9" w:rsidRDefault="00EE5072" w:rsidP="00EE5072">
      <w:pPr>
        <w:rPr>
          <w:rFonts w:asciiTheme="majorBidi" w:eastAsia="Times New Roman" w:hAnsiTheme="majorBidi" w:cstheme="majorBidi"/>
          <w:b/>
          <w:bCs/>
          <w:sz w:val="24"/>
          <w:szCs w:val="24"/>
        </w:rPr>
      </w:pPr>
      <w:r w:rsidRPr="001F64A9">
        <w:rPr>
          <w:rFonts w:asciiTheme="majorBidi" w:hAnsiTheme="majorBidi" w:cstheme="majorBidi"/>
          <w:noProof/>
        </w:rPr>
        <w:drawing>
          <wp:inline distT="0" distB="0" distL="0" distR="0" wp14:anchorId="2FFC3692" wp14:editId="4299E5E2">
            <wp:extent cx="5897880" cy="4030217"/>
            <wp:effectExtent l="0" t="0" r="7620" b="8890"/>
            <wp:docPr id="1373518405" name="Picture 5" descr="A picture containing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icture containing diagram, lin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15471" cy="4042238"/>
                    </a:xfrm>
                    <a:prstGeom prst="rect">
                      <a:avLst/>
                    </a:prstGeom>
                    <a:noFill/>
                    <a:ln>
                      <a:noFill/>
                    </a:ln>
                  </pic:spPr>
                </pic:pic>
              </a:graphicData>
            </a:graphic>
          </wp:inline>
        </w:drawing>
      </w:r>
      <w:r w:rsidRPr="001F64A9">
        <w:rPr>
          <w:rFonts w:asciiTheme="majorBidi" w:eastAsia="Times New Roman" w:hAnsiTheme="majorBidi" w:cstheme="majorBidi"/>
          <w:b/>
          <w:bCs/>
          <w:sz w:val="24"/>
          <w:szCs w:val="24"/>
        </w:rPr>
        <w:t xml:space="preserve"> </w:t>
      </w:r>
      <w:r w:rsidRPr="001F64A9">
        <w:rPr>
          <w:rFonts w:asciiTheme="majorBidi" w:eastAsia="Times New Roman" w:hAnsiTheme="majorBidi" w:cstheme="majorBidi"/>
          <w:b/>
          <w:bCs/>
          <w:sz w:val="24"/>
          <w:szCs w:val="24"/>
        </w:rPr>
        <w:br w:type="page"/>
      </w:r>
    </w:p>
    <w:p w14:paraId="3723B6C8" w14:textId="77777777" w:rsidR="00EE5072" w:rsidRPr="001F64A9" w:rsidRDefault="00EE5072" w:rsidP="00EE5072">
      <w:pPr>
        <w:spacing w:line="360" w:lineRule="auto"/>
        <w:rPr>
          <w:rFonts w:asciiTheme="majorBidi" w:hAnsiTheme="majorBidi" w:cstheme="majorBidi"/>
          <w:b/>
          <w:bCs/>
          <w:sz w:val="24"/>
          <w:szCs w:val="24"/>
        </w:rPr>
      </w:pPr>
      <w:r w:rsidRPr="001F64A9">
        <w:rPr>
          <w:rFonts w:asciiTheme="majorBidi" w:hAnsiTheme="majorBidi" w:cstheme="majorBidi"/>
          <w:b/>
          <w:bCs/>
          <w:sz w:val="24"/>
          <w:szCs w:val="24"/>
        </w:rPr>
        <w:lastRenderedPageBreak/>
        <w:t>Figure 16</w:t>
      </w:r>
    </w:p>
    <w:p w14:paraId="7027D691" w14:textId="77777777" w:rsidR="00EE5072" w:rsidRPr="001F64A9" w:rsidRDefault="00EE5072" w:rsidP="00EE5072">
      <w:pPr>
        <w:spacing w:line="360" w:lineRule="auto"/>
        <w:rPr>
          <w:rFonts w:asciiTheme="majorBidi" w:hAnsiTheme="majorBidi" w:cstheme="majorBidi"/>
          <w:i/>
          <w:iCs/>
          <w:sz w:val="24"/>
          <w:szCs w:val="24"/>
        </w:rPr>
      </w:pPr>
      <w:r w:rsidRPr="001F64A9">
        <w:rPr>
          <w:rFonts w:asciiTheme="majorBidi" w:hAnsiTheme="majorBidi" w:cstheme="majorBidi"/>
          <w:i/>
          <w:iCs/>
          <w:sz w:val="24"/>
          <w:szCs w:val="24"/>
        </w:rPr>
        <w:t xml:space="preserve">Attitude Toward CPR Before and After Across Interventions </w:t>
      </w:r>
      <w:r w:rsidRPr="001F64A9">
        <w:rPr>
          <w:rFonts w:asciiTheme="majorBidi" w:eastAsia="Times New Roman" w:hAnsiTheme="majorBidi" w:cstheme="majorBidi"/>
          <w:i/>
          <w:iCs/>
          <w:sz w:val="24"/>
          <w:szCs w:val="24"/>
        </w:rPr>
        <w:t>in Experiment 2</w:t>
      </w:r>
    </w:p>
    <w:p w14:paraId="435F768E" w14:textId="459548B1" w:rsidR="00EE5072" w:rsidRPr="001F64A9" w:rsidRDefault="00EE5072" w:rsidP="00EE5072">
      <w:pPr>
        <w:rPr>
          <w:rFonts w:asciiTheme="majorBidi" w:eastAsia="Times New Roman" w:hAnsiTheme="majorBidi" w:cstheme="majorBidi"/>
          <w:b/>
          <w:bCs/>
          <w:sz w:val="24"/>
          <w:szCs w:val="24"/>
        </w:rPr>
      </w:pPr>
      <w:r w:rsidRPr="001F64A9">
        <w:rPr>
          <w:rFonts w:asciiTheme="majorBidi" w:hAnsiTheme="majorBidi" w:cstheme="majorBidi"/>
          <w:noProof/>
        </w:rPr>
        <w:drawing>
          <wp:inline distT="0" distB="0" distL="0" distR="0" wp14:anchorId="79C6410C" wp14:editId="131B80DE">
            <wp:extent cx="5875020" cy="3992001"/>
            <wp:effectExtent l="0" t="0" r="0" b="8890"/>
            <wp:docPr id="761522322" name="Picture 4" descr="A picture containing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diagram, line, plo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94846" cy="4005472"/>
                    </a:xfrm>
                    <a:prstGeom prst="rect">
                      <a:avLst/>
                    </a:prstGeom>
                    <a:noFill/>
                    <a:ln>
                      <a:noFill/>
                    </a:ln>
                  </pic:spPr>
                </pic:pic>
              </a:graphicData>
            </a:graphic>
          </wp:inline>
        </w:drawing>
      </w:r>
      <w:r w:rsidRPr="001F64A9">
        <w:rPr>
          <w:rFonts w:asciiTheme="majorBidi" w:eastAsia="Times New Roman" w:hAnsiTheme="majorBidi" w:cstheme="majorBidi"/>
          <w:b/>
          <w:bCs/>
          <w:sz w:val="24"/>
          <w:szCs w:val="24"/>
        </w:rPr>
        <w:t xml:space="preserve"> </w:t>
      </w:r>
      <w:r w:rsidRPr="001F64A9">
        <w:rPr>
          <w:rFonts w:asciiTheme="majorBidi" w:eastAsia="Times New Roman" w:hAnsiTheme="majorBidi" w:cstheme="majorBidi"/>
          <w:b/>
          <w:bCs/>
          <w:sz w:val="24"/>
          <w:szCs w:val="24"/>
        </w:rPr>
        <w:br w:type="page"/>
      </w:r>
    </w:p>
    <w:p w14:paraId="4054056B" w14:textId="77777777" w:rsidR="00EE5072" w:rsidRPr="001F64A9" w:rsidRDefault="00EE5072" w:rsidP="00EE5072">
      <w:pPr>
        <w:rPr>
          <w:rFonts w:asciiTheme="majorBidi" w:eastAsia="Times New Roman" w:hAnsiTheme="majorBidi" w:cstheme="majorBidi"/>
          <w:b/>
          <w:sz w:val="24"/>
          <w:szCs w:val="24"/>
        </w:rPr>
      </w:pPr>
      <w:r w:rsidRPr="001F64A9">
        <w:rPr>
          <w:rFonts w:asciiTheme="majorBidi" w:eastAsia="Times New Roman" w:hAnsiTheme="majorBidi" w:cstheme="majorBidi"/>
          <w:b/>
          <w:sz w:val="24"/>
          <w:szCs w:val="24"/>
        </w:rPr>
        <w:lastRenderedPageBreak/>
        <w:t>Figure 17</w:t>
      </w:r>
    </w:p>
    <w:p w14:paraId="7260BFEC" w14:textId="77777777" w:rsidR="00EE5072" w:rsidRPr="001F64A9" w:rsidRDefault="00EE5072" w:rsidP="00EE5072">
      <w:pPr>
        <w:rPr>
          <w:rFonts w:asciiTheme="majorBidi" w:eastAsia="Times New Roman" w:hAnsiTheme="majorBidi" w:cstheme="majorBidi"/>
          <w:bCs/>
          <w:i/>
          <w:iCs/>
          <w:sz w:val="24"/>
          <w:szCs w:val="24"/>
        </w:rPr>
      </w:pPr>
      <w:r w:rsidRPr="001F64A9">
        <w:rPr>
          <w:rFonts w:asciiTheme="majorBidi" w:eastAsia="Times New Roman" w:hAnsiTheme="majorBidi" w:cstheme="majorBidi"/>
          <w:bCs/>
          <w:i/>
          <w:iCs/>
          <w:sz w:val="24"/>
          <w:szCs w:val="24"/>
        </w:rPr>
        <w:t>Item Characteristics Curve of DNR Knowledge Scale in Experiment 2</w:t>
      </w:r>
    </w:p>
    <w:p w14:paraId="04AFA9B6" w14:textId="6FDA45AD" w:rsidR="00EE5072" w:rsidRPr="001F64A9" w:rsidRDefault="00EE5072" w:rsidP="00EE5072">
      <w:pPr>
        <w:rPr>
          <w:rFonts w:asciiTheme="majorBidi" w:eastAsia="Times New Roman" w:hAnsiTheme="majorBidi" w:cstheme="majorBidi"/>
          <w:b/>
          <w:sz w:val="24"/>
          <w:szCs w:val="24"/>
        </w:rPr>
      </w:pPr>
      <w:r w:rsidRPr="001F64A9">
        <w:rPr>
          <w:rFonts w:asciiTheme="majorBidi" w:eastAsia="Times New Roman" w:hAnsiTheme="majorBidi" w:cstheme="majorBidi"/>
          <w:b/>
          <w:noProof/>
          <w:sz w:val="24"/>
          <w:szCs w:val="24"/>
        </w:rPr>
        <w:drawing>
          <wp:inline distT="0" distB="0" distL="0" distR="0" wp14:anchorId="45BA6A89" wp14:editId="43A1980F">
            <wp:extent cx="5920740" cy="4027432"/>
            <wp:effectExtent l="0" t="0" r="3810" b="0"/>
            <wp:docPr id="1351319714" name="Picture 3"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964776" descr="A picture containing text, diagram, line, plo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3378" cy="4036029"/>
                    </a:xfrm>
                    <a:prstGeom prst="rect">
                      <a:avLst/>
                    </a:prstGeom>
                    <a:noFill/>
                    <a:ln>
                      <a:noFill/>
                    </a:ln>
                  </pic:spPr>
                </pic:pic>
              </a:graphicData>
            </a:graphic>
          </wp:inline>
        </w:drawing>
      </w:r>
    </w:p>
    <w:p w14:paraId="620E7106" w14:textId="77777777" w:rsidR="00EE5072" w:rsidRPr="001F64A9" w:rsidRDefault="00EE5072" w:rsidP="00EE5072">
      <w:pPr>
        <w:rPr>
          <w:rFonts w:asciiTheme="majorBidi" w:eastAsia="Times New Roman" w:hAnsiTheme="majorBidi" w:cstheme="majorBidi"/>
          <w:b/>
          <w:sz w:val="24"/>
          <w:szCs w:val="24"/>
        </w:rPr>
      </w:pPr>
      <w:r w:rsidRPr="001F64A9">
        <w:rPr>
          <w:rFonts w:asciiTheme="majorBidi" w:eastAsia="Times New Roman" w:hAnsiTheme="majorBidi" w:cstheme="majorBidi"/>
          <w:b/>
          <w:sz w:val="24"/>
          <w:szCs w:val="24"/>
        </w:rPr>
        <w:br w:type="page"/>
      </w:r>
    </w:p>
    <w:p w14:paraId="5F12DF13" w14:textId="77777777" w:rsidR="00EE5072" w:rsidRPr="001F64A9" w:rsidRDefault="00EE5072" w:rsidP="00EE5072">
      <w:pPr>
        <w:rPr>
          <w:rFonts w:asciiTheme="majorBidi" w:eastAsia="Times New Roman" w:hAnsiTheme="majorBidi" w:cstheme="majorBidi"/>
          <w:b/>
          <w:sz w:val="24"/>
          <w:szCs w:val="24"/>
        </w:rPr>
      </w:pPr>
      <w:r w:rsidRPr="001F64A9">
        <w:rPr>
          <w:rFonts w:asciiTheme="majorBidi" w:eastAsia="Times New Roman" w:hAnsiTheme="majorBidi" w:cstheme="majorBidi"/>
          <w:b/>
          <w:sz w:val="24"/>
          <w:szCs w:val="24"/>
        </w:rPr>
        <w:lastRenderedPageBreak/>
        <w:t>Figure 18</w:t>
      </w:r>
    </w:p>
    <w:p w14:paraId="7204CB51" w14:textId="77777777" w:rsidR="00EE5072" w:rsidRPr="001F64A9" w:rsidRDefault="00EE5072" w:rsidP="00EE5072">
      <w:pPr>
        <w:rPr>
          <w:rFonts w:asciiTheme="majorBidi" w:eastAsia="Times New Roman" w:hAnsiTheme="majorBidi" w:cstheme="majorBidi"/>
          <w:bCs/>
          <w:i/>
          <w:iCs/>
          <w:sz w:val="24"/>
          <w:szCs w:val="24"/>
        </w:rPr>
      </w:pPr>
      <w:r w:rsidRPr="001F64A9">
        <w:rPr>
          <w:rFonts w:asciiTheme="majorBidi" w:eastAsia="Times New Roman" w:hAnsiTheme="majorBidi" w:cstheme="majorBidi"/>
          <w:bCs/>
          <w:i/>
          <w:iCs/>
          <w:sz w:val="24"/>
          <w:szCs w:val="24"/>
        </w:rPr>
        <w:t>Item Information Curve of DNR Knowledge Scale in Experiment 2</w:t>
      </w:r>
    </w:p>
    <w:p w14:paraId="3CF8E673" w14:textId="444434B2" w:rsidR="00EE5072" w:rsidRPr="001F64A9" w:rsidRDefault="00EE5072" w:rsidP="00EE5072">
      <w:pPr>
        <w:rPr>
          <w:rFonts w:asciiTheme="majorBidi" w:eastAsia="Times New Roman" w:hAnsiTheme="majorBidi" w:cstheme="majorBidi"/>
          <w:b/>
          <w:sz w:val="24"/>
          <w:szCs w:val="24"/>
        </w:rPr>
      </w:pPr>
      <w:r w:rsidRPr="001F64A9">
        <w:rPr>
          <w:rFonts w:asciiTheme="majorBidi" w:hAnsiTheme="majorBidi" w:cstheme="majorBidi"/>
          <w:noProof/>
        </w:rPr>
        <w:t xml:space="preserve"> </w:t>
      </w:r>
      <w:r w:rsidRPr="001F64A9">
        <w:rPr>
          <w:rFonts w:asciiTheme="majorBidi" w:eastAsia="Times New Roman" w:hAnsiTheme="majorBidi" w:cstheme="majorBidi"/>
          <w:b/>
          <w:noProof/>
          <w:sz w:val="24"/>
          <w:szCs w:val="24"/>
        </w:rPr>
        <w:drawing>
          <wp:inline distT="0" distB="0" distL="0" distR="0" wp14:anchorId="1B95E94E" wp14:editId="63A97325">
            <wp:extent cx="5859780" cy="4009323"/>
            <wp:effectExtent l="0" t="0" r="7620" b="0"/>
            <wp:docPr id="370147924" name="Picture 2" descr="A picture containing diagram, line, plot, s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7488205" descr="A picture containing diagram, line, plot, slope&#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69546" cy="4016005"/>
                    </a:xfrm>
                    <a:prstGeom prst="rect">
                      <a:avLst/>
                    </a:prstGeom>
                    <a:noFill/>
                    <a:ln>
                      <a:noFill/>
                    </a:ln>
                  </pic:spPr>
                </pic:pic>
              </a:graphicData>
            </a:graphic>
          </wp:inline>
        </w:drawing>
      </w:r>
      <w:r w:rsidRPr="001F64A9">
        <w:rPr>
          <w:rFonts w:asciiTheme="majorBidi" w:eastAsia="Times New Roman" w:hAnsiTheme="majorBidi" w:cstheme="majorBidi"/>
          <w:b/>
          <w:sz w:val="24"/>
          <w:szCs w:val="24"/>
        </w:rPr>
        <w:t xml:space="preserve"> </w:t>
      </w:r>
    </w:p>
    <w:p w14:paraId="33ADA5B7" w14:textId="77777777" w:rsidR="00EE5072" w:rsidRPr="001F64A9" w:rsidRDefault="00EE5072" w:rsidP="00EE5072">
      <w:pPr>
        <w:rPr>
          <w:rFonts w:asciiTheme="majorBidi" w:eastAsia="Times New Roman" w:hAnsiTheme="majorBidi" w:cstheme="majorBidi"/>
          <w:b/>
          <w:sz w:val="24"/>
          <w:szCs w:val="24"/>
        </w:rPr>
      </w:pPr>
      <w:r w:rsidRPr="001F64A9">
        <w:rPr>
          <w:rFonts w:asciiTheme="majorBidi" w:eastAsia="Times New Roman" w:hAnsiTheme="majorBidi" w:cstheme="majorBidi"/>
          <w:b/>
          <w:sz w:val="24"/>
          <w:szCs w:val="24"/>
        </w:rPr>
        <w:br w:type="page"/>
      </w:r>
    </w:p>
    <w:p w14:paraId="27BB3273" w14:textId="77777777" w:rsidR="00EE5072" w:rsidRPr="001F64A9" w:rsidRDefault="00EE5072" w:rsidP="00EE5072">
      <w:pPr>
        <w:rPr>
          <w:rFonts w:asciiTheme="majorBidi" w:eastAsia="Times New Roman" w:hAnsiTheme="majorBidi" w:cstheme="majorBidi"/>
          <w:b/>
          <w:sz w:val="24"/>
          <w:szCs w:val="24"/>
        </w:rPr>
      </w:pPr>
      <w:r w:rsidRPr="001F64A9">
        <w:rPr>
          <w:rFonts w:asciiTheme="majorBidi" w:eastAsia="Times New Roman" w:hAnsiTheme="majorBidi" w:cstheme="majorBidi"/>
          <w:b/>
          <w:sz w:val="24"/>
          <w:szCs w:val="24"/>
        </w:rPr>
        <w:lastRenderedPageBreak/>
        <w:t>Figure 19</w:t>
      </w:r>
    </w:p>
    <w:p w14:paraId="538B3EDE" w14:textId="77777777" w:rsidR="00EE5072" w:rsidRPr="001F64A9" w:rsidRDefault="00EE5072" w:rsidP="00EE5072">
      <w:pPr>
        <w:rPr>
          <w:rFonts w:asciiTheme="majorBidi" w:hAnsiTheme="majorBidi" w:cstheme="majorBidi"/>
          <w:noProof/>
        </w:rPr>
      </w:pPr>
      <w:r w:rsidRPr="001F64A9">
        <w:rPr>
          <w:rFonts w:asciiTheme="majorBidi" w:eastAsia="Times New Roman" w:hAnsiTheme="majorBidi" w:cstheme="majorBidi"/>
          <w:bCs/>
          <w:i/>
          <w:iCs/>
          <w:sz w:val="24"/>
          <w:szCs w:val="24"/>
        </w:rPr>
        <w:t>Test Information Function of DNR Knowledge Scale in Experiment 2</w:t>
      </w:r>
    </w:p>
    <w:p w14:paraId="1FF7A35E" w14:textId="31EF5543" w:rsidR="00EE5072" w:rsidRPr="001F64A9" w:rsidRDefault="00EE5072" w:rsidP="00EE5072">
      <w:pPr>
        <w:rPr>
          <w:rFonts w:asciiTheme="majorBidi" w:eastAsia="Times New Roman" w:hAnsiTheme="majorBidi" w:cstheme="majorBidi"/>
          <w:b/>
          <w:sz w:val="24"/>
          <w:szCs w:val="24"/>
        </w:rPr>
      </w:pPr>
      <w:r w:rsidRPr="001F64A9">
        <w:rPr>
          <w:rFonts w:asciiTheme="majorBidi" w:eastAsia="Times New Roman" w:hAnsiTheme="majorBidi" w:cstheme="majorBidi"/>
          <w:b/>
          <w:noProof/>
          <w:sz w:val="24"/>
          <w:szCs w:val="24"/>
        </w:rPr>
        <w:drawing>
          <wp:inline distT="0" distB="0" distL="0" distR="0" wp14:anchorId="61241F83" wp14:editId="0B55CA35">
            <wp:extent cx="5852160" cy="4062586"/>
            <wp:effectExtent l="0" t="0" r="0" b="0"/>
            <wp:docPr id="350255301" name="Picture 1" descr="A picture containing diagram, line, pl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diagram, line, plot, tex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89191" cy="4088293"/>
                    </a:xfrm>
                    <a:prstGeom prst="rect">
                      <a:avLst/>
                    </a:prstGeom>
                    <a:noFill/>
                    <a:ln>
                      <a:noFill/>
                    </a:ln>
                  </pic:spPr>
                </pic:pic>
              </a:graphicData>
            </a:graphic>
          </wp:inline>
        </w:drawing>
      </w:r>
    </w:p>
    <w:p w14:paraId="7A430305" w14:textId="77777777" w:rsidR="00EE5072" w:rsidRPr="001F64A9" w:rsidRDefault="00EE5072" w:rsidP="00EE5072">
      <w:pPr>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br w:type="page"/>
      </w:r>
    </w:p>
    <w:p w14:paraId="77D7C7A8" w14:textId="77777777" w:rsidR="00EE5072" w:rsidRPr="001F64A9" w:rsidRDefault="00EE5072" w:rsidP="00EE5072">
      <w:pPr>
        <w:spacing w:line="480" w:lineRule="auto"/>
        <w:jc w:val="both"/>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Table 1</w:t>
      </w:r>
    </w:p>
    <w:p w14:paraId="2C136727" w14:textId="77777777" w:rsidR="00EE5072" w:rsidRPr="001F64A9" w:rsidRDefault="00EE5072" w:rsidP="00EE5072">
      <w:pPr>
        <w:spacing w:line="480" w:lineRule="auto"/>
        <w:jc w:val="both"/>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LSD Post-Hoc Comparisons for CPR Understanding Across Terminologies in Experiment 1a</w:t>
      </w:r>
    </w:p>
    <w:tbl>
      <w:tblPr>
        <w:tblStyle w:val="TableGrid"/>
        <w:tblW w:w="5005"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247"/>
        <w:gridCol w:w="1027"/>
        <w:gridCol w:w="834"/>
        <w:gridCol w:w="1021"/>
      </w:tblGrid>
      <w:tr w:rsidR="00DE4EA4" w:rsidRPr="001F64A9" w14:paraId="549348E7" w14:textId="77777777" w:rsidTr="00DE4EA4">
        <w:trPr>
          <w:trHeight w:val="556"/>
        </w:trPr>
        <w:tc>
          <w:tcPr>
            <w:tcW w:w="3462" w:type="pct"/>
            <w:gridSpan w:val="2"/>
            <w:tcBorders>
              <w:top w:val="single" w:sz="4" w:space="0" w:color="auto"/>
              <w:left w:val="nil"/>
              <w:bottom w:val="single" w:sz="4" w:space="0" w:color="auto"/>
              <w:right w:val="nil"/>
            </w:tcBorders>
            <w:hideMark/>
          </w:tcPr>
          <w:p w14:paraId="7F690507"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Groups</w:t>
            </w:r>
          </w:p>
        </w:tc>
        <w:tc>
          <w:tcPr>
            <w:tcW w:w="548" w:type="pct"/>
            <w:tcBorders>
              <w:top w:val="single" w:sz="4" w:space="0" w:color="auto"/>
              <w:left w:val="nil"/>
              <w:bottom w:val="single" w:sz="4" w:space="0" w:color="auto"/>
              <w:right w:val="nil"/>
            </w:tcBorders>
            <w:vAlign w:val="center"/>
            <w:hideMark/>
          </w:tcPr>
          <w:p w14:paraId="7AF2D0C8" w14:textId="77777777" w:rsidR="00EE5072" w:rsidRPr="001F64A9" w:rsidRDefault="00EE5072">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MD</w:t>
            </w:r>
          </w:p>
        </w:tc>
        <w:tc>
          <w:tcPr>
            <w:tcW w:w="445" w:type="pct"/>
            <w:tcBorders>
              <w:top w:val="single" w:sz="4" w:space="0" w:color="auto"/>
              <w:left w:val="nil"/>
              <w:bottom w:val="single" w:sz="4" w:space="0" w:color="auto"/>
              <w:right w:val="nil"/>
            </w:tcBorders>
            <w:vAlign w:val="center"/>
            <w:hideMark/>
          </w:tcPr>
          <w:p w14:paraId="50407095" w14:textId="77777777" w:rsidR="00EE5072" w:rsidRPr="001F64A9" w:rsidRDefault="00EE5072">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SE</w:t>
            </w:r>
          </w:p>
        </w:tc>
        <w:tc>
          <w:tcPr>
            <w:tcW w:w="546" w:type="pct"/>
            <w:tcBorders>
              <w:top w:val="single" w:sz="4" w:space="0" w:color="auto"/>
              <w:left w:val="nil"/>
              <w:bottom w:val="single" w:sz="4" w:space="0" w:color="auto"/>
              <w:right w:val="nil"/>
            </w:tcBorders>
            <w:vAlign w:val="center"/>
            <w:hideMark/>
          </w:tcPr>
          <w:p w14:paraId="532BDB92" w14:textId="77777777" w:rsidR="00EE5072" w:rsidRPr="001F64A9" w:rsidRDefault="00EE5072">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p</w:t>
            </w:r>
          </w:p>
        </w:tc>
      </w:tr>
      <w:tr w:rsidR="00DE4EA4" w:rsidRPr="001F64A9" w14:paraId="08134D37" w14:textId="77777777" w:rsidTr="00DE4EA4">
        <w:trPr>
          <w:trHeight w:val="573"/>
        </w:trPr>
        <w:tc>
          <w:tcPr>
            <w:tcW w:w="1729" w:type="pct"/>
            <w:tcBorders>
              <w:top w:val="single" w:sz="4" w:space="0" w:color="auto"/>
              <w:left w:val="nil"/>
              <w:bottom w:val="nil"/>
              <w:right w:val="nil"/>
            </w:tcBorders>
            <w:hideMark/>
          </w:tcPr>
          <w:p w14:paraId="3160B018"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CPR</w:t>
            </w:r>
          </w:p>
        </w:tc>
        <w:tc>
          <w:tcPr>
            <w:tcW w:w="1732" w:type="pct"/>
            <w:tcBorders>
              <w:top w:val="single" w:sz="4" w:space="0" w:color="auto"/>
              <w:left w:val="nil"/>
              <w:bottom w:val="nil"/>
              <w:right w:val="nil"/>
            </w:tcBorders>
            <w:hideMark/>
          </w:tcPr>
          <w:p w14:paraId="65504AF4"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AND</w:t>
            </w:r>
          </w:p>
        </w:tc>
        <w:tc>
          <w:tcPr>
            <w:tcW w:w="548" w:type="pct"/>
            <w:tcBorders>
              <w:top w:val="single" w:sz="4" w:space="0" w:color="auto"/>
              <w:left w:val="nil"/>
              <w:bottom w:val="nil"/>
              <w:right w:val="nil"/>
            </w:tcBorders>
            <w:vAlign w:val="center"/>
            <w:hideMark/>
          </w:tcPr>
          <w:p w14:paraId="5458625C"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-.67*</w:t>
            </w:r>
          </w:p>
        </w:tc>
        <w:tc>
          <w:tcPr>
            <w:tcW w:w="445" w:type="pct"/>
            <w:tcBorders>
              <w:top w:val="single" w:sz="4" w:space="0" w:color="auto"/>
              <w:left w:val="nil"/>
              <w:bottom w:val="nil"/>
              <w:right w:val="nil"/>
            </w:tcBorders>
            <w:vAlign w:val="center"/>
            <w:hideMark/>
          </w:tcPr>
          <w:p w14:paraId="5DC23697"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.33</w:t>
            </w:r>
          </w:p>
        </w:tc>
        <w:tc>
          <w:tcPr>
            <w:tcW w:w="546" w:type="pct"/>
            <w:tcBorders>
              <w:top w:val="single" w:sz="4" w:space="0" w:color="auto"/>
              <w:left w:val="nil"/>
              <w:bottom w:val="nil"/>
              <w:right w:val="nil"/>
            </w:tcBorders>
            <w:vAlign w:val="center"/>
            <w:hideMark/>
          </w:tcPr>
          <w:p w14:paraId="7EB53085"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.046</w:t>
            </w:r>
          </w:p>
        </w:tc>
      </w:tr>
      <w:tr w:rsidR="00DE4EA4" w:rsidRPr="001F64A9" w14:paraId="39E2EF8E" w14:textId="77777777" w:rsidTr="00DE4EA4">
        <w:trPr>
          <w:trHeight w:val="556"/>
        </w:trPr>
        <w:tc>
          <w:tcPr>
            <w:tcW w:w="1729" w:type="pct"/>
            <w:tcBorders>
              <w:top w:val="nil"/>
              <w:left w:val="nil"/>
              <w:bottom w:val="nil"/>
              <w:right w:val="nil"/>
            </w:tcBorders>
          </w:tcPr>
          <w:p w14:paraId="6785E3DC" w14:textId="77777777" w:rsidR="00EE5072" w:rsidRPr="001F64A9" w:rsidRDefault="00EE5072">
            <w:pPr>
              <w:spacing w:line="360" w:lineRule="auto"/>
              <w:jc w:val="both"/>
              <w:rPr>
                <w:rFonts w:asciiTheme="majorBidi" w:eastAsia="Times New Roman" w:hAnsiTheme="majorBidi" w:cstheme="majorBidi"/>
                <w:szCs w:val="24"/>
              </w:rPr>
            </w:pPr>
          </w:p>
        </w:tc>
        <w:tc>
          <w:tcPr>
            <w:tcW w:w="1732" w:type="pct"/>
            <w:tcBorders>
              <w:top w:val="nil"/>
              <w:left w:val="nil"/>
              <w:bottom w:val="nil"/>
              <w:right w:val="nil"/>
            </w:tcBorders>
            <w:hideMark/>
          </w:tcPr>
          <w:p w14:paraId="1683678F"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DNR</w:t>
            </w:r>
          </w:p>
        </w:tc>
        <w:tc>
          <w:tcPr>
            <w:tcW w:w="548" w:type="pct"/>
            <w:tcBorders>
              <w:top w:val="nil"/>
              <w:left w:val="nil"/>
              <w:bottom w:val="nil"/>
              <w:right w:val="nil"/>
            </w:tcBorders>
            <w:vAlign w:val="center"/>
            <w:hideMark/>
          </w:tcPr>
          <w:p w14:paraId="4A289D5C"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-.02</w:t>
            </w:r>
          </w:p>
        </w:tc>
        <w:tc>
          <w:tcPr>
            <w:tcW w:w="445" w:type="pct"/>
            <w:tcBorders>
              <w:top w:val="nil"/>
              <w:left w:val="nil"/>
              <w:bottom w:val="nil"/>
              <w:right w:val="nil"/>
            </w:tcBorders>
            <w:vAlign w:val="center"/>
            <w:hideMark/>
          </w:tcPr>
          <w:p w14:paraId="1329A60B"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.32</w:t>
            </w:r>
          </w:p>
        </w:tc>
        <w:tc>
          <w:tcPr>
            <w:tcW w:w="546" w:type="pct"/>
            <w:tcBorders>
              <w:top w:val="nil"/>
              <w:left w:val="nil"/>
              <w:bottom w:val="nil"/>
              <w:right w:val="nil"/>
            </w:tcBorders>
            <w:vAlign w:val="center"/>
            <w:hideMark/>
          </w:tcPr>
          <w:p w14:paraId="3FD3C2BF"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.943</w:t>
            </w:r>
          </w:p>
        </w:tc>
      </w:tr>
      <w:tr w:rsidR="00DE4EA4" w:rsidRPr="001F64A9" w14:paraId="3EC52157" w14:textId="77777777" w:rsidTr="00DE4EA4">
        <w:trPr>
          <w:trHeight w:val="556"/>
        </w:trPr>
        <w:tc>
          <w:tcPr>
            <w:tcW w:w="1729" w:type="pct"/>
            <w:tcBorders>
              <w:top w:val="nil"/>
              <w:left w:val="nil"/>
              <w:bottom w:val="single" w:sz="4" w:space="0" w:color="auto"/>
              <w:right w:val="nil"/>
            </w:tcBorders>
            <w:hideMark/>
          </w:tcPr>
          <w:p w14:paraId="520CF014"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AND</w:t>
            </w:r>
          </w:p>
        </w:tc>
        <w:tc>
          <w:tcPr>
            <w:tcW w:w="1732" w:type="pct"/>
            <w:tcBorders>
              <w:top w:val="nil"/>
              <w:left w:val="nil"/>
              <w:bottom w:val="single" w:sz="4" w:space="0" w:color="auto"/>
              <w:right w:val="nil"/>
            </w:tcBorders>
            <w:hideMark/>
          </w:tcPr>
          <w:p w14:paraId="556312C5"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DNR</w:t>
            </w:r>
          </w:p>
        </w:tc>
        <w:tc>
          <w:tcPr>
            <w:tcW w:w="548" w:type="pct"/>
            <w:tcBorders>
              <w:top w:val="nil"/>
              <w:left w:val="nil"/>
              <w:bottom w:val="single" w:sz="4" w:space="0" w:color="auto"/>
              <w:right w:val="nil"/>
            </w:tcBorders>
            <w:vAlign w:val="center"/>
            <w:hideMark/>
          </w:tcPr>
          <w:p w14:paraId="54D3F1CC"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.65*</w:t>
            </w:r>
          </w:p>
        </w:tc>
        <w:tc>
          <w:tcPr>
            <w:tcW w:w="445" w:type="pct"/>
            <w:tcBorders>
              <w:top w:val="nil"/>
              <w:left w:val="nil"/>
              <w:bottom w:val="single" w:sz="4" w:space="0" w:color="auto"/>
              <w:right w:val="nil"/>
            </w:tcBorders>
            <w:vAlign w:val="center"/>
            <w:hideMark/>
          </w:tcPr>
          <w:p w14:paraId="61EFFDF8"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.33</w:t>
            </w:r>
          </w:p>
        </w:tc>
        <w:tc>
          <w:tcPr>
            <w:tcW w:w="546" w:type="pct"/>
            <w:tcBorders>
              <w:top w:val="nil"/>
              <w:left w:val="nil"/>
              <w:bottom w:val="single" w:sz="4" w:space="0" w:color="auto"/>
              <w:right w:val="nil"/>
            </w:tcBorders>
            <w:vAlign w:val="center"/>
            <w:hideMark/>
          </w:tcPr>
          <w:p w14:paraId="4EEEEB49"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.047</w:t>
            </w:r>
          </w:p>
        </w:tc>
      </w:tr>
    </w:tbl>
    <w:p w14:paraId="2B9CEDEF" w14:textId="77777777" w:rsidR="00EE5072" w:rsidRPr="001F64A9" w:rsidRDefault="00EE5072" w:rsidP="00EE5072">
      <w:pPr>
        <w:spacing w:line="480" w:lineRule="auto"/>
        <w:jc w:val="both"/>
        <w:rPr>
          <w:rFonts w:asciiTheme="majorBidi" w:hAnsiTheme="majorBidi" w:cstheme="majorBidi"/>
          <w:sz w:val="24"/>
          <w:szCs w:val="24"/>
        </w:rPr>
      </w:pPr>
      <w:r w:rsidRPr="001F64A9">
        <w:rPr>
          <w:rFonts w:asciiTheme="majorBidi" w:hAnsiTheme="majorBidi" w:cstheme="majorBidi"/>
          <w:i/>
          <w:iCs/>
          <w:sz w:val="20"/>
          <w:szCs w:val="20"/>
        </w:rPr>
        <w:t>Note.</w:t>
      </w:r>
      <w:r w:rsidRPr="001F64A9">
        <w:rPr>
          <w:rFonts w:asciiTheme="majorBidi" w:hAnsiTheme="majorBidi" w:cstheme="majorBidi"/>
          <w:sz w:val="20"/>
          <w:szCs w:val="20"/>
        </w:rPr>
        <w:t xml:space="preserve"> * </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.05.</w:t>
      </w:r>
    </w:p>
    <w:p w14:paraId="3E60AFCF" w14:textId="77777777" w:rsidR="00EE5072" w:rsidRPr="001F64A9" w:rsidRDefault="00EE5072" w:rsidP="00EE5072">
      <w:pPr>
        <w:rPr>
          <w:rFonts w:asciiTheme="majorBidi" w:hAnsiTheme="majorBidi" w:cstheme="majorBidi"/>
          <w:sz w:val="24"/>
          <w:szCs w:val="24"/>
        </w:rPr>
      </w:pPr>
      <w:r w:rsidRPr="001F64A9">
        <w:rPr>
          <w:rFonts w:asciiTheme="majorBidi" w:hAnsiTheme="majorBidi" w:cstheme="majorBidi"/>
          <w:sz w:val="24"/>
          <w:szCs w:val="24"/>
        </w:rPr>
        <w:br w:type="page"/>
      </w:r>
    </w:p>
    <w:p w14:paraId="1E4564B4" w14:textId="77777777" w:rsidR="00EE5072" w:rsidRPr="001F64A9" w:rsidRDefault="00EE5072" w:rsidP="00EE5072">
      <w:pPr>
        <w:spacing w:line="480" w:lineRule="auto"/>
        <w:jc w:val="both"/>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Table 2</w:t>
      </w:r>
    </w:p>
    <w:p w14:paraId="67351253" w14:textId="28AF749F" w:rsidR="00EE5072" w:rsidRPr="001F64A9" w:rsidRDefault="00EE5072" w:rsidP="00EE5072">
      <w:pPr>
        <w:spacing w:line="480" w:lineRule="auto"/>
        <w:jc w:val="both"/>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LSD Post-Hoc Comparisons for Positive Valence Across Terminologies in Experiment 1a</w:t>
      </w:r>
    </w:p>
    <w:tbl>
      <w:tblPr>
        <w:tblStyle w:val="TableGrid"/>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44"/>
        <w:gridCol w:w="1026"/>
        <w:gridCol w:w="833"/>
        <w:gridCol w:w="1020"/>
      </w:tblGrid>
      <w:tr w:rsidR="00DE4EA4" w:rsidRPr="001F64A9" w14:paraId="0C948383" w14:textId="77777777" w:rsidTr="00DE4EA4">
        <w:trPr>
          <w:trHeight w:val="507"/>
        </w:trPr>
        <w:tc>
          <w:tcPr>
            <w:tcW w:w="3462" w:type="pct"/>
            <w:gridSpan w:val="2"/>
            <w:tcBorders>
              <w:top w:val="single" w:sz="4" w:space="0" w:color="auto"/>
              <w:left w:val="nil"/>
              <w:bottom w:val="single" w:sz="4" w:space="0" w:color="auto"/>
              <w:right w:val="nil"/>
            </w:tcBorders>
            <w:hideMark/>
          </w:tcPr>
          <w:p w14:paraId="7A0CD82F"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Groups</w:t>
            </w:r>
          </w:p>
        </w:tc>
        <w:tc>
          <w:tcPr>
            <w:tcW w:w="548" w:type="pct"/>
            <w:tcBorders>
              <w:top w:val="single" w:sz="4" w:space="0" w:color="auto"/>
              <w:left w:val="nil"/>
              <w:bottom w:val="single" w:sz="4" w:space="0" w:color="auto"/>
              <w:right w:val="nil"/>
            </w:tcBorders>
            <w:vAlign w:val="center"/>
            <w:hideMark/>
          </w:tcPr>
          <w:p w14:paraId="59CE81B4" w14:textId="77777777" w:rsidR="00EE5072" w:rsidRPr="001F64A9" w:rsidRDefault="00EE5072">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MD</w:t>
            </w:r>
          </w:p>
        </w:tc>
        <w:tc>
          <w:tcPr>
            <w:tcW w:w="445" w:type="pct"/>
            <w:tcBorders>
              <w:top w:val="single" w:sz="4" w:space="0" w:color="auto"/>
              <w:left w:val="nil"/>
              <w:bottom w:val="single" w:sz="4" w:space="0" w:color="auto"/>
              <w:right w:val="nil"/>
            </w:tcBorders>
            <w:vAlign w:val="center"/>
            <w:hideMark/>
          </w:tcPr>
          <w:p w14:paraId="6252AF54" w14:textId="77777777" w:rsidR="00EE5072" w:rsidRPr="001F64A9" w:rsidRDefault="00EE5072">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SE</w:t>
            </w:r>
          </w:p>
        </w:tc>
        <w:tc>
          <w:tcPr>
            <w:tcW w:w="545" w:type="pct"/>
            <w:tcBorders>
              <w:top w:val="single" w:sz="4" w:space="0" w:color="auto"/>
              <w:left w:val="nil"/>
              <w:bottom w:val="single" w:sz="4" w:space="0" w:color="auto"/>
              <w:right w:val="nil"/>
            </w:tcBorders>
            <w:vAlign w:val="center"/>
            <w:hideMark/>
          </w:tcPr>
          <w:p w14:paraId="191D1AA9" w14:textId="77777777" w:rsidR="00EE5072" w:rsidRPr="001F64A9" w:rsidRDefault="00EE5072">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p</w:t>
            </w:r>
          </w:p>
        </w:tc>
      </w:tr>
      <w:tr w:rsidR="00DE4EA4" w:rsidRPr="001F64A9" w14:paraId="4DE87BD3" w14:textId="77777777" w:rsidTr="00DE4EA4">
        <w:trPr>
          <w:trHeight w:val="522"/>
        </w:trPr>
        <w:tc>
          <w:tcPr>
            <w:tcW w:w="1729" w:type="pct"/>
            <w:tcBorders>
              <w:top w:val="single" w:sz="4" w:space="0" w:color="auto"/>
              <w:left w:val="nil"/>
              <w:bottom w:val="nil"/>
              <w:right w:val="nil"/>
            </w:tcBorders>
            <w:hideMark/>
          </w:tcPr>
          <w:p w14:paraId="38860252"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CPR</w:t>
            </w:r>
          </w:p>
        </w:tc>
        <w:tc>
          <w:tcPr>
            <w:tcW w:w="1733" w:type="pct"/>
            <w:tcBorders>
              <w:top w:val="single" w:sz="4" w:space="0" w:color="auto"/>
              <w:left w:val="nil"/>
              <w:bottom w:val="nil"/>
              <w:right w:val="nil"/>
            </w:tcBorders>
            <w:hideMark/>
          </w:tcPr>
          <w:p w14:paraId="0813D371"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AND</w:t>
            </w:r>
          </w:p>
        </w:tc>
        <w:tc>
          <w:tcPr>
            <w:tcW w:w="548" w:type="pct"/>
            <w:tcBorders>
              <w:top w:val="single" w:sz="4" w:space="0" w:color="auto"/>
              <w:left w:val="nil"/>
              <w:bottom w:val="nil"/>
              <w:right w:val="nil"/>
            </w:tcBorders>
            <w:vAlign w:val="center"/>
            <w:hideMark/>
          </w:tcPr>
          <w:p w14:paraId="7BA34CBF"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-.46</w:t>
            </w:r>
          </w:p>
        </w:tc>
        <w:tc>
          <w:tcPr>
            <w:tcW w:w="445" w:type="pct"/>
            <w:tcBorders>
              <w:top w:val="single" w:sz="4" w:space="0" w:color="auto"/>
              <w:left w:val="nil"/>
              <w:bottom w:val="nil"/>
              <w:right w:val="nil"/>
            </w:tcBorders>
            <w:vAlign w:val="center"/>
            <w:hideMark/>
          </w:tcPr>
          <w:p w14:paraId="42C42C27"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.58</w:t>
            </w:r>
          </w:p>
        </w:tc>
        <w:tc>
          <w:tcPr>
            <w:tcW w:w="545" w:type="pct"/>
            <w:tcBorders>
              <w:top w:val="single" w:sz="4" w:space="0" w:color="auto"/>
              <w:left w:val="nil"/>
              <w:bottom w:val="nil"/>
              <w:right w:val="nil"/>
            </w:tcBorders>
            <w:vAlign w:val="center"/>
            <w:hideMark/>
          </w:tcPr>
          <w:p w14:paraId="7ADEBC3D"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.432</w:t>
            </w:r>
          </w:p>
        </w:tc>
      </w:tr>
      <w:tr w:rsidR="00DE4EA4" w:rsidRPr="001F64A9" w14:paraId="3522095E" w14:textId="77777777" w:rsidTr="00DE4EA4">
        <w:trPr>
          <w:trHeight w:val="507"/>
        </w:trPr>
        <w:tc>
          <w:tcPr>
            <w:tcW w:w="1729" w:type="pct"/>
            <w:tcBorders>
              <w:top w:val="nil"/>
              <w:left w:val="nil"/>
              <w:bottom w:val="nil"/>
              <w:right w:val="nil"/>
            </w:tcBorders>
          </w:tcPr>
          <w:p w14:paraId="6AE33DAB" w14:textId="77777777" w:rsidR="00EE5072" w:rsidRPr="001F64A9" w:rsidRDefault="00EE5072">
            <w:pPr>
              <w:spacing w:line="360" w:lineRule="auto"/>
              <w:jc w:val="both"/>
              <w:rPr>
                <w:rFonts w:asciiTheme="majorBidi" w:eastAsia="Times New Roman" w:hAnsiTheme="majorBidi" w:cstheme="majorBidi"/>
                <w:szCs w:val="24"/>
              </w:rPr>
            </w:pPr>
          </w:p>
        </w:tc>
        <w:tc>
          <w:tcPr>
            <w:tcW w:w="1733" w:type="pct"/>
            <w:tcBorders>
              <w:top w:val="nil"/>
              <w:left w:val="nil"/>
              <w:bottom w:val="nil"/>
              <w:right w:val="nil"/>
            </w:tcBorders>
            <w:hideMark/>
          </w:tcPr>
          <w:p w14:paraId="2AC1B82B"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DNR</w:t>
            </w:r>
          </w:p>
        </w:tc>
        <w:tc>
          <w:tcPr>
            <w:tcW w:w="548" w:type="pct"/>
            <w:tcBorders>
              <w:top w:val="nil"/>
              <w:left w:val="nil"/>
              <w:bottom w:val="nil"/>
              <w:right w:val="nil"/>
            </w:tcBorders>
            <w:vAlign w:val="center"/>
            <w:hideMark/>
          </w:tcPr>
          <w:p w14:paraId="64C30496"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.70</w:t>
            </w:r>
          </w:p>
        </w:tc>
        <w:tc>
          <w:tcPr>
            <w:tcW w:w="445" w:type="pct"/>
            <w:tcBorders>
              <w:top w:val="nil"/>
              <w:left w:val="nil"/>
              <w:bottom w:val="nil"/>
              <w:right w:val="nil"/>
            </w:tcBorders>
            <w:vAlign w:val="center"/>
            <w:hideMark/>
          </w:tcPr>
          <w:p w14:paraId="2893ECD3"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.56</w:t>
            </w:r>
          </w:p>
        </w:tc>
        <w:tc>
          <w:tcPr>
            <w:tcW w:w="545" w:type="pct"/>
            <w:tcBorders>
              <w:top w:val="nil"/>
              <w:left w:val="nil"/>
              <w:bottom w:val="nil"/>
              <w:right w:val="nil"/>
            </w:tcBorders>
            <w:vAlign w:val="center"/>
            <w:hideMark/>
          </w:tcPr>
          <w:p w14:paraId="4DF11792"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.210</w:t>
            </w:r>
          </w:p>
        </w:tc>
      </w:tr>
      <w:tr w:rsidR="00DE4EA4" w:rsidRPr="001F64A9" w14:paraId="622B8B97" w14:textId="77777777" w:rsidTr="00DE4EA4">
        <w:trPr>
          <w:trHeight w:val="507"/>
        </w:trPr>
        <w:tc>
          <w:tcPr>
            <w:tcW w:w="1729" w:type="pct"/>
            <w:tcBorders>
              <w:top w:val="nil"/>
              <w:left w:val="nil"/>
              <w:bottom w:val="single" w:sz="4" w:space="0" w:color="auto"/>
              <w:right w:val="nil"/>
            </w:tcBorders>
            <w:hideMark/>
          </w:tcPr>
          <w:p w14:paraId="75CE2001"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AND</w:t>
            </w:r>
          </w:p>
        </w:tc>
        <w:tc>
          <w:tcPr>
            <w:tcW w:w="1733" w:type="pct"/>
            <w:tcBorders>
              <w:top w:val="nil"/>
              <w:left w:val="nil"/>
              <w:bottom w:val="single" w:sz="4" w:space="0" w:color="auto"/>
              <w:right w:val="nil"/>
            </w:tcBorders>
            <w:hideMark/>
          </w:tcPr>
          <w:p w14:paraId="7FAEC3CA"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DNR</w:t>
            </w:r>
          </w:p>
        </w:tc>
        <w:tc>
          <w:tcPr>
            <w:tcW w:w="548" w:type="pct"/>
            <w:tcBorders>
              <w:top w:val="nil"/>
              <w:left w:val="nil"/>
              <w:bottom w:val="single" w:sz="4" w:space="0" w:color="auto"/>
              <w:right w:val="nil"/>
            </w:tcBorders>
            <w:vAlign w:val="center"/>
            <w:hideMark/>
          </w:tcPr>
          <w:p w14:paraId="6E9A1F48"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1.15*</w:t>
            </w:r>
          </w:p>
        </w:tc>
        <w:tc>
          <w:tcPr>
            <w:tcW w:w="445" w:type="pct"/>
            <w:tcBorders>
              <w:top w:val="nil"/>
              <w:left w:val="nil"/>
              <w:bottom w:val="single" w:sz="4" w:space="0" w:color="auto"/>
              <w:right w:val="nil"/>
            </w:tcBorders>
            <w:vAlign w:val="center"/>
            <w:hideMark/>
          </w:tcPr>
          <w:p w14:paraId="29AEF396"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.56</w:t>
            </w:r>
          </w:p>
        </w:tc>
        <w:tc>
          <w:tcPr>
            <w:tcW w:w="545" w:type="pct"/>
            <w:tcBorders>
              <w:top w:val="nil"/>
              <w:left w:val="nil"/>
              <w:bottom w:val="single" w:sz="4" w:space="0" w:color="auto"/>
              <w:right w:val="nil"/>
            </w:tcBorders>
            <w:vAlign w:val="center"/>
            <w:hideMark/>
          </w:tcPr>
          <w:p w14:paraId="37C380A8"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.040</w:t>
            </w:r>
          </w:p>
        </w:tc>
      </w:tr>
    </w:tbl>
    <w:p w14:paraId="3B970289" w14:textId="77777777" w:rsidR="00EE5072" w:rsidRPr="001F64A9" w:rsidRDefault="00EE5072" w:rsidP="00EE5072">
      <w:pPr>
        <w:spacing w:line="480" w:lineRule="auto"/>
        <w:jc w:val="both"/>
        <w:rPr>
          <w:rFonts w:asciiTheme="majorBidi" w:hAnsiTheme="majorBidi" w:cstheme="majorBidi"/>
          <w:sz w:val="24"/>
          <w:szCs w:val="24"/>
        </w:rPr>
      </w:pPr>
      <w:r w:rsidRPr="001F64A9">
        <w:rPr>
          <w:rFonts w:asciiTheme="majorBidi" w:hAnsiTheme="majorBidi" w:cstheme="majorBidi"/>
          <w:i/>
          <w:iCs/>
          <w:sz w:val="20"/>
          <w:szCs w:val="20"/>
        </w:rPr>
        <w:t>Note.</w:t>
      </w:r>
      <w:r w:rsidRPr="001F64A9">
        <w:rPr>
          <w:rFonts w:asciiTheme="majorBidi" w:hAnsiTheme="majorBidi" w:cstheme="majorBidi"/>
          <w:sz w:val="20"/>
          <w:szCs w:val="20"/>
        </w:rPr>
        <w:t xml:space="preserve"> * </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.05.</w:t>
      </w:r>
    </w:p>
    <w:p w14:paraId="2B492414" w14:textId="77777777" w:rsidR="00EE5072" w:rsidRPr="001F64A9" w:rsidRDefault="00EE5072" w:rsidP="00EE5072">
      <w:pPr>
        <w:rPr>
          <w:rFonts w:asciiTheme="majorBidi" w:hAnsiTheme="majorBidi" w:cstheme="majorBidi"/>
          <w:sz w:val="24"/>
          <w:szCs w:val="24"/>
        </w:rPr>
      </w:pPr>
      <w:r w:rsidRPr="001F64A9">
        <w:rPr>
          <w:rFonts w:asciiTheme="majorBidi" w:hAnsiTheme="majorBidi" w:cstheme="majorBidi"/>
          <w:sz w:val="24"/>
          <w:szCs w:val="24"/>
        </w:rPr>
        <w:br w:type="page"/>
      </w:r>
    </w:p>
    <w:p w14:paraId="2FF9D2BB" w14:textId="77777777" w:rsidR="00EE5072" w:rsidRPr="001F64A9" w:rsidRDefault="00EE5072" w:rsidP="00EE5072">
      <w:pPr>
        <w:spacing w:line="480" w:lineRule="auto"/>
        <w:jc w:val="both"/>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Table 3</w:t>
      </w:r>
    </w:p>
    <w:p w14:paraId="1E162401" w14:textId="7B97457F" w:rsidR="00EE5072" w:rsidRPr="001F64A9" w:rsidRDefault="00EE5072" w:rsidP="00EE5072">
      <w:pPr>
        <w:spacing w:line="480" w:lineRule="auto"/>
        <w:jc w:val="both"/>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LSD Post-Hoc Comparisons for CPR Understanding Across Terminologies in Experiment 1b</w:t>
      </w:r>
    </w:p>
    <w:tbl>
      <w:tblPr>
        <w:tblStyle w:val="TableGrid"/>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9"/>
        <w:gridCol w:w="3240"/>
        <w:gridCol w:w="1026"/>
        <w:gridCol w:w="833"/>
        <w:gridCol w:w="1022"/>
      </w:tblGrid>
      <w:tr w:rsidR="00DE4EA4" w:rsidRPr="001F64A9" w14:paraId="625FE9A9" w14:textId="77777777" w:rsidTr="00DE4EA4">
        <w:trPr>
          <w:trHeight w:val="516"/>
        </w:trPr>
        <w:tc>
          <w:tcPr>
            <w:tcW w:w="3461" w:type="pct"/>
            <w:gridSpan w:val="2"/>
            <w:tcBorders>
              <w:top w:val="single" w:sz="4" w:space="0" w:color="auto"/>
              <w:left w:val="nil"/>
              <w:bottom w:val="single" w:sz="4" w:space="0" w:color="auto"/>
              <w:right w:val="nil"/>
            </w:tcBorders>
            <w:hideMark/>
          </w:tcPr>
          <w:p w14:paraId="52700C8F"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Groups</w:t>
            </w:r>
          </w:p>
        </w:tc>
        <w:tc>
          <w:tcPr>
            <w:tcW w:w="548" w:type="pct"/>
            <w:tcBorders>
              <w:top w:val="single" w:sz="4" w:space="0" w:color="auto"/>
              <w:left w:val="nil"/>
              <w:bottom w:val="single" w:sz="4" w:space="0" w:color="auto"/>
              <w:right w:val="nil"/>
            </w:tcBorders>
            <w:vAlign w:val="center"/>
            <w:hideMark/>
          </w:tcPr>
          <w:p w14:paraId="2F9EADC1" w14:textId="77777777" w:rsidR="00EE5072" w:rsidRPr="001F64A9" w:rsidRDefault="00EE5072">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MD</w:t>
            </w:r>
          </w:p>
        </w:tc>
        <w:tc>
          <w:tcPr>
            <w:tcW w:w="445" w:type="pct"/>
            <w:tcBorders>
              <w:top w:val="single" w:sz="4" w:space="0" w:color="auto"/>
              <w:left w:val="nil"/>
              <w:bottom w:val="single" w:sz="4" w:space="0" w:color="auto"/>
              <w:right w:val="nil"/>
            </w:tcBorders>
            <w:vAlign w:val="center"/>
            <w:hideMark/>
          </w:tcPr>
          <w:p w14:paraId="757C9CDA" w14:textId="77777777" w:rsidR="00EE5072" w:rsidRPr="001F64A9" w:rsidRDefault="00EE5072">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SE</w:t>
            </w:r>
          </w:p>
        </w:tc>
        <w:tc>
          <w:tcPr>
            <w:tcW w:w="546" w:type="pct"/>
            <w:tcBorders>
              <w:top w:val="single" w:sz="4" w:space="0" w:color="auto"/>
              <w:left w:val="nil"/>
              <w:bottom w:val="single" w:sz="4" w:space="0" w:color="auto"/>
              <w:right w:val="nil"/>
            </w:tcBorders>
            <w:vAlign w:val="center"/>
            <w:hideMark/>
          </w:tcPr>
          <w:p w14:paraId="489A4BEF" w14:textId="77777777" w:rsidR="00EE5072" w:rsidRPr="001F64A9" w:rsidRDefault="00EE5072">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p</w:t>
            </w:r>
          </w:p>
        </w:tc>
      </w:tr>
      <w:tr w:rsidR="00DE4EA4" w:rsidRPr="001F64A9" w14:paraId="125CF9DA" w14:textId="77777777" w:rsidTr="00DE4EA4">
        <w:trPr>
          <w:trHeight w:val="531"/>
        </w:trPr>
        <w:tc>
          <w:tcPr>
            <w:tcW w:w="1730" w:type="pct"/>
            <w:tcBorders>
              <w:top w:val="single" w:sz="4" w:space="0" w:color="auto"/>
              <w:left w:val="nil"/>
              <w:bottom w:val="nil"/>
              <w:right w:val="nil"/>
            </w:tcBorders>
            <w:hideMark/>
          </w:tcPr>
          <w:p w14:paraId="1493F06F"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CPR</w:t>
            </w:r>
          </w:p>
        </w:tc>
        <w:tc>
          <w:tcPr>
            <w:tcW w:w="1731" w:type="pct"/>
            <w:tcBorders>
              <w:top w:val="single" w:sz="4" w:space="0" w:color="auto"/>
              <w:left w:val="nil"/>
              <w:bottom w:val="nil"/>
              <w:right w:val="nil"/>
            </w:tcBorders>
            <w:hideMark/>
          </w:tcPr>
          <w:p w14:paraId="0A7B855B"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AND</w:t>
            </w:r>
          </w:p>
        </w:tc>
        <w:tc>
          <w:tcPr>
            <w:tcW w:w="548" w:type="pct"/>
            <w:tcBorders>
              <w:top w:val="single" w:sz="4" w:space="0" w:color="auto"/>
              <w:left w:val="nil"/>
              <w:bottom w:val="nil"/>
              <w:right w:val="nil"/>
            </w:tcBorders>
            <w:vAlign w:val="center"/>
            <w:hideMark/>
          </w:tcPr>
          <w:p w14:paraId="3FB79BEC"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-.49</w:t>
            </w:r>
          </w:p>
        </w:tc>
        <w:tc>
          <w:tcPr>
            <w:tcW w:w="445" w:type="pct"/>
            <w:tcBorders>
              <w:top w:val="single" w:sz="4" w:space="0" w:color="auto"/>
              <w:left w:val="nil"/>
              <w:bottom w:val="nil"/>
              <w:right w:val="nil"/>
            </w:tcBorders>
            <w:vAlign w:val="center"/>
            <w:hideMark/>
          </w:tcPr>
          <w:p w14:paraId="01E5787E"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.39</w:t>
            </w:r>
          </w:p>
        </w:tc>
        <w:tc>
          <w:tcPr>
            <w:tcW w:w="546" w:type="pct"/>
            <w:tcBorders>
              <w:top w:val="single" w:sz="4" w:space="0" w:color="auto"/>
              <w:left w:val="nil"/>
              <w:bottom w:val="nil"/>
              <w:right w:val="nil"/>
            </w:tcBorders>
            <w:vAlign w:val="center"/>
            <w:hideMark/>
          </w:tcPr>
          <w:p w14:paraId="5B4C1F63"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.210</w:t>
            </w:r>
          </w:p>
        </w:tc>
      </w:tr>
      <w:tr w:rsidR="00DE4EA4" w:rsidRPr="001F64A9" w14:paraId="4D74E93C" w14:textId="77777777" w:rsidTr="00DE4EA4">
        <w:trPr>
          <w:trHeight w:val="516"/>
        </w:trPr>
        <w:tc>
          <w:tcPr>
            <w:tcW w:w="1730" w:type="pct"/>
            <w:tcBorders>
              <w:top w:val="nil"/>
              <w:left w:val="nil"/>
              <w:bottom w:val="nil"/>
              <w:right w:val="nil"/>
            </w:tcBorders>
          </w:tcPr>
          <w:p w14:paraId="13E9E55B" w14:textId="77777777" w:rsidR="00EE5072" w:rsidRPr="001F64A9" w:rsidRDefault="00EE5072">
            <w:pPr>
              <w:spacing w:line="360" w:lineRule="auto"/>
              <w:jc w:val="both"/>
              <w:rPr>
                <w:rFonts w:asciiTheme="majorBidi" w:eastAsia="Times New Roman" w:hAnsiTheme="majorBidi" w:cstheme="majorBidi"/>
                <w:szCs w:val="24"/>
              </w:rPr>
            </w:pPr>
          </w:p>
        </w:tc>
        <w:tc>
          <w:tcPr>
            <w:tcW w:w="1731" w:type="pct"/>
            <w:tcBorders>
              <w:top w:val="nil"/>
              <w:left w:val="nil"/>
              <w:bottom w:val="nil"/>
              <w:right w:val="nil"/>
            </w:tcBorders>
            <w:hideMark/>
          </w:tcPr>
          <w:p w14:paraId="0F10A0A3"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DNR</w:t>
            </w:r>
          </w:p>
        </w:tc>
        <w:tc>
          <w:tcPr>
            <w:tcW w:w="548" w:type="pct"/>
            <w:tcBorders>
              <w:top w:val="nil"/>
              <w:left w:val="nil"/>
              <w:bottom w:val="nil"/>
              <w:right w:val="nil"/>
            </w:tcBorders>
            <w:vAlign w:val="center"/>
            <w:hideMark/>
          </w:tcPr>
          <w:p w14:paraId="0BEF591F"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-.46</w:t>
            </w:r>
          </w:p>
        </w:tc>
        <w:tc>
          <w:tcPr>
            <w:tcW w:w="445" w:type="pct"/>
            <w:tcBorders>
              <w:top w:val="nil"/>
              <w:left w:val="nil"/>
              <w:bottom w:val="nil"/>
              <w:right w:val="nil"/>
            </w:tcBorders>
            <w:vAlign w:val="center"/>
            <w:hideMark/>
          </w:tcPr>
          <w:p w14:paraId="783AADCF"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.39</w:t>
            </w:r>
          </w:p>
        </w:tc>
        <w:tc>
          <w:tcPr>
            <w:tcW w:w="546" w:type="pct"/>
            <w:tcBorders>
              <w:top w:val="nil"/>
              <w:left w:val="nil"/>
              <w:bottom w:val="nil"/>
              <w:right w:val="nil"/>
            </w:tcBorders>
            <w:vAlign w:val="center"/>
            <w:hideMark/>
          </w:tcPr>
          <w:p w14:paraId="7E2ADD33"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.240</w:t>
            </w:r>
          </w:p>
        </w:tc>
      </w:tr>
      <w:tr w:rsidR="00DE4EA4" w:rsidRPr="001F64A9" w14:paraId="33166939" w14:textId="77777777" w:rsidTr="00DE4EA4">
        <w:trPr>
          <w:trHeight w:val="516"/>
        </w:trPr>
        <w:tc>
          <w:tcPr>
            <w:tcW w:w="1730" w:type="pct"/>
            <w:tcBorders>
              <w:top w:val="nil"/>
              <w:left w:val="nil"/>
              <w:bottom w:val="single" w:sz="4" w:space="0" w:color="auto"/>
              <w:right w:val="nil"/>
            </w:tcBorders>
            <w:hideMark/>
          </w:tcPr>
          <w:p w14:paraId="19247871"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AND</w:t>
            </w:r>
          </w:p>
        </w:tc>
        <w:tc>
          <w:tcPr>
            <w:tcW w:w="1731" w:type="pct"/>
            <w:tcBorders>
              <w:top w:val="nil"/>
              <w:left w:val="nil"/>
              <w:bottom w:val="single" w:sz="4" w:space="0" w:color="auto"/>
              <w:right w:val="nil"/>
            </w:tcBorders>
            <w:hideMark/>
          </w:tcPr>
          <w:p w14:paraId="272D5221"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DNR</w:t>
            </w:r>
          </w:p>
        </w:tc>
        <w:tc>
          <w:tcPr>
            <w:tcW w:w="548" w:type="pct"/>
            <w:tcBorders>
              <w:top w:val="nil"/>
              <w:left w:val="nil"/>
              <w:bottom w:val="single" w:sz="4" w:space="0" w:color="auto"/>
              <w:right w:val="nil"/>
            </w:tcBorders>
            <w:vAlign w:val="center"/>
            <w:hideMark/>
          </w:tcPr>
          <w:p w14:paraId="10B495FB"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.04</w:t>
            </w:r>
          </w:p>
        </w:tc>
        <w:tc>
          <w:tcPr>
            <w:tcW w:w="445" w:type="pct"/>
            <w:tcBorders>
              <w:top w:val="nil"/>
              <w:left w:val="nil"/>
              <w:bottom w:val="single" w:sz="4" w:space="0" w:color="auto"/>
              <w:right w:val="nil"/>
            </w:tcBorders>
            <w:vAlign w:val="center"/>
            <w:hideMark/>
          </w:tcPr>
          <w:p w14:paraId="7AEA776D"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.39</w:t>
            </w:r>
          </w:p>
        </w:tc>
        <w:tc>
          <w:tcPr>
            <w:tcW w:w="546" w:type="pct"/>
            <w:tcBorders>
              <w:top w:val="nil"/>
              <w:left w:val="nil"/>
              <w:bottom w:val="single" w:sz="4" w:space="0" w:color="auto"/>
              <w:right w:val="nil"/>
            </w:tcBorders>
            <w:vAlign w:val="center"/>
            <w:hideMark/>
          </w:tcPr>
          <w:p w14:paraId="0FF4881D"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.925</w:t>
            </w:r>
          </w:p>
        </w:tc>
      </w:tr>
    </w:tbl>
    <w:p w14:paraId="7DCF7B62" w14:textId="77777777" w:rsidR="00EE5072" w:rsidRPr="001F64A9" w:rsidRDefault="00EE5072" w:rsidP="00EE5072">
      <w:pPr>
        <w:spacing w:line="480" w:lineRule="auto"/>
        <w:jc w:val="both"/>
        <w:rPr>
          <w:rFonts w:asciiTheme="majorBidi" w:hAnsiTheme="majorBidi" w:cstheme="majorBidi"/>
          <w:sz w:val="24"/>
          <w:szCs w:val="24"/>
        </w:rPr>
      </w:pPr>
    </w:p>
    <w:p w14:paraId="1BBD49FA" w14:textId="77777777" w:rsidR="00EE5072" w:rsidRPr="001F64A9" w:rsidRDefault="00EE5072" w:rsidP="00EE5072">
      <w:pPr>
        <w:rPr>
          <w:rFonts w:asciiTheme="majorBidi" w:hAnsiTheme="majorBidi" w:cstheme="majorBidi"/>
          <w:sz w:val="24"/>
          <w:szCs w:val="24"/>
        </w:rPr>
      </w:pPr>
      <w:r w:rsidRPr="001F64A9">
        <w:rPr>
          <w:rFonts w:asciiTheme="majorBidi" w:hAnsiTheme="majorBidi" w:cstheme="majorBidi"/>
          <w:sz w:val="24"/>
          <w:szCs w:val="24"/>
        </w:rPr>
        <w:br w:type="page"/>
      </w:r>
    </w:p>
    <w:p w14:paraId="47CBBA89" w14:textId="77777777" w:rsidR="00EE5072" w:rsidRPr="001F64A9" w:rsidRDefault="00EE5072" w:rsidP="00EE5072">
      <w:pPr>
        <w:spacing w:line="480" w:lineRule="auto"/>
        <w:jc w:val="both"/>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Table 4</w:t>
      </w:r>
    </w:p>
    <w:p w14:paraId="6DBFF4E1" w14:textId="77777777" w:rsidR="00EE5072" w:rsidRPr="001F64A9" w:rsidRDefault="00EE5072" w:rsidP="00EE5072">
      <w:pPr>
        <w:spacing w:line="480" w:lineRule="auto"/>
        <w:jc w:val="both"/>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LSD Post-Hoc Comparisons for Negative Valence Across Terminologies in Experiment 1b</w:t>
      </w:r>
    </w:p>
    <w:tbl>
      <w:tblPr>
        <w:tblStyle w:val="TableGrid"/>
        <w:tblW w:w="4972"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1981"/>
        <w:gridCol w:w="2573"/>
        <w:gridCol w:w="1389"/>
        <w:gridCol w:w="1383"/>
      </w:tblGrid>
      <w:tr w:rsidR="00EE5072" w:rsidRPr="001F64A9" w14:paraId="5F5C37EE" w14:textId="77777777" w:rsidTr="00DE4EA4">
        <w:trPr>
          <w:trHeight w:val="439"/>
        </w:trPr>
        <w:tc>
          <w:tcPr>
            <w:tcW w:w="2128" w:type="pct"/>
            <w:gridSpan w:val="2"/>
            <w:tcBorders>
              <w:top w:val="single" w:sz="4" w:space="0" w:color="auto"/>
              <w:left w:val="nil"/>
              <w:bottom w:val="single" w:sz="4" w:space="0" w:color="auto"/>
              <w:right w:val="nil"/>
            </w:tcBorders>
            <w:hideMark/>
          </w:tcPr>
          <w:p w14:paraId="78225724"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Groups</w:t>
            </w:r>
          </w:p>
        </w:tc>
        <w:tc>
          <w:tcPr>
            <w:tcW w:w="1382" w:type="pct"/>
            <w:tcBorders>
              <w:top w:val="single" w:sz="4" w:space="0" w:color="auto"/>
              <w:left w:val="nil"/>
              <w:bottom w:val="single" w:sz="4" w:space="0" w:color="auto"/>
              <w:right w:val="nil"/>
            </w:tcBorders>
            <w:vAlign w:val="center"/>
            <w:hideMark/>
          </w:tcPr>
          <w:p w14:paraId="58760693" w14:textId="77777777" w:rsidR="00EE5072" w:rsidRPr="001F64A9" w:rsidRDefault="00EE5072">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MD</w:t>
            </w:r>
          </w:p>
        </w:tc>
        <w:tc>
          <w:tcPr>
            <w:tcW w:w="746" w:type="pct"/>
            <w:tcBorders>
              <w:top w:val="single" w:sz="4" w:space="0" w:color="auto"/>
              <w:left w:val="nil"/>
              <w:bottom w:val="single" w:sz="4" w:space="0" w:color="auto"/>
              <w:right w:val="nil"/>
            </w:tcBorders>
            <w:vAlign w:val="center"/>
            <w:hideMark/>
          </w:tcPr>
          <w:p w14:paraId="42E7110A" w14:textId="77777777" w:rsidR="00EE5072" w:rsidRPr="001F64A9" w:rsidRDefault="00EE5072">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SE</w:t>
            </w:r>
          </w:p>
        </w:tc>
        <w:tc>
          <w:tcPr>
            <w:tcW w:w="743" w:type="pct"/>
            <w:tcBorders>
              <w:top w:val="single" w:sz="4" w:space="0" w:color="auto"/>
              <w:left w:val="nil"/>
              <w:bottom w:val="single" w:sz="4" w:space="0" w:color="auto"/>
              <w:right w:val="nil"/>
            </w:tcBorders>
            <w:vAlign w:val="center"/>
            <w:hideMark/>
          </w:tcPr>
          <w:p w14:paraId="35858C18" w14:textId="77777777" w:rsidR="00EE5072" w:rsidRPr="001F64A9" w:rsidRDefault="00EE5072">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p</w:t>
            </w:r>
          </w:p>
        </w:tc>
      </w:tr>
      <w:tr w:rsidR="00EE5072" w:rsidRPr="001F64A9" w14:paraId="10C785C5" w14:textId="77777777" w:rsidTr="00DE4EA4">
        <w:trPr>
          <w:trHeight w:val="453"/>
        </w:trPr>
        <w:tc>
          <w:tcPr>
            <w:tcW w:w="1064" w:type="pct"/>
            <w:tcBorders>
              <w:top w:val="single" w:sz="4" w:space="0" w:color="auto"/>
              <w:left w:val="nil"/>
              <w:bottom w:val="nil"/>
              <w:right w:val="nil"/>
            </w:tcBorders>
            <w:hideMark/>
          </w:tcPr>
          <w:p w14:paraId="6FDA7CAD"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CPR</w:t>
            </w:r>
          </w:p>
        </w:tc>
        <w:tc>
          <w:tcPr>
            <w:tcW w:w="1064" w:type="pct"/>
            <w:tcBorders>
              <w:top w:val="single" w:sz="4" w:space="0" w:color="auto"/>
              <w:left w:val="nil"/>
              <w:bottom w:val="nil"/>
              <w:right w:val="nil"/>
            </w:tcBorders>
            <w:hideMark/>
          </w:tcPr>
          <w:p w14:paraId="2BEDE32C"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AND</w:t>
            </w:r>
          </w:p>
        </w:tc>
        <w:tc>
          <w:tcPr>
            <w:tcW w:w="1382" w:type="pct"/>
            <w:tcBorders>
              <w:top w:val="single" w:sz="4" w:space="0" w:color="auto"/>
              <w:left w:val="nil"/>
              <w:bottom w:val="nil"/>
              <w:right w:val="nil"/>
            </w:tcBorders>
            <w:vAlign w:val="center"/>
            <w:hideMark/>
          </w:tcPr>
          <w:p w14:paraId="6030DF3B"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-.67***</w:t>
            </w:r>
          </w:p>
        </w:tc>
        <w:tc>
          <w:tcPr>
            <w:tcW w:w="746" w:type="pct"/>
            <w:tcBorders>
              <w:top w:val="single" w:sz="4" w:space="0" w:color="auto"/>
              <w:left w:val="nil"/>
              <w:bottom w:val="nil"/>
              <w:right w:val="nil"/>
            </w:tcBorders>
            <w:vAlign w:val="center"/>
            <w:hideMark/>
          </w:tcPr>
          <w:p w14:paraId="4DF0C8E1"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.17</w:t>
            </w:r>
          </w:p>
        </w:tc>
        <w:tc>
          <w:tcPr>
            <w:tcW w:w="743" w:type="pct"/>
            <w:tcBorders>
              <w:top w:val="single" w:sz="4" w:space="0" w:color="auto"/>
              <w:left w:val="nil"/>
              <w:bottom w:val="nil"/>
              <w:right w:val="nil"/>
            </w:tcBorders>
            <w:vAlign w:val="center"/>
            <w:hideMark/>
          </w:tcPr>
          <w:p w14:paraId="29572F8A"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.26</w:t>
            </w:r>
          </w:p>
        </w:tc>
      </w:tr>
      <w:tr w:rsidR="00EE5072" w:rsidRPr="001F64A9" w14:paraId="4AEE78BE" w14:textId="77777777" w:rsidTr="00DE4EA4">
        <w:trPr>
          <w:trHeight w:val="439"/>
        </w:trPr>
        <w:tc>
          <w:tcPr>
            <w:tcW w:w="1064" w:type="pct"/>
            <w:tcBorders>
              <w:top w:val="nil"/>
              <w:left w:val="nil"/>
              <w:bottom w:val="nil"/>
              <w:right w:val="nil"/>
            </w:tcBorders>
          </w:tcPr>
          <w:p w14:paraId="516398BA" w14:textId="77777777" w:rsidR="00EE5072" w:rsidRPr="001F64A9" w:rsidRDefault="00EE5072">
            <w:pPr>
              <w:spacing w:line="360" w:lineRule="auto"/>
              <w:jc w:val="both"/>
              <w:rPr>
                <w:rFonts w:asciiTheme="majorBidi" w:eastAsia="Times New Roman" w:hAnsiTheme="majorBidi" w:cstheme="majorBidi"/>
                <w:szCs w:val="24"/>
              </w:rPr>
            </w:pPr>
          </w:p>
        </w:tc>
        <w:tc>
          <w:tcPr>
            <w:tcW w:w="1064" w:type="pct"/>
            <w:tcBorders>
              <w:top w:val="nil"/>
              <w:left w:val="nil"/>
              <w:bottom w:val="nil"/>
              <w:right w:val="nil"/>
            </w:tcBorders>
            <w:hideMark/>
          </w:tcPr>
          <w:p w14:paraId="74E70051"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DNR</w:t>
            </w:r>
          </w:p>
        </w:tc>
        <w:tc>
          <w:tcPr>
            <w:tcW w:w="1382" w:type="pct"/>
            <w:tcBorders>
              <w:top w:val="nil"/>
              <w:left w:val="nil"/>
              <w:bottom w:val="nil"/>
              <w:right w:val="nil"/>
            </w:tcBorders>
            <w:vAlign w:val="center"/>
            <w:hideMark/>
          </w:tcPr>
          <w:p w14:paraId="5D042114"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-.41*</w:t>
            </w:r>
          </w:p>
        </w:tc>
        <w:tc>
          <w:tcPr>
            <w:tcW w:w="746" w:type="pct"/>
            <w:tcBorders>
              <w:top w:val="nil"/>
              <w:left w:val="nil"/>
              <w:bottom w:val="nil"/>
              <w:right w:val="nil"/>
            </w:tcBorders>
            <w:vAlign w:val="center"/>
            <w:hideMark/>
          </w:tcPr>
          <w:p w14:paraId="0275EDA3"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.17</w:t>
            </w:r>
          </w:p>
        </w:tc>
        <w:tc>
          <w:tcPr>
            <w:tcW w:w="743" w:type="pct"/>
            <w:tcBorders>
              <w:top w:val="nil"/>
              <w:left w:val="nil"/>
              <w:bottom w:val="nil"/>
              <w:right w:val="nil"/>
            </w:tcBorders>
            <w:vAlign w:val="center"/>
            <w:hideMark/>
          </w:tcPr>
          <w:p w14:paraId="012A32E0"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.31</w:t>
            </w:r>
          </w:p>
        </w:tc>
      </w:tr>
      <w:tr w:rsidR="00EE5072" w:rsidRPr="001F64A9" w14:paraId="73DF0854" w14:textId="77777777" w:rsidTr="00DE4EA4">
        <w:trPr>
          <w:trHeight w:val="439"/>
        </w:trPr>
        <w:tc>
          <w:tcPr>
            <w:tcW w:w="1064" w:type="pct"/>
            <w:tcBorders>
              <w:top w:val="nil"/>
              <w:left w:val="nil"/>
              <w:bottom w:val="single" w:sz="4" w:space="0" w:color="auto"/>
              <w:right w:val="nil"/>
            </w:tcBorders>
            <w:hideMark/>
          </w:tcPr>
          <w:p w14:paraId="399AF8CB"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AND</w:t>
            </w:r>
          </w:p>
        </w:tc>
        <w:tc>
          <w:tcPr>
            <w:tcW w:w="1064" w:type="pct"/>
            <w:tcBorders>
              <w:top w:val="nil"/>
              <w:left w:val="nil"/>
              <w:bottom w:val="single" w:sz="4" w:space="0" w:color="auto"/>
              <w:right w:val="nil"/>
            </w:tcBorders>
            <w:hideMark/>
          </w:tcPr>
          <w:p w14:paraId="09476070" w14:textId="77777777" w:rsidR="00EE5072" w:rsidRPr="001F64A9" w:rsidRDefault="00EE5072">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DNR</w:t>
            </w:r>
          </w:p>
        </w:tc>
        <w:tc>
          <w:tcPr>
            <w:tcW w:w="1382" w:type="pct"/>
            <w:tcBorders>
              <w:top w:val="nil"/>
              <w:left w:val="nil"/>
              <w:bottom w:val="single" w:sz="4" w:space="0" w:color="auto"/>
              <w:right w:val="nil"/>
            </w:tcBorders>
            <w:vAlign w:val="center"/>
            <w:hideMark/>
          </w:tcPr>
          <w:p w14:paraId="124B5041"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.26</w:t>
            </w:r>
          </w:p>
        </w:tc>
        <w:tc>
          <w:tcPr>
            <w:tcW w:w="746" w:type="pct"/>
            <w:tcBorders>
              <w:top w:val="nil"/>
              <w:left w:val="nil"/>
              <w:bottom w:val="single" w:sz="4" w:space="0" w:color="auto"/>
              <w:right w:val="nil"/>
            </w:tcBorders>
            <w:vAlign w:val="center"/>
            <w:hideMark/>
          </w:tcPr>
          <w:p w14:paraId="6E527D7D"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.17</w:t>
            </w:r>
          </w:p>
        </w:tc>
        <w:tc>
          <w:tcPr>
            <w:tcW w:w="743" w:type="pct"/>
            <w:tcBorders>
              <w:top w:val="nil"/>
              <w:left w:val="nil"/>
              <w:bottom w:val="single" w:sz="4" w:space="0" w:color="auto"/>
              <w:right w:val="nil"/>
            </w:tcBorders>
            <w:vAlign w:val="center"/>
            <w:hideMark/>
          </w:tcPr>
          <w:p w14:paraId="6DA5273C" w14:textId="77777777" w:rsidR="00EE5072" w:rsidRPr="001F64A9" w:rsidRDefault="00EE5072">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.03</w:t>
            </w:r>
          </w:p>
        </w:tc>
      </w:tr>
    </w:tbl>
    <w:p w14:paraId="4E4F6F22" w14:textId="77777777" w:rsidR="00EE5072" w:rsidRPr="001F64A9" w:rsidRDefault="00EE5072" w:rsidP="00EE5072">
      <w:pPr>
        <w:spacing w:line="480" w:lineRule="auto"/>
        <w:jc w:val="both"/>
        <w:rPr>
          <w:rFonts w:asciiTheme="majorBidi" w:hAnsiTheme="majorBidi" w:cstheme="majorBidi"/>
          <w:sz w:val="20"/>
          <w:szCs w:val="20"/>
        </w:rPr>
      </w:pPr>
      <w:r w:rsidRPr="001F64A9">
        <w:rPr>
          <w:rFonts w:asciiTheme="majorBidi" w:hAnsiTheme="majorBidi" w:cstheme="majorBidi"/>
          <w:i/>
          <w:iCs/>
          <w:sz w:val="20"/>
          <w:szCs w:val="20"/>
        </w:rPr>
        <w:t>Note.</w:t>
      </w:r>
      <w:r w:rsidRPr="001F64A9">
        <w:rPr>
          <w:rFonts w:asciiTheme="majorBidi" w:hAnsiTheme="majorBidi" w:cstheme="majorBidi"/>
          <w:sz w:val="20"/>
          <w:szCs w:val="20"/>
        </w:rPr>
        <w:t xml:space="preserve"> * </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.05.</w:t>
      </w:r>
    </w:p>
    <w:p w14:paraId="5867457D" w14:textId="77777777" w:rsidR="00EE5072" w:rsidRPr="001F64A9" w:rsidRDefault="00EE5072" w:rsidP="00EE5072">
      <w:pPr>
        <w:rPr>
          <w:rFonts w:asciiTheme="majorBidi" w:hAnsiTheme="majorBidi" w:cstheme="majorBidi"/>
          <w:sz w:val="24"/>
          <w:szCs w:val="24"/>
        </w:rPr>
      </w:pPr>
      <w:r w:rsidRPr="001F64A9">
        <w:rPr>
          <w:rFonts w:asciiTheme="majorBidi" w:hAnsiTheme="majorBidi" w:cstheme="majorBidi"/>
          <w:sz w:val="24"/>
          <w:szCs w:val="24"/>
        </w:rPr>
        <w:br w:type="page"/>
      </w:r>
    </w:p>
    <w:p w14:paraId="0CE1B9F5" w14:textId="77777777" w:rsidR="00EE5072" w:rsidRPr="001F64A9" w:rsidRDefault="00EE5072" w:rsidP="00EE5072">
      <w:pPr>
        <w:spacing w:line="480" w:lineRule="auto"/>
        <w:jc w:val="both"/>
        <w:rPr>
          <w:rFonts w:asciiTheme="majorBidi" w:hAnsiTheme="majorBidi" w:cstheme="majorBidi"/>
          <w:b/>
          <w:bCs/>
          <w:sz w:val="24"/>
          <w:szCs w:val="24"/>
        </w:rPr>
      </w:pPr>
      <w:r w:rsidRPr="001F64A9">
        <w:rPr>
          <w:rFonts w:asciiTheme="majorBidi" w:hAnsiTheme="majorBidi" w:cstheme="majorBidi"/>
          <w:b/>
          <w:bCs/>
          <w:sz w:val="24"/>
          <w:szCs w:val="24"/>
        </w:rPr>
        <w:lastRenderedPageBreak/>
        <w:t>Table 5</w:t>
      </w:r>
    </w:p>
    <w:p w14:paraId="4AA7B4E9" w14:textId="77777777" w:rsidR="00EE5072" w:rsidRPr="001F64A9" w:rsidRDefault="00EE5072" w:rsidP="00EE5072">
      <w:pPr>
        <w:spacing w:line="480" w:lineRule="auto"/>
        <w:jc w:val="both"/>
        <w:rPr>
          <w:rFonts w:asciiTheme="majorBidi" w:hAnsiTheme="majorBidi" w:cstheme="majorBidi"/>
          <w:i/>
          <w:iCs/>
          <w:sz w:val="24"/>
          <w:szCs w:val="24"/>
        </w:rPr>
      </w:pPr>
      <w:r w:rsidRPr="001F64A9">
        <w:rPr>
          <w:rFonts w:asciiTheme="majorBidi" w:hAnsiTheme="majorBidi" w:cstheme="majorBidi"/>
          <w:i/>
          <w:iCs/>
          <w:sz w:val="24"/>
          <w:szCs w:val="24"/>
        </w:rPr>
        <w:t xml:space="preserve">Chi-Square Test for Groups and DNR Decision </w:t>
      </w:r>
      <w:r w:rsidRPr="001F64A9">
        <w:rPr>
          <w:rFonts w:asciiTheme="majorBidi" w:eastAsia="Times New Roman" w:hAnsiTheme="majorBidi" w:cstheme="majorBidi"/>
          <w:i/>
          <w:iCs/>
          <w:sz w:val="24"/>
          <w:szCs w:val="24"/>
        </w:rPr>
        <w:t>in Experiment 1b</w:t>
      </w:r>
    </w:p>
    <w:tbl>
      <w:tblPr>
        <w:tblW w:w="4986" w:type="pct"/>
        <w:tblLook w:val="04A0" w:firstRow="1" w:lastRow="0" w:firstColumn="1" w:lastColumn="0" w:noHBand="0" w:noVBand="1"/>
      </w:tblPr>
      <w:tblGrid>
        <w:gridCol w:w="1951"/>
        <w:gridCol w:w="3946"/>
        <w:gridCol w:w="3437"/>
      </w:tblGrid>
      <w:tr w:rsidR="00EE5072" w:rsidRPr="001F64A9" w14:paraId="25AE0AFF" w14:textId="77777777" w:rsidTr="00DE4EA4">
        <w:trPr>
          <w:trHeight w:val="347"/>
        </w:trPr>
        <w:tc>
          <w:tcPr>
            <w:tcW w:w="1045" w:type="pct"/>
            <w:vMerge w:val="restart"/>
            <w:tcBorders>
              <w:top w:val="single" w:sz="4" w:space="0" w:color="auto"/>
              <w:left w:val="nil"/>
              <w:bottom w:val="single" w:sz="4" w:space="0" w:color="auto"/>
              <w:right w:val="nil"/>
            </w:tcBorders>
            <w:vAlign w:val="center"/>
            <w:hideMark/>
          </w:tcPr>
          <w:p w14:paraId="1ED41E5F" w14:textId="77777777" w:rsidR="00EE5072" w:rsidRPr="001F64A9" w:rsidRDefault="00EE5072">
            <w:pPr>
              <w:spacing w:after="0" w:line="24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Group</w:t>
            </w:r>
          </w:p>
        </w:tc>
        <w:tc>
          <w:tcPr>
            <w:tcW w:w="3955" w:type="pct"/>
            <w:gridSpan w:val="2"/>
            <w:tcBorders>
              <w:top w:val="single" w:sz="4" w:space="0" w:color="auto"/>
              <w:left w:val="nil"/>
              <w:bottom w:val="single" w:sz="4" w:space="0" w:color="auto"/>
              <w:right w:val="nil"/>
            </w:tcBorders>
            <w:noWrap/>
            <w:vAlign w:val="center"/>
            <w:hideMark/>
          </w:tcPr>
          <w:p w14:paraId="4A9DE02D" w14:textId="77777777" w:rsidR="00EE5072" w:rsidRPr="001F64A9" w:rsidRDefault="00EE5072">
            <w:pPr>
              <w:spacing w:after="0"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DNR Decision</w:t>
            </w:r>
          </w:p>
        </w:tc>
      </w:tr>
      <w:tr w:rsidR="00EE5072" w:rsidRPr="001F64A9" w14:paraId="7FEA6780" w14:textId="77777777" w:rsidTr="00DE4EA4">
        <w:trPr>
          <w:trHeight w:val="347"/>
        </w:trPr>
        <w:tc>
          <w:tcPr>
            <w:tcW w:w="0" w:type="auto"/>
            <w:vMerge/>
            <w:tcBorders>
              <w:top w:val="single" w:sz="4" w:space="0" w:color="auto"/>
              <w:left w:val="nil"/>
              <w:bottom w:val="single" w:sz="4" w:space="0" w:color="auto"/>
              <w:right w:val="nil"/>
            </w:tcBorders>
            <w:vAlign w:val="center"/>
            <w:hideMark/>
          </w:tcPr>
          <w:p w14:paraId="20E89AA7" w14:textId="77777777" w:rsidR="00EE5072" w:rsidRPr="001F64A9" w:rsidRDefault="00EE5072">
            <w:pPr>
              <w:spacing w:after="0"/>
              <w:rPr>
                <w:rFonts w:asciiTheme="majorBidi" w:eastAsia="Times New Roman" w:hAnsiTheme="majorBidi" w:cstheme="majorBidi"/>
                <w:sz w:val="24"/>
                <w:szCs w:val="24"/>
              </w:rPr>
            </w:pPr>
          </w:p>
        </w:tc>
        <w:tc>
          <w:tcPr>
            <w:tcW w:w="2114" w:type="pct"/>
            <w:tcBorders>
              <w:top w:val="single" w:sz="4" w:space="0" w:color="auto"/>
              <w:left w:val="nil"/>
              <w:bottom w:val="single" w:sz="4" w:space="0" w:color="auto"/>
              <w:right w:val="nil"/>
            </w:tcBorders>
            <w:noWrap/>
            <w:vAlign w:val="center"/>
            <w:hideMark/>
          </w:tcPr>
          <w:p w14:paraId="1681AD1F" w14:textId="77777777" w:rsidR="00EE5072" w:rsidRPr="001F64A9" w:rsidRDefault="00EE5072">
            <w:pPr>
              <w:spacing w:after="0" w:line="240" w:lineRule="auto"/>
              <w:jc w:val="center"/>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Yes</w:t>
            </w:r>
          </w:p>
        </w:tc>
        <w:tc>
          <w:tcPr>
            <w:tcW w:w="1841" w:type="pct"/>
            <w:tcBorders>
              <w:top w:val="single" w:sz="4" w:space="0" w:color="auto"/>
              <w:left w:val="nil"/>
              <w:bottom w:val="single" w:sz="4" w:space="0" w:color="auto"/>
              <w:right w:val="nil"/>
            </w:tcBorders>
            <w:noWrap/>
            <w:vAlign w:val="center"/>
            <w:hideMark/>
          </w:tcPr>
          <w:p w14:paraId="07DB3770" w14:textId="77777777" w:rsidR="00EE5072" w:rsidRPr="001F64A9" w:rsidRDefault="00EE5072">
            <w:pPr>
              <w:spacing w:after="0" w:line="240" w:lineRule="auto"/>
              <w:jc w:val="center"/>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No</w:t>
            </w:r>
          </w:p>
        </w:tc>
      </w:tr>
      <w:tr w:rsidR="001F64A9" w:rsidRPr="001F64A9" w14:paraId="53E813C2" w14:textId="77777777" w:rsidTr="00DE4EA4">
        <w:trPr>
          <w:trHeight w:val="347"/>
        </w:trPr>
        <w:tc>
          <w:tcPr>
            <w:tcW w:w="1045" w:type="pct"/>
            <w:tcBorders>
              <w:top w:val="single" w:sz="4" w:space="0" w:color="auto"/>
              <w:left w:val="nil"/>
              <w:bottom w:val="nil"/>
              <w:right w:val="nil"/>
            </w:tcBorders>
            <w:vAlign w:val="center"/>
            <w:hideMark/>
          </w:tcPr>
          <w:p w14:paraId="5E9192F5" w14:textId="77777777" w:rsidR="00EE5072" w:rsidRPr="001F64A9" w:rsidRDefault="00EE5072">
            <w:pPr>
              <w:spacing w:after="0" w:line="24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CPR</w:t>
            </w:r>
          </w:p>
        </w:tc>
        <w:tc>
          <w:tcPr>
            <w:tcW w:w="2114" w:type="pct"/>
            <w:tcBorders>
              <w:top w:val="single" w:sz="4" w:space="0" w:color="auto"/>
              <w:left w:val="nil"/>
              <w:bottom w:val="nil"/>
              <w:right w:val="nil"/>
            </w:tcBorders>
            <w:noWrap/>
            <w:vAlign w:val="center"/>
            <w:hideMark/>
          </w:tcPr>
          <w:p w14:paraId="11BFABC8" w14:textId="77777777" w:rsidR="00EE5072" w:rsidRPr="001F64A9" w:rsidRDefault="00EE5072">
            <w:pPr>
              <w:spacing w:after="0"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12</w:t>
            </w:r>
          </w:p>
        </w:tc>
        <w:tc>
          <w:tcPr>
            <w:tcW w:w="1841" w:type="pct"/>
            <w:tcBorders>
              <w:top w:val="single" w:sz="4" w:space="0" w:color="auto"/>
              <w:left w:val="nil"/>
              <w:bottom w:val="nil"/>
              <w:right w:val="nil"/>
            </w:tcBorders>
            <w:noWrap/>
            <w:vAlign w:val="center"/>
            <w:hideMark/>
          </w:tcPr>
          <w:p w14:paraId="012DC4EB" w14:textId="77777777" w:rsidR="00EE5072" w:rsidRPr="001F64A9" w:rsidRDefault="00EE5072">
            <w:pPr>
              <w:spacing w:after="0"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82</w:t>
            </w:r>
          </w:p>
        </w:tc>
      </w:tr>
      <w:tr w:rsidR="001F64A9" w:rsidRPr="001F64A9" w14:paraId="37F79385" w14:textId="77777777" w:rsidTr="00DE4EA4">
        <w:trPr>
          <w:trHeight w:val="347"/>
        </w:trPr>
        <w:tc>
          <w:tcPr>
            <w:tcW w:w="1045" w:type="pct"/>
            <w:vAlign w:val="center"/>
            <w:hideMark/>
          </w:tcPr>
          <w:p w14:paraId="094ACFA6" w14:textId="77777777" w:rsidR="00EE5072" w:rsidRPr="001F64A9" w:rsidRDefault="00EE5072">
            <w:pPr>
              <w:spacing w:after="0" w:line="24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AND</w:t>
            </w:r>
          </w:p>
        </w:tc>
        <w:tc>
          <w:tcPr>
            <w:tcW w:w="2114" w:type="pct"/>
            <w:noWrap/>
            <w:vAlign w:val="center"/>
            <w:hideMark/>
          </w:tcPr>
          <w:p w14:paraId="160CCDE7" w14:textId="77777777" w:rsidR="00EE5072" w:rsidRPr="001F64A9" w:rsidRDefault="00EE5072">
            <w:pPr>
              <w:spacing w:after="0"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44</w:t>
            </w:r>
          </w:p>
        </w:tc>
        <w:tc>
          <w:tcPr>
            <w:tcW w:w="1841" w:type="pct"/>
            <w:noWrap/>
            <w:vAlign w:val="center"/>
            <w:hideMark/>
          </w:tcPr>
          <w:p w14:paraId="0443CC0C" w14:textId="77777777" w:rsidR="00EE5072" w:rsidRPr="001F64A9" w:rsidRDefault="00EE5072">
            <w:pPr>
              <w:spacing w:after="0"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47</w:t>
            </w:r>
          </w:p>
        </w:tc>
      </w:tr>
      <w:tr w:rsidR="001F64A9" w:rsidRPr="001F64A9" w14:paraId="07304074" w14:textId="77777777" w:rsidTr="00DE4EA4">
        <w:trPr>
          <w:trHeight w:val="347"/>
        </w:trPr>
        <w:tc>
          <w:tcPr>
            <w:tcW w:w="1045" w:type="pct"/>
            <w:tcBorders>
              <w:top w:val="nil"/>
              <w:left w:val="nil"/>
              <w:bottom w:val="single" w:sz="4" w:space="0" w:color="auto"/>
              <w:right w:val="nil"/>
            </w:tcBorders>
            <w:vAlign w:val="center"/>
            <w:hideMark/>
          </w:tcPr>
          <w:p w14:paraId="2FE320C5" w14:textId="77777777" w:rsidR="00EE5072" w:rsidRPr="001F64A9" w:rsidRDefault="00EE5072">
            <w:pPr>
              <w:spacing w:after="0" w:line="24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DNR</w:t>
            </w:r>
          </w:p>
        </w:tc>
        <w:tc>
          <w:tcPr>
            <w:tcW w:w="2114" w:type="pct"/>
            <w:tcBorders>
              <w:top w:val="nil"/>
              <w:left w:val="nil"/>
              <w:bottom w:val="single" w:sz="4" w:space="0" w:color="auto"/>
              <w:right w:val="nil"/>
            </w:tcBorders>
            <w:noWrap/>
            <w:vAlign w:val="center"/>
            <w:hideMark/>
          </w:tcPr>
          <w:p w14:paraId="376CFC09" w14:textId="77777777" w:rsidR="00EE5072" w:rsidRPr="001F64A9" w:rsidRDefault="00EE5072">
            <w:pPr>
              <w:spacing w:after="0"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51</w:t>
            </w:r>
          </w:p>
        </w:tc>
        <w:tc>
          <w:tcPr>
            <w:tcW w:w="1841" w:type="pct"/>
            <w:tcBorders>
              <w:top w:val="nil"/>
              <w:left w:val="nil"/>
              <w:bottom w:val="single" w:sz="4" w:space="0" w:color="auto"/>
              <w:right w:val="nil"/>
            </w:tcBorders>
            <w:noWrap/>
            <w:vAlign w:val="center"/>
            <w:hideMark/>
          </w:tcPr>
          <w:p w14:paraId="6B0DB045" w14:textId="77777777" w:rsidR="00EE5072" w:rsidRPr="001F64A9" w:rsidRDefault="00EE5072">
            <w:pPr>
              <w:spacing w:after="0"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45</w:t>
            </w:r>
          </w:p>
        </w:tc>
      </w:tr>
    </w:tbl>
    <w:p w14:paraId="61255F81" w14:textId="77777777" w:rsidR="00EE5072" w:rsidRPr="001F64A9" w:rsidRDefault="00EE5072" w:rsidP="00EE5072">
      <w:pPr>
        <w:spacing w:line="480" w:lineRule="auto"/>
        <w:jc w:val="both"/>
        <w:rPr>
          <w:rFonts w:asciiTheme="majorBidi" w:hAnsiTheme="majorBidi" w:cstheme="majorBidi"/>
          <w:sz w:val="24"/>
          <w:szCs w:val="24"/>
        </w:rPr>
      </w:pPr>
      <w:r w:rsidRPr="001F64A9">
        <w:rPr>
          <w:rFonts w:asciiTheme="majorBidi" w:hAnsiTheme="majorBidi" w:cstheme="majorBidi"/>
          <w:sz w:val="24"/>
          <w:szCs w:val="24"/>
        </w:rPr>
        <w:t>ꭓ</w:t>
      </w:r>
      <w:r w:rsidRPr="001F64A9">
        <w:rPr>
          <w:rFonts w:asciiTheme="majorBidi" w:hAnsiTheme="majorBidi" w:cstheme="majorBidi"/>
          <w:sz w:val="24"/>
          <w:szCs w:val="24"/>
          <w:vertAlign w:val="superscript"/>
        </w:rPr>
        <w:t>2</w:t>
      </w:r>
      <w:r w:rsidRPr="001F64A9">
        <w:rPr>
          <w:rFonts w:asciiTheme="majorBidi" w:hAnsiTheme="majorBidi" w:cstheme="majorBidi"/>
          <w:sz w:val="24"/>
          <w:szCs w:val="24"/>
        </w:rPr>
        <w:t xml:space="preserve"> (</w:t>
      </w:r>
      <w:r w:rsidRPr="001F64A9">
        <w:rPr>
          <w:rFonts w:asciiTheme="majorBidi" w:hAnsiTheme="majorBidi" w:cstheme="majorBidi"/>
          <w:i/>
          <w:iCs/>
          <w:sz w:val="24"/>
          <w:szCs w:val="24"/>
        </w:rPr>
        <w:t>2</w:t>
      </w:r>
      <w:r w:rsidRPr="001F64A9">
        <w:rPr>
          <w:rFonts w:asciiTheme="majorBidi" w:hAnsiTheme="majorBidi" w:cstheme="majorBidi"/>
          <w:sz w:val="24"/>
          <w:szCs w:val="24"/>
        </w:rPr>
        <w:t xml:space="preserve">) = 38.83, </w:t>
      </w:r>
      <w:r w:rsidRPr="001F64A9">
        <w:rPr>
          <w:rFonts w:asciiTheme="majorBidi" w:hAnsiTheme="majorBidi" w:cstheme="majorBidi"/>
          <w:i/>
          <w:iCs/>
          <w:sz w:val="24"/>
          <w:szCs w:val="24"/>
        </w:rPr>
        <w:t>p</w:t>
      </w:r>
      <w:r w:rsidRPr="001F64A9">
        <w:rPr>
          <w:rFonts w:asciiTheme="majorBidi" w:hAnsiTheme="majorBidi" w:cstheme="majorBidi"/>
          <w:sz w:val="24"/>
          <w:szCs w:val="24"/>
        </w:rPr>
        <w:t xml:space="preserve"> &lt; .001</w:t>
      </w:r>
    </w:p>
    <w:p w14:paraId="71CDCEFF" w14:textId="77777777" w:rsidR="00EE5072" w:rsidRPr="001F64A9" w:rsidRDefault="00EE5072" w:rsidP="00EE5072">
      <w:pPr>
        <w:rPr>
          <w:rFonts w:asciiTheme="majorBidi" w:hAnsiTheme="majorBidi" w:cstheme="majorBidi"/>
          <w:b/>
          <w:bCs/>
          <w:sz w:val="24"/>
          <w:szCs w:val="24"/>
        </w:rPr>
      </w:pPr>
    </w:p>
    <w:p w14:paraId="7F8B057E"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br w:type="page"/>
      </w:r>
    </w:p>
    <w:p w14:paraId="135EB287"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lastRenderedPageBreak/>
        <w:t>Table 6</w:t>
      </w:r>
    </w:p>
    <w:p w14:paraId="32F3B358" w14:textId="77777777" w:rsidR="00EE5072" w:rsidRPr="001F64A9" w:rsidRDefault="00EE5072" w:rsidP="00EE5072">
      <w:pPr>
        <w:rPr>
          <w:rFonts w:asciiTheme="majorBidi" w:hAnsiTheme="majorBidi" w:cstheme="majorBidi"/>
          <w:i/>
          <w:iCs/>
          <w:sz w:val="24"/>
          <w:szCs w:val="24"/>
        </w:rPr>
      </w:pPr>
      <w:r w:rsidRPr="001F64A9">
        <w:rPr>
          <w:rFonts w:asciiTheme="majorBidi" w:hAnsiTheme="majorBidi" w:cstheme="majorBidi"/>
          <w:i/>
          <w:iCs/>
          <w:sz w:val="24"/>
          <w:szCs w:val="24"/>
        </w:rPr>
        <w:t xml:space="preserve">Comparison of Correlations Between Life Oriented Values and DNR Preference Across Terminologies </w:t>
      </w:r>
      <w:r w:rsidRPr="001F64A9">
        <w:rPr>
          <w:rFonts w:asciiTheme="majorBidi" w:eastAsia="Times New Roman" w:hAnsiTheme="majorBidi" w:cstheme="majorBidi"/>
          <w:i/>
          <w:iCs/>
          <w:sz w:val="24"/>
          <w:szCs w:val="24"/>
        </w:rPr>
        <w:t>in Experiment 1b</w:t>
      </w:r>
    </w:p>
    <w:tbl>
      <w:tblPr>
        <w:tblStyle w:val="TableGrid"/>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5"/>
        <w:gridCol w:w="2201"/>
        <w:gridCol w:w="1443"/>
        <w:gridCol w:w="1048"/>
        <w:gridCol w:w="1245"/>
        <w:gridCol w:w="848"/>
      </w:tblGrid>
      <w:tr w:rsidR="00EE5072" w:rsidRPr="001F64A9" w14:paraId="69A6B487" w14:textId="77777777" w:rsidTr="00DE4EA4">
        <w:trPr>
          <w:trHeight w:val="511"/>
        </w:trPr>
        <w:tc>
          <w:tcPr>
            <w:tcW w:w="2551" w:type="pct"/>
            <w:gridSpan w:val="2"/>
            <w:tcBorders>
              <w:top w:val="single" w:sz="4" w:space="0" w:color="auto"/>
              <w:left w:val="nil"/>
              <w:bottom w:val="single" w:sz="4" w:space="0" w:color="auto"/>
              <w:right w:val="nil"/>
            </w:tcBorders>
            <w:hideMark/>
          </w:tcPr>
          <w:p w14:paraId="4A3409B0" w14:textId="77777777" w:rsidR="00EE5072" w:rsidRPr="001F64A9" w:rsidRDefault="00EE5072">
            <w:pPr>
              <w:spacing w:after="0" w:line="360" w:lineRule="auto"/>
              <w:rPr>
                <w:rFonts w:asciiTheme="majorBidi" w:hAnsiTheme="majorBidi" w:cstheme="majorBidi"/>
                <w:sz w:val="24"/>
                <w:szCs w:val="24"/>
              </w:rPr>
            </w:pPr>
            <w:r w:rsidRPr="001F64A9">
              <w:rPr>
                <w:rFonts w:asciiTheme="majorBidi" w:hAnsiTheme="majorBidi" w:cstheme="majorBidi"/>
                <w:sz w:val="24"/>
                <w:szCs w:val="24"/>
              </w:rPr>
              <w:t>Terminologies</w:t>
            </w:r>
          </w:p>
        </w:tc>
        <w:tc>
          <w:tcPr>
            <w:tcW w:w="771" w:type="pct"/>
            <w:tcBorders>
              <w:top w:val="single" w:sz="4" w:space="0" w:color="auto"/>
              <w:left w:val="nil"/>
              <w:bottom w:val="single" w:sz="4" w:space="0" w:color="auto"/>
              <w:right w:val="nil"/>
            </w:tcBorders>
            <w:vAlign w:val="center"/>
            <w:hideMark/>
          </w:tcPr>
          <w:p w14:paraId="49649328" w14:textId="77777777" w:rsidR="00EE5072" w:rsidRPr="001F64A9" w:rsidRDefault="00EE5072">
            <w:pPr>
              <w:spacing w:line="360" w:lineRule="auto"/>
              <w:jc w:val="center"/>
              <w:rPr>
                <w:rFonts w:asciiTheme="majorBidi" w:hAnsiTheme="majorBidi" w:cstheme="majorBidi"/>
                <w:i/>
                <w:iCs/>
                <w:szCs w:val="24"/>
              </w:rPr>
            </w:pPr>
            <w:r w:rsidRPr="001F64A9">
              <w:rPr>
                <w:rFonts w:asciiTheme="majorBidi" w:hAnsiTheme="majorBidi" w:cstheme="majorBidi"/>
                <w:i/>
                <w:iCs/>
                <w:szCs w:val="24"/>
              </w:rPr>
              <w:t>Rstat</w:t>
            </w:r>
          </w:p>
        </w:tc>
        <w:tc>
          <w:tcPr>
            <w:tcW w:w="560" w:type="pct"/>
            <w:tcBorders>
              <w:top w:val="single" w:sz="4" w:space="0" w:color="auto"/>
              <w:left w:val="nil"/>
              <w:bottom w:val="single" w:sz="4" w:space="0" w:color="auto"/>
              <w:right w:val="nil"/>
            </w:tcBorders>
            <w:vAlign w:val="center"/>
            <w:hideMark/>
          </w:tcPr>
          <w:p w14:paraId="326E46CA" w14:textId="77777777" w:rsidR="00EE5072" w:rsidRPr="001F64A9" w:rsidRDefault="00EE5072">
            <w:pPr>
              <w:spacing w:line="360" w:lineRule="auto"/>
              <w:jc w:val="center"/>
              <w:rPr>
                <w:rFonts w:asciiTheme="majorBidi" w:hAnsiTheme="majorBidi" w:cstheme="majorBidi"/>
                <w:i/>
                <w:iCs/>
                <w:szCs w:val="24"/>
              </w:rPr>
            </w:pPr>
            <w:r w:rsidRPr="001F64A9">
              <w:rPr>
                <w:rFonts w:asciiTheme="majorBidi" w:hAnsiTheme="majorBidi" w:cstheme="majorBidi"/>
                <w:i/>
                <w:iCs/>
                <w:szCs w:val="24"/>
              </w:rPr>
              <w:t>p</w:t>
            </w:r>
          </w:p>
        </w:tc>
        <w:tc>
          <w:tcPr>
            <w:tcW w:w="665" w:type="pct"/>
            <w:tcBorders>
              <w:top w:val="single" w:sz="4" w:space="0" w:color="auto"/>
              <w:left w:val="nil"/>
              <w:bottom w:val="single" w:sz="4" w:space="0" w:color="auto"/>
              <w:right w:val="nil"/>
            </w:tcBorders>
            <w:vAlign w:val="center"/>
            <w:hideMark/>
          </w:tcPr>
          <w:p w14:paraId="4B9E8461" w14:textId="77777777" w:rsidR="00EE5072" w:rsidRPr="001F64A9" w:rsidRDefault="00EE5072">
            <w:pPr>
              <w:spacing w:line="360" w:lineRule="auto"/>
              <w:jc w:val="center"/>
              <w:rPr>
                <w:rFonts w:asciiTheme="majorBidi" w:hAnsiTheme="majorBidi" w:cstheme="majorBidi"/>
                <w:i/>
                <w:iCs/>
                <w:szCs w:val="24"/>
              </w:rPr>
            </w:pPr>
            <w:r w:rsidRPr="001F64A9">
              <w:rPr>
                <w:rFonts w:asciiTheme="majorBidi" w:hAnsiTheme="majorBidi" w:cstheme="majorBidi"/>
                <w:i/>
                <w:iCs/>
                <w:szCs w:val="24"/>
              </w:rPr>
              <w:t>χ</w:t>
            </w:r>
            <w:r w:rsidRPr="001F64A9">
              <w:rPr>
                <w:rFonts w:asciiTheme="majorBidi" w:hAnsiTheme="majorBidi" w:cstheme="majorBidi"/>
                <w:i/>
                <w:iCs/>
                <w:szCs w:val="24"/>
                <w:vertAlign w:val="superscript"/>
              </w:rPr>
              <w:t>2</w:t>
            </w:r>
          </w:p>
        </w:tc>
        <w:tc>
          <w:tcPr>
            <w:tcW w:w="453" w:type="pct"/>
            <w:tcBorders>
              <w:top w:val="single" w:sz="4" w:space="0" w:color="auto"/>
              <w:left w:val="nil"/>
              <w:bottom w:val="single" w:sz="4" w:space="0" w:color="auto"/>
              <w:right w:val="nil"/>
            </w:tcBorders>
            <w:vAlign w:val="center"/>
            <w:hideMark/>
          </w:tcPr>
          <w:p w14:paraId="1B4964A4" w14:textId="77777777" w:rsidR="00EE5072" w:rsidRPr="001F64A9" w:rsidRDefault="00EE5072">
            <w:pPr>
              <w:spacing w:line="360" w:lineRule="auto"/>
              <w:jc w:val="center"/>
              <w:rPr>
                <w:rFonts w:asciiTheme="majorBidi" w:hAnsiTheme="majorBidi" w:cstheme="majorBidi"/>
                <w:i/>
                <w:iCs/>
                <w:szCs w:val="24"/>
              </w:rPr>
            </w:pPr>
            <w:r w:rsidRPr="001F64A9">
              <w:rPr>
                <w:rFonts w:asciiTheme="majorBidi" w:hAnsiTheme="majorBidi" w:cstheme="majorBidi"/>
                <w:i/>
                <w:iCs/>
                <w:szCs w:val="24"/>
              </w:rPr>
              <w:t>p</w:t>
            </w:r>
          </w:p>
        </w:tc>
      </w:tr>
      <w:tr w:rsidR="00DE4EA4" w:rsidRPr="001F64A9" w14:paraId="644BA126" w14:textId="77777777" w:rsidTr="00DE4EA4">
        <w:trPr>
          <w:trHeight w:val="496"/>
        </w:trPr>
        <w:tc>
          <w:tcPr>
            <w:tcW w:w="1375" w:type="pct"/>
            <w:vMerge w:val="restart"/>
            <w:tcBorders>
              <w:top w:val="single" w:sz="4" w:space="0" w:color="auto"/>
              <w:left w:val="nil"/>
              <w:bottom w:val="nil"/>
              <w:right w:val="nil"/>
            </w:tcBorders>
            <w:vAlign w:val="center"/>
            <w:hideMark/>
          </w:tcPr>
          <w:p w14:paraId="3B688DCA" w14:textId="77777777" w:rsidR="00EE5072" w:rsidRPr="001F64A9" w:rsidRDefault="00EE5072">
            <w:pPr>
              <w:spacing w:line="360" w:lineRule="auto"/>
              <w:rPr>
                <w:rFonts w:asciiTheme="majorBidi" w:hAnsiTheme="majorBidi" w:cstheme="majorBidi"/>
                <w:szCs w:val="24"/>
              </w:rPr>
            </w:pPr>
            <w:r w:rsidRPr="001F64A9">
              <w:rPr>
                <w:rFonts w:asciiTheme="majorBidi" w:hAnsiTheme="majorBidi" w:cstheme="majorBidi"/>
                <w:szCs w:val="24"/>
              </w:rPr>
              <w:t>DNR (</w:t>
            </w:r>
            <w:r w:rsidRPr="001F64A9">
              <w:rPr>
                <w:rFonts w:asciiTheme="majorBidi" w:hAnsiTheme="majorBidi" w:cstheme="majorBidi"/>
                <w:i/>
                <w:iCs/>
                <w:szCs w:val="24"/>
              </w:rPr>
              <w:t>r</w:t>
            </w:r>
            <w:r w:rsidRPr="001F64A9">
              <w:rPr>
                <w:rFonts w:asciiTheme="majorBidi" w:hAnsiTheme="majorBidi" w:cstheme="majorBidi"/>
                <w:szCs w:val="24"/>
              </w:rPr>
              <w:t xml:space="preserve"> = -.27**)</w:t>
            </w:r>
          </w:p>
        </w:tc>
        <w:tc>
          <w:tcPr>
            <w:tcW w:w="1176" w:type="pct"/>
            <w:tcBorders>
              <w:top w:val="single" w:sz="4" w:space="0" w:color="auto"/>
              <w:left w:val="nil"/>
              <w:bottom w:val="nil"/>
              <w:right w:val="nil"/>
            </w:tcBorders>
            <w:vAlign w:val="center"/>
            <w:hideMark/>
          </w:tcPr>
          <w:p w14:paraId="351443B1" w14:textId="77777777" w:rsidR="00EE5072" w:rsidRPr="001F64A9" w:rsidRDefault="00EE5072">
            <w:pPr>
              <w:spacing w:line="360" w:lineRule="auto"/>
              <w:rPr>
                <w:rFonts w:asciiTheme="majorBidi" w:hAnsiTheme="majorBidi" w:cstheme="majorBidi"/>
                <w:szCs w:val="24"/>
              </w:rPr>
            </w:pPr>
            <w:r w:rsidRPr="001F64A9">
              <w:rPr>
                <w:rFonts w:asciiTheme="majorBidi" w:hAnsiTheme="majorBidi" w:cstheme="majorBidi"/>
                <w:szCs w:val="24"/>
              </w:rPr>
              <w:t>CPR (</w:t>
            </w:r>
            <w:r w:rsidRPr="001F64A9">
              <w:rPr>
                <w:rFonts w:asciiTheme="majorBidi" w:hAnsiTheme="majorBidi" w:cstheme="majorBidi"/>
                <w:i/>
                <w:iCs/>
                <w:szCs w:val="24"/>
              </w:rPr>
              <w:t>r</w:t>
            </w:r>
            <w:r w:rsidRPr="001F64A9">
              <w:rPr>
                <w:rFonts w:asciiTheme="majorBidi" w:hAnsiTheme="majorBidi" w:cstheme="majorBidi"/>
                <w:szCs w:val="24"/>
              </w:rPr>
              <w:t xml:space="preserve"> = -.05)</w:t>
            </w:r>
          </w:p>
        </w:tc>
        <w:tc>
          <w:tcPr>
            <w:tcW w:w="771" w:type="pct"/>
            <w:tcBorders>
              <w:top w:val="single" w:sz="4" w:space="0" w:color="auto"/>
              <w:left w:val="nil"/>
              <w:bottom w:val="nil"/>
              <w:right w:val="nil"/>
            </w:tcBorders>
            <w:vAlign w:val="center"/>
            <w:hideMark/>
          </w:tcPr>
          <w:p w14:paraId="6575B7D0"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3.78**</w:t>
            </w:r>
          </w:p>
        </w:tc>
        <w:tc>
          <w:tcPr>
            <w:tcW w:w="560" w:type="pct"/>
            <w:tcBorders>
              <w:top w:val="single" w:sz="4" w:space="0" w:color="auto"/>
              <w:left w:val="nil"/>
              <w:bottom w:val="nil"/>
              <w:right w:val="nil"/>
            </w:tcBorders>
            <w:vAlign w:val="center"/>
            <w:hideMark/>
          </w:tcPr>
          <w:p w14:paraId="70199095"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.007</w:t>
            </w:r>
          </w:p>
        </w:tc>
        <w:tc>
          <w:tcPr>
            <w:tcW w:w="665" w:type="pct"/>
            <w:tcBorders>
              <w:top w:val="single" w:sz="4" w:space="0" w:color="auto"/>
              <w:left w:val="nil"/>
              <w:bottom w:val="nil"/>
              <w:right w:val="nil"/>
            </w:tcBorders>
            <w:vAlign w:val="center"/>
            <w:hideMark/>
          </w:tcPr>
          <w:p w14:paraId="1FCCA528"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9.13*</w:t>
            </w:r>
          </w:p>
        </w:tc>
        <w:tc>
          <w:tcPr>
            <w:tcW w:w="453" w:type="pct"/>
            <w:tcBorders>
              <w:top w:val="single" w:sz="4" w:space="0" w:color="auto"/>
              <w:left w:val="nil"/>
              <w:bottom w:val="nil"/>
              <w:right w:val="nil"/>
            </w:tcBorders>
            <w:vAlign w:val="center"/>
            <w:hideMark/>
          </w:tcPr>
          <w:p w14:paraId="08E8C148"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.01</w:t>
            </w:r>
          </w:p>
        </w:tc>
      </w:tr>
      <w:tr w:rsidR="00DE4EA4" w:rsidRPr="001F64A9" w14:paraId="2E2FB602" w14:textId="77777777" w:rsidTr="00DE4EA4">
        <w:trPr>
          <w:trHeight w:val="170"/>
        </w:trPr>
        <w:tc>
          <w:tcPr>
            <w:tcW w:w="0" w:type="auto"/>
            <w:vMerge/>
            <w:tcBorders>
              <w:top w:val="single" w:sz="4" w:space="0" w:color="auto"/>
              <w:left w:val="nil"/>
              <w:bottom w:val="nil"/>
              <w:right w:val="nil"/>
            </w:tcBorders>
            <w:vAlign w:val="center"/>
            <w:hideMark/>
          </w:tcPr>
          <w:p w14:paraId="44721F46" w14:textId="77777777" w:rsidR="00EE5072" w:rsidRPr="001F64A9" w:rsidRDefault="00EE5072">
            <w:pPr>
              <w:spacing w:line="240" w:lineRule="auto"/>
              <w:rPr>
                <w:rFonts w:asciiTheme="majorBidi" w:hAnsiTheme="majorBidi" w:cstheme="majorBidi"/>
                <w:szCs w:val="24"/>
              </w:rPr>
            </w:pPr>
          </w:p>
        </w:tc>
        <w:tc>
          <w:tcPr>
            <w:tcW w:w="1176" w:type="pct"/>
            <w:tcBorders>
              <w:top w:val="nil"/>
              <w:left w:val="nil"/>
              <w:bottom w:val="nil"/>
              <w:right w:val="nil"/>
            </w:tcBorders>
            <w:vAlign w:val="center"/>
            <w:hideMark/>
          </w:tcPr>
          <w:p w14:paraId="69268C8E" w14:textId="77777777" w:rsidR="00EE5072" w:rsidRPr="001F64A9" w:rsidRDefault="00EE5072">
            <w:pPr>
              <w:spacing w:line="360" w:lineRule="auto"/>
              <w:rPr>
                <w:rFonts w:asciiTheme="majorBidi" w:hAnsiTheme="majorBidi" w:cstheme="majorBidi"/>
                <w:szCs w:val="24"/>
              </w:rPr>
            </w:pPr>
            <w:r w:rsidRPr="001F64A9">
              <w:rPr>
                <w:rFonts w:asciiTheme="majorBidi" w:hAnsiTheme="majorBidi" w:cstheme="majorBidi"/>
                <w:szCs w:val="24"/>
              </w:rPr>
              <w:t>AND (</w:t>
            </w:r>
            <w:r w:rsidRPr="001F64A9">
              <w:rPr>
                <w:rFonts w:asciiTheme="majorBidi" w:hAnsiTheme="majorBidi" w:cstheme="majorBidi"/>
                <w:i/>
                <w:iCs/>
                <w:szCs w:val="24"/>
              </w:rPr>
              <w:t>r</w:t>
            </w:r>
            <w:r w:rsidRPr="001F64A9">
              <w:rPr>
                <w:rFonts w:asciiTheme="majorBidi" w:hAnsiTheme="majorBidi" w:cstheme="majorBidi"/>
                <w:szCs w:val="24"/>
              </w:rPr>
              <w:t xml:space="preserve"> = -.06)</w:t>
            </w:r>
          </w:p>
        </w:tc>
        <w:tc>
          <w:tcPr>
            <w:tcW w:w="771" w:type="pct"/>
            <w:tcBorders>
              <w:top w:val="nil"/>
              <w:left w:val="nil"/>
              <w:bottom w:val="nil"/>
              <w:right w:val="nil"/>
            </w:tcBorders>
            <w:vAlign w:val="center"/>
            <w:hideMark/>
          </w:tcPr>
          <w:p w14:paraId="06EB1269"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3.62*</w:t>
            </w:r>
          </w:p>
        </w:tc>
        <w:tc>
          <w:tcPr>
            <w:tcW w:w="560" w:type="pct"/>
            <w:tcBorders>
              <w:top w:val="nil"/>
              <w:left w:val="nil"/>
              <w:bottom w:val="nil"/>
              <w:right w:val="nil"/>
            </w:tcBorders>
            <w:vAlign w:val="center"/>
            <w:hideMark/>
          </w:tcPr>
          <w:p w14:paraId="032DEC10"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.011</w:t>
            </w:r>
          </w:p>
        </w:tc>
        <w:tc>
          <w:tcPr>
            <w:tcW w:w="665" w:type="pct"/>
            <w:tcBorders>
              <w:top w:val="nil"/>
              <w:left w:val="nil"/>
              <w:bottom w:val="nil"/>
              <w:right w:val="nil"/>
            </w:tcBorders>
            <w:vAlign w:val="center"/>
          </w:tcPr>
          <w:p w14:paraId="13C5D1D8" w14:textId="77777777" w:rsidR="00EE5072" w:rsidRPr="001F64A9" w:rsidRDefault="00EE5072">
            <w:pPr>
              <w:spacing w:line="360" w:lineRule="auto"/>
              <w:jc w:val="center"/>
              <w:rPr>
                <w:rFonts w:asciiTheme="majorBidi" w:hAnsiTheme="majorBidi" w:cstheme="majorBidi"/>
                <w:szCs w:val="24"/>
              </w:rPr>
            </w:pPr>
          </w:p>
        </w:tc>
        <w:tc>
          <w:tcPr>
            <w:tcW w:w="453" w:type="pct"/>
            <w:tcBorders>
              <w:top w:val="nil"/>
              <w:left w:val="nil"/>
              <w:bottom w:val="nil"/>
              <w:right w:val="nil"/>
            </w:tcBorders>
            <w:vAlign w:val="center"/>
          </w:tcPr>
          <w:p w14:paraId="27100F82" w14:textId="77777777" w:rsidR="00EE5072" w:rsidRPr="001F64A9" w:rsidRDefault="00EE5072">
            <w:pPr>
              <w:spacing w:line="360" w:lineRule="auto"/>
              <w:jc w:val="center"/>
              <w:rPr>
                <w:rFonts w:asciiTheme="majorBidi" w:hAnsiTheme="majorBidi" w:cstheme="majorBidi"/>
                <w:szCs w:val="24"/>
              </w:rPr>
            </w:pPr>
          </w:p>
        </w:tc>
      </w:tr>
      <w:tr w:rsidR="00DE4EA4" w:rsidRPr="001F64A9" w14:paraId="7A59EB33" w14:textId="77777777" w:rsidTr="00DE4EA4">
        <w:trPr>
          <w:trHeight w:val="482"/>
        </w:trPr>
        <w:tc>
          <w:tcPr>
            <w:tcW w:w="1375" w:type="pct"/>
            <w:tcBorders>
              <w:top w:val="nil"/>
              <w:left w:val="nil"/>
              <w:bottom w:val="single" w:sz="4" w:space="0" w:color="auto"/>
              <w:right w:val="nil"/>
            </w:tcBorders>
            <w:vAlign w:val="center"/>
            <w:hideMark/>
          </w:tcPr>
          <w:p w14:paraId="77664503" w14:textId="77777777" w:rsidR="00EE5072" w:rsidRPr="001F64A9" w:rsidRDefault="00EE5072">
            <w:pPr>
              <w:spacing w:line="360" w:lineRule="auto"/>
              <w:rPr>
                <w:rFonts w:asciiTheme="majorBidi" w:hAnsiTheme="majorBidi" w:cstheme="majorBidi"/>
                <w:szCs w:val="24"/>
              </w:rPr>
            </w:pPr>
            <w:r w:rsidRPr="001F64A9">
              <w:rPr>
                <w:rFonts w:asciiTheme="majorBidi" w:hAnsiTheme="majorBidi" w:cstheme="majorBidi"/>
                <w:szCs w:val="24"/>
              </w:rPr>
              <w:t>CPR (</w:t>
            </w:r>
            <w:r w:rsidRPr="001F64A9">
              <w:rPr>
                <w:rFonts w:asciiTheme="majorBidi" w:hAnsiTheme="majorBidi" w:cstheme="majorBidi"/>
                <w:i/>
                <w:iCs/>
                <w:szCs w:val="24"/>
              </w:rPr>
              <w:t>r</w:t>
            </w:r>
            <w:r w:rsidRPr="001F64A9">
              <w:rPr>
                <w:rFonts w:asciiTheme="majorBidi" w:hAnsiTheme="majorBidi" w:cstheme="majorBidi"/>
                <w:szCs w:val="24"/>
              </w:rPr>
              <w:t xml:space="preserve"> = -.05)</w:t>
            </w:r>
          </w:p>
        </w:tc>
        <w:tc>
          <w:tcPr>
            <w:tcW w:w="1176" w:type="pct"/>
            <w:tcBorders>
              <w:top w:val="nil"/>
              <w:left w:val="nil"/>
              <w:bottom w:val="single" w:sz="4" w:space="0" w:color="auto"/>
              <w:right w:val="nil"/>
            </w:tcBorders>
            <w:vAlign w:val="center"/>
            <w:hideMark/>
          </w:tcPr>
          <w:p w14:paraId="29727F93" w14:textId="77777777" w:rsidR="00EE5072" w:rsidRPr="001F64A9" w:rsidRDefault="00EE5072">
            <w:pPr>
              <w:spacing w:line="360" w:lineRule="auto"/>
              <w:rPr>
                <w:rFonts w:asciiTheme="majorBidi" w:hAnsiTheme="majorBidi" w:cstheme="majorBidi"/>
                <w:szCs w:val="24"/>
              </w:rPr>
            </w:pPr>
            <w:r w:rsidRPr="001F64A9">
              <w:rPr>
                <w:rFonts w:asciiTheme="majorBidi" w:hAnsiTheme="majorBidi" w:cstheme="majorBidi"/>
                <w:szCs w:val="24"/>
              </w:rPr>
              <w:t>AND (</w:t>
            </w:r>
            <w:r w:rsidRPr="001F64A9">
              <w:rPr>
                <w:rFonts w:asciiTheme="majorBidi" w:hAnsiTheme="majorBidi" w:cstheme="majorBidi"/>
                <w:i/>
                <w:iCs/>
                <w:szCs w:val="24"/>
              </w:rPr>
              <w:t>r</w:t>
            </w:r>
            <w:r w:rsidRPr="001F64A9">
              <w:rPr>
                <w:rFonts w:asciiTheme="majorBidi" w:hAnsiTheme="majorBidi" w:cstheme="majorBidi"/>
                <w:szCs w:val="24"/>
              </w:rPr>
              <w:t xml:space="preserve"> = -.06)</w:t>
            </w:r>
          </w:p>
        </w:tc>
        <w:tc>
          <w:tcPr>
            <w:tcW w:w="771" w:type="pct"/>
            <w:tcBorders>
              <w:top w:val="nil"/>
              <w:left w:val="nil"/>
              <w:bottom w:val="single" w:sz="4" w:space="0" w:color="auto"/>
              <w:right w:val="nil"/>
            </w:tcBorders>
            <w:vAlign w:val="center"/>
            <w:hideMark/>
          </w:tcPr>
          <w:p w14:paraId="2894EB11"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.17</w:t>
            </w:r>
          </w:p>
        </w:tc>
        <w:tc>
          <w:tcPr>
            <w:tcW w:w="560" w:type="pct"/>
            <w:tcBorders>
              <w:top w:val="nil"/>
              <w:left w:val="nil"/>
              <w:bottom w:val="single" w:sz="4" w:space="0" w:color="auto"/>
              <w:right w:val="nil"/>
            </w:tcBorders>
            <w:vAlign w:val="center"/>
            <w:hideMark/>
          </w:tcPr>
          <w:p w14:paraId="740ABBA5"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1.00</w:t>
            </w:r>
          </w:p>
        </w:tc>
        <w:tc>
          <w:tcPr>
            <w:tcW w:w="665" w:type="pct"/>
            <w:tcBorders>
              <w:top w:val="nil"/>
              <w:left w:val="nil"/>
              <w:bottom w:val="single" w:sz="4" w:space="0" w:color="auto"/>
              <w:right w:val="nil"/>
            </w:tcBorders>
            <w:vAlign w:val="center"/>
          </w:tcPr>
          <w:p w14:paraId="5ACDAC4A" w14:textId="77777777" w:rsidR="00EE5072" w:rsidRPr="001F64A9" w:rsidRDefault="00EE5072">
            <w:pPr>
              <w:spacing w:line="360" w:lineRule="auto"/>
              <w:jc w:val="center"/>
              <w:rPr>
                <w:rFonts w:asciiTheme="majorBidi" w:hAnsiTheme="majorBidi" w:cstheme="majorBidi"/>
                <w:szCs w:val="24"/>
              </w:rPr>
            </w:pPr>
          </w:p>
        </w:tc>
        <w:tc>
          <w:tcPr>
            <w:tcW w:w="453" w:type="pct"/>
            <w:tcBorders>
              <w:top w:val="nil"/>
              <w:left w:val="nil"/>
              <w:bottom w:val="single" w:sz="4" w:space="0" w:color="auto"/>
              <w:right w:val="nil"/>
            </w:tcBorders>
            <w:vAlign w:val="center"/>
          </w:tcPr>
          <w:p w14:paraId="1F577CC2" w14:textId="77777777" w:rsidR="00EE5072" w:rsidRPr="001F64A9" w:rsidRDefault="00EE5072">
            <w:pPr>
              <w:spacing w:line="360" w:lineRule="auto"/>
              <w:jc w:val="center"/>
              <w:rPr>
                <w:rFonts w:asciiTheme="majorBidi" w:hAnsiTheme="majorBidi" w:cstheme="majorBidi"/>
                <w:szCs w:val="24"/>
              </w:rPr>
            </w:pPr>
          </w:p>
        </w:tc>
      </w:tr>
    </w:tbl>
    <w:p w14:paraId="66A103BA"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i/>
          <w:iCs/>
          <w:sz w:val="20"/>
          <w:szCs w:val="20"/>
        </w:rPr>
        <w:t xml:space="preserve">Note. The correlation between Life Oriented values and DNR preference is provided in parentheses in respective condition. </w:t>
      </w:r>
      <w:r w:rsidRPr="001F64A9">
        <w:rPr>
          <w:rFonts w:asciiTheme="majorBidi" w:hAnsiTheme="majorBidi" w:cstheme="majorBidi"/>
          <w:sz w:val="20"/>
          <w:szCs w:val="20"/>
        </w:rPr>
        <w:t xml:space="preserve"> * </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.05, **</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.01.</w:t>
      </w:r>
    </w:p>
    <w:p w14:paraId="4A18EEAE" w14:textId="77777777" w:rsidR="00EE5072" w:rsidRPr="001F64A9" w:rsidRDefault="00EE5072" w:rsidP="00EE5072">
      <w:pPr>
        <w:rPr>
          <w:rFonts w:asciiTheme="majorBidi" w:hAnsiTheme="majorBidi" w:cstheme="majorBidi"/>
          <w:sz w:val="24"/>
          <w:szCs w:val="24"/>
        </w:rPr>
      </w:pPr>
      <w:r w:rsidRPr="001F64A9">
        <w:rPr>
          <w:rFonts w:asciiTheme="majorBidi" w:hAnsiTheme="majorBidi" w:cstheme="majorBidi"/>
          <w:sz w:val="24"/>
          <w:szCs w:val="24"/>
        </w:rPr>
        <w:br w:type="page"/>
      </w:r>
    </w:p>
    <w:p w14:paraId="39896992"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lastRenderedPageBreak/>
        <w:t>Table 7</w:t>
      </w:r>
    </w:p>
    <w:p w14:paraId="67A3D024" w14:textId="77777777" w:rsidR="00EE5072" w:rsidRPr="001F64A9" w:rsidRDefault="00EE5072" w:rsidP="00EE5072">
      <w:pPr>
        <w:rPr>
          <w:rFonts w:asciiTheme="majorBidi" w:hAnsiTheme="majorBidi" w:cstheme="majorBidi"/>
          <w:i/>
          <w:iCs/>
          <w:sz w:val="24"/>
          <w:szCs w:val="24"/>
        </w:rPr>
      </w:pPr>
      <w:r w:rsidRPr="001F64A9">
        <w:rPr>
          <w:rFonts w:asciiTheme="majorBidi" w:hAnsiTheme="majorBidi" w:cstheme="majorBidi"/>
          <w:i/>
          <w:iCs/>
          <w:sz w:val="24"/>
          <w:szCs w:val="24"/>
        </w:rPr>
        <w:t xml:space="preserve">Comparison of Correlations Between </w:t>
      </w:r>
      <w:r w:rsidRPr="001F64A9">
        <w:rPr>
          <w:rFonts w:asciiTheme="majorBidi" w:eastAsia="Times New Roman" w:hAnsiTheme="majorBidi" w:cstheme="majorBidi"/>
          <w:bCs/>
          <w:i/>
          <w:iCs/>
          <w:sz w:val="24"/>
          <w:szCs w:val="24"/>
        </w:rPr>
        <w:t>Pain and Dependence Oriented Values</w:t>
      </w:r>
      <w:r w:rsidRPr="001F64A9">
        <w:rPr>
          <w:rFonts w:asciiTheme="majorBidi" w:hAnsiTheme="majorBidi" w:cstheme="majorBidi"/>
          <w:i/>
          <w:iCs/>
          <w:sz w:val="24"/>
          <w:szCs w:val="24"/>
        </w:rPr>
        <w:t xml:space="preserve"> and DNR Decision Across Terminologies </w:t>
      </w:r>
      <w:r w:rsidRPr="001F64A9">
        <w:rPr>
          <w:rFonts w:asciiTheme="majorBidi" w:eastAsia="Times New Roman" w:hAnsiTheme="majorBidi" w:cstheme="majorBidi"/>
          <w:i/>
          <w:iCs/>
          <w:sz w:val="24"/>
          <w:szCs w:val="24"/>
        </w:rPr>
        <w:t>in Experiment 1b</w:t>
      </w:r>
    </w:p>
    <w:tbl>
      <w:tblPr>
        <w:tblStyle w:val="TableGrid"/>
        <w:tblW w:w="4982"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1"/>
        <w:gridCol w:w="2732"/>
        <w:gridCol w:w="1069"/>
        <w:gridCol w:w="1142"/>
        <w:gridCol w:w="1134"/>
        <w:gridCol w:w="948"/>
      </w:tblGrid>
      <w:tr w:rsidR="00EE5072" w:rsidRPr="001F64A9" w14:paraId="159A14C9" w14:textId="77777777" w:rsidTr="00DE4EA4">
        <w:trPr>
          <w:trHeight w:val="486"/>
        </w:trPr>
        <w:tc>
          <w:tcPr>
            <w:tcW w:w="2699" w:type="pct"/>
            <w:gridSpan w:val="2"/>
            <w:tcBorders>
              <w:top w:val="single" w:sz="4" w:space="0" w:color="auto"/>
              <w:left w:val="nil"/>
              <w:bottom w:val="single" w:sz="4" w:space="0" w:color="auto"/>
              <w:right w:val="nil"/>
            </w:tcBorders>
            <w:hideMark/>
          </w:tcPr>
          <w:p w14:paraId="1274E792" w14:textId="77777777" w:rsidR="00EE5072" w:rsidRPr="001F64A9" w:rsidRDefault="00EE5072">
            <w:pPr>
              <w:spacing w:after="0" w:line="360" w:lineRule="auto"/>
              <w:rPr>
                <w:rFonts w:asciiTheme="majorBidi" w:hAnsiTheme="majorBidi" w:cstheme="majorBidi"/>
                <w:sz w:val="24"/>
                <w:szCs w:val="24"/>
              </w:rPr>
            </w:pPr>
            <w:r w:rsidRPr="001F64A9">
              <w:rPr>
                <w:rFonts w:asciiTheme="majorBidi" w:hAnsiTheme="majorBidi" w:cstheme="majorBidi"/>
                <w:sz w:val="24"/>
                <w:szCs w:val="24"/>
              </w:rPr>
              <w:t>Terminologies</w:t>
            </w:r>
          </w:p>
        </w:tc>
        <w:tc>
          <w:tcPr>
            <w:tcW w:w="573" w:type="pct"/>
            <w:tcBorders>
              <w:top w:val="single" w:sz="4" w:space="0" w:color="auto"/>
              <w:left w:val="nil"/>
              <w:bottom w:val="single" w:sz="4" w:space="0" w:color="auto"/>
              <w:right w:val="nil"/>
            </w:tcBorders>
            <w:vAlign w:val="center"/>
            <w:hideMark/>
          </w:tcPr>
          <w:p w14:paraId="29E4947F" w14:textId="77777777" w:rsidR="00EE5072" w:rsidRPr="001F64A9" w:rsidRDefault="00EE5072">
            <w:pPr>
              <w:spacing w:line="360" w:lineRule="auto"/>
              <w:jc w:val="center"/>
              <w:rPr>
                <w:rFonts w:asciiTheme="majorBidi" w:hAnsiTheme="majorBidi" w:cstheme="majorBidi"/>
                <w:i/>
                <w:iCs/>
                <w:szCs w:val="24"/>
              </w:rPr>
            </w:pPr>
            <w:r w:rsidRPr="001F64A9">
              <w:rPr>
                <w:rFonts w:asciiTheme="majorBidi" w:hAnsiTheme="majorBidi" w:cstheme="majorBidi"/>
                <w:i/>
                <w:iCs/>
                <w:szCs w:val="24"/>
              </w:rPr>
              <w:t>Rstat</w:t>
            </w:r>
          </w:p>
        </w:tc>
        <w:tc>
          <w:tcPr>
            <w:tcW w:w="612" w:type="pct"/>
            <w:tcBorders>
              <w:top w:val="single" w:sz="4" w:space="0" w:color="auto"/>
              <w:left w:val="nil"/>
              <w:bottom w:val="single" w:sz="4" w:space="0" w:color="auto"/>
              <w:right w:val="nil"/>
            </w:tcBorders>
            <w:vAlign w:val="center"/>
            <w:hideMark/>
          </w:tcPr>
          <w:p w14:paraId="4121986A" w14:textId="77777777" w:rsidR="00EE5072" w:rsidRPr="001F64A9" w:rsidRDefault="00EE5072">
            <w:pPr>
              <w:spacing w:line="360" w:lineRule="auto"/>
              <w:jc w:val="center"/>
              <w:rPr>
                <w:rFonts w:asciiTheme="majorBidi" w:hAnsiTheme="majorBidi" w:cstheme="majorBidi"/>
                <w:i/>
                <w:iCs/>
                <w:szCs w:val="24"/>
              </w:rPr>
            </w:pPr>
            <w:r w:rsidRPr="001F64A9">
              <w:rPr>
                <w:rFonts w:asciiTheme="majorBidi" w:hAnsiTheme="majorBidi" w:cstheme="majorBidi"/>
                <w:i/>
                <w:iCs/>
                <w:szCs w:val="24"/>
              </w:rPr>
              <w:t>p</w:t>
            </w:r>
          </w:p>
        </w:tc>
        <w:tc>
          <w:tcPr>
            <w:tcW w:w="608" w:type="pct"/>
            <w:tcBorders>
              <w:top w:val="single" w:sz="4" w:space="0" w:color="auto"/>
              <w:left w:val="nil"/>
              <w:bottom w:val="single" w:sz="4" w:space="0" w:color="auto"/>
              <w:right w:val="nil"/>
            </w:tcBorders>
            <w:vAlign w:val="center"/>
            <w:hideMark/>
          </w:tcPr>
          <w:p w14:paraId="40E0F0E7" w14:textId="77777777" w:rsidR="00EE5072" w:rsidRPr="001F64A9" w:rsidRDefault="00EE5072">
            <w:pPr>
              <w:spacing w:line="360" w:lineRule="auto"/>
              <w:jc w:val="center"/>
              <w:rPr>
                <w:rFonts w:asciiTheme="majorBidi" w:hAnsiTheme="majorBidi" w:cstheme="majorBidi"/>
                <w:i/>
                <w:iCs/>
                <w:szCs w:val="24"/>
              </w:rPr>
            </w:pPr>
            <w:r w:rsidRPr="001F64A9">
              <w:rPr>
                <w:rFonts w:asciiTheme="majorBidi" w:hAnsiTheme="majorBidi" w:cstheme="majorBidi"/>
                <w:i/>
                <w:iCs/>
                <w:szCs w:val="24"/>
              </w:rPr>
              <w:t>χ</w:t>
            </w:r>
            <w:r w:rsidRPr="001F64A9">
              <w:rPr>
                <w:rFonts w:asciiTheme="majorBidi" w:hAnsiTheme="majorBidi" w:cstheme="majorBidi"/>
                <w:i/>
                <w:iCs/>
                <w:szCs w:val="24"/>
                <w:vertAlign w:val="superscript"/>
              </w:rPr>
              <w:t>2</w:t>
            </w:r>
          </w:p>
        </w:tc>
        <w:tc>
          <w:tcPr>
            <w:tcW w:w="509" w:type="pct"/>
            <w:tcBorders>
              <w:top w:val="single" w:sz="4" w:space="0" w:color="auto"/>
              <w:left w:val="nil"/>
              <w:bottom w:val="single" w:sz="4" w:space="0" w:color="auto"/>
              <w:right w:val="nil"/>
            </w:tcBorders>
            <w:vAlign w:val="center"/>
            <w:hideMark/>
          </w:tcPr>
          <w:p w14:paraId="108691F5" w14:textId="77777777" w:rsidR="00EE5072" w:rsidRPr="001F64A9" w:rsidRDefault="00EE5072">
            <w:pPr>
              <w:spacing w:line="360" w:lineRule="auto"/>
              <w:jc w:val="center"/>
              <w:rPr>
                <w:rFonts w:asciiTheme="majorBidi" w:hAnsiTheme="majorBidi" w:cstheme="majorBidi"/>
                <w:i/>
                <w:iCs/>
                <w:szCs w:val="24"/>
              </w:rPr>
            </w:pPr>
            <w:r w:rsidRPr="001F64A9">
              <w:rPr>
                <w:rFonts w:asciiTheme="majorBidi" w:hAnsiTheme="majorBidi" w:cstheme="majorBidi"/>
                <w:i/>
                <w:iCs/>
                <w:szCs w:val="24"/>
              </w:rPr>
              <w:t>p</w:t>
            </w:r>
          </w:p>
        </w:tc>
      </w:tr>
      <w:tr w:rsidR="001F64A9" w:rsidRPr="001F64A9" w14:paraId="0F1EBE44" w14:textId="77777777" w:rsidTr="00DE4EA4">
        <w:trPr>
          <w:trHeight w:val="472"/>
        </w:trPr>
        <w:tc>
          <w:tcPr>
            <w:tcW w:w="1234" w:type="pct"/>
            <w:vMerge w:val="restart"/>
            <w:tcBorders>
              <w:top w:val="single" w:sz="4" w:space="0" w:color="auto"/>
              <w:left w:val="nil"/>
              <w:bottom w:val="nil"/>
              <w:right w:val="nil"/>
            </w:tcBorders>
            <w:vAlign w:val="center"/>
            <w:hideMark/>
          </w:tcPr>
          <w:p w14:paraId="531C2003" w14:textId="77777777" w:rsidR="00EE5072" w:rsidRPr="001F64A9" w:rsidRDefault="00EE5072">
            <w:pPr>
              <w:spacing w:line="360" w:lineRule="auto"/>
              <w:rPr>
                <w:rFonts w:asciiTheme="majorBidi" w:hAnsiTheme="majorBidi" w:cstheme="majorBidi"/>
                <w:szCs w:val="24"/>
              </w:rPr>
            </w:pPr>
            <w:r w:rsidRPr="001F64A9">
              <w:rPr>
                <w:rFonts w:asciiTheme="majorBidi" w:hAnsiTheme="majorBidi" w:cstheme="majorBidi"/>
                <w:szCs w:val="24"/>
              </w:rPr>
              <w:t>DNR (</w:t>
            </w:r>
            <w:r w:rsidRPr="001F64A9">
              <w:rPr>
                <w:rFonts w:asciiTheme="majorBidi" w:hAnsiTheme="majorBidi" w:cstheme="majorBidi"/>
                <w:i/>
                <w:iCs/>
                <w:szCs w:val="24"/>
              </w:rPr>
              <w:t>r</w:t>
            </w:r>
            <w:r w:rsidRPr="001F64A9">
              <w:rPr>
                <w:rFonts w:asciiTheme="majorBidi" w:hAnsiTheme="majorBidi" w:cstheme="majorBidi"/>
                <w:szCs w:val="24"/>
              </w:rPr>
              <w:t xml:space="preserve"> =.16)</w:t>
            </w:r>
          </w:p>
        </w:tc>
        <w:tc>
          <w:tcPr>
            <w:tcW w:w="1465" w:type="pct"/>
            <w:tcBorders>
              <w:top w:val="single" w:sz="4" w:space="0" w:color="auto"/>
              <w:left w:val="nil"/>
              <w:bottom w:val="nil"/>
              <w:right w:val="nil"/>
            </w:tcBorders>
            <w:vAlign w:val="center"/>
            <w:hideMark/>
          </w:tcPr>
          <w:p w14:paraId="7904E762" w14:textId="77777777" w:rsidR="00EE5072" w:rsidRPr="001F64A9" w:rsidRDefault="00EE5072">
            <w:pPr>
              <w:spacing w:line="360" w:lineRule="auto"/>
              <w:rPr>
                <w:rFonts w:asciiTheme="majorBidi" w:hAnsiTheme="majorBidi" w:cstheme="majorBidi"/>
                <w:szCs w:val="24"/>
              </w:rPr>
            </w:pPr>
            <w:r w:rsidRPr="001F64A9">
              <w:rPr>
                <w:rFonts w:asciiTheme="majorBidi" w:hAnsiTheme="majorBidi" w:cstheme="majorBidi"/>
                <w:szCs w:val="24"/>
              </w:rPr>
              <w:t>CPR (</w:t>
            </w:r>
            <w:r w:rsidRPr="001F64A9">
              <w:rPr>
                <w:rFonts w:asciiTheme="majorBidi" w:hAnsiTheme="majorBidi" w:cstheme="majorBidi"/>
                <w:i/>
                <w:iCs/>
                <w:szCs w:val="24"/>
              </w:rPr>
              <w:t>r</w:t>
            </w:r>
            <w:r w:rsidRPr="001F64A9">
              <w:rPr>
                <w:rFonts w:asciiTheme="majorBidi" w:hAnsiTheme="majorBidi" w:cstheme="majorBidi"/>
                <w:szCs w:val="24"/>
              </w:rPr>
              <w:t xml:space="preserve"> = -.13)</w:t>
            </w:r>
          </w:p>
        </w:tc>
        <w:tc>
          <w:tcPr>
            <w:tcW w:w="573" w:type="pct"/>
            <w:tcBorders>
              <w:top w:val="single" w:sz="4" w:space="0" w:color="auto"/>
              <w:left w:val="nil"/>
              <w:bottom w:val="nil"/>
              <w:right w:val="nil"/>
            </w:tcBorders>
            <w:vAlign w:val="center"/>
            <w:hideMark/>
          </w:tcPr>
          <w:p w14:paraId="4C2D81B4"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4.87**</w:t>
            </w:r>
          </w:p>
        </w:tc>
        <w:tc>
          <w:tcPr>
            <w:tcW w:w="612" w:type="pct"/>
            <w:tcBorders>
              <w:top w:val="single" w:sz="4" w:space="0" w:color="auto"/>
              <w:left w:val="nil"/>
              <w:bottom w:val="nil"/>
              <w:right w:val="nil"/>
            </w:tcBorders>
            <w:vAlign w:val="center"/>
            <w:hideMark/>
          </w:tcPr>
          <w:p w14:paraId="08D5ADD6"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.001</w:t>
            </w:r>
          </w:p>
        </w:tc>
        <w:tc>
          <w:tcPr>
            <w:tcW w:w="608" w:type="pct"/>
            <w:tcBorders>
              <w:top w:val="single" w:sz="4" w:space="0" w:color="auto"/>
              <w:left w:val="nil"/>
              <w:bottom w:val="nil"/>
              <w:right w:val="nil"/>
            </w:tcBorders>
            <w:vAlign w:val="center"/>
            <w:hideMark/>
          </w:tcPr>
          <w:p w14:paraId="087A9D3F"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11.82**</w:t>
            </w:r>
          </w:p>
        </w:tc>
        <w:tc>
          <w:tcPr>
            <w:tcW w:w="509" w:type="pct"/>
            <w:tcBorders>
              <w:top w:val="single" w:sz="4" w:space="0" w:color="auto"/>
              <w:left w:val="nil"/>
              <w:bottom w:val="nil"/>
              <w:right w:val="nil"/>
            </w:tcBorders>
            <w:vAlign w:val="center"/>
            <w:hideMark/>
          </w:tcPr>
          <w:p w14:paraId="62EF3DB2"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.003</w:t>
            </w:r>
          </w:p>
        </w:tc>
      </w:tr>
      <w:tr w:rsidR="00EE5072" w:rsidRPr="001F64A9" w14:paraId="3C2D73D7" w14:textId="77777777" w:rsidTr="00DE4EA4">
        <w:trPr>
          <w:trHeight w:val="162"/>
        </w:trPr>
        <w:tc>
          <w:tcPr>
            <w:tcW w:w="0" w:type="auto"/>
            <w:vMerge/>
            <w:tcBorders>
              <w:top w:val="single" w:sz="4" w:space="0" w:color="auto"/>
              <w:left w:val="nil"/>
              <w:bottom w:val="nil"/>
              <w:right w:val="nil"/>
            </w:tcBorders>
            <w:vAlign w:val="center"/>
            <w:hideMark/>
          </w:tcPr>
          <w:p w14:paraId="2976000F" w14:textId="77777777" w:rsidR="00EE5072" w:rsidRPr="001F64A9" w:rsidRDefault="00EE5072">
            <w:pPr>
              <w:spacing w:line="240" w:lineRule="auto"/>
              <w:rPr>
                <w:rFonts w:asciiTheme="majorBidi" w:hAnsiTheme="majorBidi" w:cstheme="majorBidi"/>
                <w:szCs w:val="24"/>
              </w:rPr>
            </w:pPr>
          </w:p>
        </w:tc>
        <w:tc>
          <w:tcPr>
            <w:tcW w:w="1465" w:type="pct"/>
            <w:tcBorders>
              <w:top w:val="nil"/>
              <w:left w:val="nil"/>
              <w:bottom w:val="nil"/>
              <w:right w:val="nil"/>
            </w:tcBorders>
            <w:vAlign w:val="center"/>
            <w:hideMark/>
          </w:tcPr>
          <w:p w14:paraId="2EED129F" w14:textId="77777777" w:rsidR="00EE5072" w:rsidRPr="001F64A9" w:rsidRDefault="00EE5072">
            <w:pPr>
              <w:spacing w:line="360" w:lineRule="auto"/>
              <w:rPr>
                <w:rFonts w:asciiTheme="majorBidi" w:hAnsiTheme="majorBidi" w:cstheme="majorBidi"/>
                <w:szCs w:val="24"/>
              </w:rPr>
            </w:pPr>
            <w:r w:rsidRPr="001F64A9">
              <w:rPr>
                <w:rFonts w:asciiTheme="majorBidi" w:hAnsiTheme="majorBidi" w:cstheme="majorBidi"/>
                <w:szCs w:val="24"/>
              </w:rPr>
              <w:t>AND (</w:t>
            </w:r>
            <w:r w:rsidRPr="001F64A9">
              <w:rPr>
                <w:rFonts w:asciiTheme="majorBidi" w:hAnsiTheme="majorBidi" w:cstheme="majorBidi"/>
                <w:i/>
                <w:iCs/>
                <w:szCs w:val="24"/>
              </w:rPr>
              <w:t>r</w:t>
            </w:r>
            <w:r w:rsidRPr="001F64A9">
              <w:rPr>
                <w:rFonts w:asciiTheme="majorBidi" w:hAnsiTheme="majorBidi" w:cstheme="majorBidi"/>
                <w:szCs w:val="24"/>
              </w:rPr>
              <w:t xml:space="preserve"> =.01)</w:t>
            </w:r>
          </w:p>
        </w:tc>
        <w:tc>
          <w:tcPr>
            <w:tcW w:w="573" w:type="pct"/>
            <w:tcBorders>
              <w:top w:val="nil"/>
              <w:left w:val="nil"/>
              <w:bottom w:val="nil"/>
              <w:right w:val="nil"/>
            </w:tcBorders>
            <w:vAlign w:val="center"/>
            <w:hideMark/>
          </w:tcPr>
          <w:p w14:paraId="57F02910"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2.52</w:t>
            </w:r>
            <w:r w:rsidRPr="001F64A9">
              <w:rPr>
                <w:rFonts w:asciiTheme="majorBidi" w:hAnsiTheme="majorBidi" w:cstheme="majorBidi"/>
                <w:sz w:val="20"/>
                <w:szCs w:val="20"/>
                <w:vertAlign w:val="superscript"/>
              </w:rPr>
              <w:t>†</w:t>
            </w:r>
          </w:p>
        </w:tc>
        <w:tc>
          <w:tcPr>
            <w:tcW w:w="612" w:type="pct"/>
            <w:tcBorders>
              <w:top w:val="nil"/>
              <w:left w:val="nil"/>
              <w:bottom w:val="nil"/>
              <w:right w:val="nil"/>
            </w:tcBorders>
            <w:vAlign w:val="center"/>
            <w:hideMark/>
          </w:tcPr>
          <w:p w14:paraId="336439B5"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.074</w:t>
            </w:r>
          </w:p>
        </w:tc>
        <w:tc>
          <w:tcPr>
            <w:tcW w:w="608" w:type="pct"/>
            <w:tcBorders>
              <w:top w:val="nil"/>
              <w:left w:val="nil"/>
              <w:bottom w:val="nil"/>
              <w:right w:val="nil"/>
            </w:tcBorders>
            <w:vAlign w:val="center"/>
          </w:tcPr>
          <w:p w14:paraId="2706A800" w14:textId="77777777" w:rsidR="00EE5072" w:rsidRPr="001F64A9" w:rsidRDefault="00EE5072">
            <w:pPr>
              <w:spacing w:line="360" w:lineRule="auto"/>
              <w:jc w:val="center"/>
              <w:rPr>
                <w:rFonts w:asciiTheme="majorBidi" w:hAnsiTheme="majorBidi" w:cstheme="majorBidi"/>
                <w:szCs w:val="24"/>
              </w:rPr>
            </w:pPr>
          </w:p>
        </w:tc>
        <w:tc>
          <w:tcPr>
            <w:tcW w:w="509" w:type="pct"/>
            <w:tcBorders>
              <w:top w:val="nil"/>
              <w:left w:val="nil"/>
              <w:bottom w:val="nil"/>
              <w:right w:val="nil"/>
            </w:tcBorders>
            <w:vAlign w:val="center"/>
          </w:tcPr>
          <w:p w14:paraId="4567DA45" w14:textId="77777777" w:rsidR="00EE5072" w:rsidRPr="001F64A9" w:rsidRDefault="00EE5072">
            <w:pPr>
              <w:spacing w:line="360" w:lineRule="auto"/>
              <w:jc w:val="center"/>
              <w:rPr>
                <w:rFonts w:asciiTheme="majorBidi" w:hAnsiTheme="majorBidi" w:cstheme="majorBidi"/>
                <w:szCs w:val="24"/>
              </w:rPr>
            </w:pPr>
          </w:p>
        </w:tc>
      </w:tr>
      <w:tr w:rsidR="001F64A9" w:rsidRPr="001F64A9" w14:paraId="2B058B23" w14:textId="77777777" w:rsidTr="00DE4EA4">
        <w:trPr>
          <w:trHeight w:val="459"/>
        </w:trPr>
        <w:tc>
          <w:tcPr>
            <w:tcW w:w="1234" w:type="pct"/>
            <w:tcBorders>
              <w:top w:val="nil"/>
              <w:left w:val="nil"/>
              <w:bottom w:val="single" w:sz="4" w:space="0" w:color="auto"/>
              <w:right w:val="nil"/>
            </w:tcBorders>
            <w:vAlign w:val="center"/>
            <w:hideMark/>
          </w:tcPr>
          <w:p w14:paraId="36C1D2BA" w14:textId="77777777" w:rsidR="00EE5072" w:rsidRPr="001F64A9" w:rsidRDefault="00EE5072">
            <w:pPr>
              <w:spacing w:line="360" w:lineRule="auto"/>
              <w:rPr>
                <w:rFonts w:asciiTheme="majorBidi" w:hAnsiTheme="majorBidi" w:cstheme="majorBidi"/>
                <w:szCs w:val="24"/>
              </w:rPr>
            </w:pPr>
            <w:r w:rsidRPr="001F64A9">
              <w:rPr>
                <w:rFonts w:asciiTheme="majorBidi" w:hAnsiTheme="majorBidi" w:cstheme="majorBidi"/>
                <w:szCs w:val="24"/>
              </w:rPr>
              <w:t>CPR (</w:t>
            </w:r>
            <w:r w:rsidRPr="001F64A9">
              <w:rPr>
                <w:rFonts w:asciiTheme="majorBidi" w:hAnsiTheme="majorBidi" w:cstheme="majorBidi"/>
                <w:i/>
                <w:iCs/>
                <w:szCs w:val="24"/>
              </w:rPr>
              <w:t>r</w:t>
            </w:r>
            <w:r w:rsidRPr="001F64A9">
              <w:rPr>
                <w:rFonts w:asciiTheme="majorBidi" w:hAnsiTheme="majorBidi" w:cstheme="majorBidi"/>
                <w:szCs w:val="24"/>
              </w:rPr>
              <w:t xml:space="preserve"> = -.13)</w:t>
            </w:r>
          </w:p>
        </w:tc>
        <w:tc>
          <w:tcPr>
            <w:tcW w:w="1465" w:type="pct"/>
            <w:tcBorders>
              <w:top w:val="nil"/>
              <w:left w:val="nil"/>
              <w:bottom w:val="single" w:sz="4" w:space="0" w:color="auto"/>
              <w:right w:val="nil"/>
            </w:tcBorders>
            <w:vAlign w:val="center"/>
            <w:hideMark/>
          </w:tcPr>
          <w:p w14:paraId="44BDF852" w14:textId="77777777" w:rsidR="00EE5072" w:rsidRPr="001F64A9" w:rsidRDefault="00EE5072">
            <w:pPr>
              <w:spacing w:line="360" w:lineRule="auto"/>
              <w:rPr>
                <w:rFonts w:asciiTheme="majorBidi" w:hAnsiTheme="majorBidi" w:cstheme="majorBidi"/>
                <w:szCs w:val="24"/>
              </w:rPr>
            </w:pPr>
            <w:r w:rsidRPr="001F64A9">
              <w:rPr>
                <w:rFonts w:asciiTheme="majorBidi" w:hAnsiTheme="majorBidi" w:cstheme="majorBidi"/>
                <w:szCs w:val="24"/>
              </w:rPr>
              <w:t>AND (</w:t>
            </w:r>
            <w:r w:rsidRPr="001F64A9">
              <w:rPr>
                <w:rFonts w:asciiTheme="majorBidi" w:hAnsiTheme="majorBidi" w:cstheme="majorBidi"/>
                <w:i/>
                <w:iCs/>
                <w:szCs w:val="24"/>
              </w:rPr>
              <w:t>r</w:t>
            </w:r>
            <w:r w:rsidRPr="001F64A9">
              <w:rPr>
                <w:rFonts w:asciiTheme="majorBidi" w:hAnsiTheme="majorBidi" w:cstheme="majorBidi"/>
                <w:szCs w:val="24"/>
              </w:rPr>
              <w:t xml:space="preserve"> =.01)</w:t>
            </w:r>
          </w:p>
        </w:tc>
        <w:tc>
          <w:tcPr>
            <w:tcW w:w="573" w:type="pct"/>
            <w:tcBorders>
              <w:top w:val="nil"/>
              <w:left w:val="nil"/>
              <w:bottom w:val="single" w:sz="4" w:space="0" w:color="auto"/>
              <w:right w:val="nil"/>
            </w:tcBorders>
            <w:vAlign w:val="center"/>
            <w:hideMark/>
          </w:tcPr>
          <w:p w14:paraId="46EC37F5"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2.35</w:t>
            </w:r>
            <w:r w:rsidRPr="001F64A9">
              <w:rPr>
                <w:rFonts w:asciiTheme="majorBidi" w:hAnsiTheme="majorBidi" w:cstheme="majorBidi"/>
                <w:sz w:val="20"/>
                <w:szCs w:val="20"/>
                <w:vertAlign w:val="superscript"/>
              </w:rPr>
              <w:t>†</w:t>
            </w:r>
          </w:p>
        </w:tc>
        <w:tc>
          <w:tcPr>
            <w:tcW w:w="612" w:type="pct"/>
            <w:tcBorders>
              <w:top w:val="nil"/>
              <w:left w:val="nil"/>
              <w:bottom w:val="single" w:sz="4" w:space="0" w:color="auto"/>
              <w:right w:val="nil"/>
            </w:tcBorders>
            <w:vAlign w:val="center"/>
            <w:hideMark/>
          </w:tcPr>
          <w:p w14:paraId="6F2B877F" w14:textId="77777777" w:rsidR="00EE5072" w:rsidRPr="001F64A9" w:rsidRDefault="00EE5072">
            <w:pPr>
              <w:spacing w:line="360" w:lineRule="auto"/>
              <w:jc w:val="center"/>
              <w:rPr>
                <w:rFonts w:asciiTheme="majorBidi" w:hAnsiTheme="majorBidi" w:cstheme="majorBidi"/>
                <w:szCs w:val="24"/>
              </w:rPr>
            </w:pPr>
            <w:r w:rsidRPr="001F64A9">
              <w:rPr>
                <w:rFonts w:asciiTheme="majorBidi" w:hAnsiTheme="majorBidi" w:cstheme="majorBidi"/>
                <w:szCs w:val="24"/>
              </w:rPr>
              <w:t>.096</w:t>
            </w:r>
          </w:p>
        </w:tc>
        <w:tc>
          <w:tcPr>
            <w:tcW w:w="608" w:type="pct"/>
            <w:tcBorders>
              <w:top w:val="nil"/>
              <w:left w:val="nil"/>
              <w:bottom w:val="single" w:sz="4" w:space="0" w:color="auto"/>
              <w:right w:val="nil"/>
            </w:tcBorders>
            <w:vAlign w:val="center"/>
          </w:tcPr>
          <w:p w14:paraId="73F9F6A3" w14:textId="77777777" w:rsidR="00EE5072" w:rsidRPr="001F64A9" w:rsidRDefault="00EE5072">
            <w:pPr>
              <w:spacing w:line="360" w:lineRule="auto"/>
              <w:jc w:val="center"/>
              <w:rPr>
                <w:rFonts w:asciiTheme="majorBidi" w:hAnsiTheme="majorBidi" w:cstheme="majorBidi"/>
                <w:szCs w:val="24"/>
              </w:rPr>
            </w:pPr>
          </w:p>
        </w:tc>
        <w:tc>
          <w:tcPr>
            <w:tcW w:w="509" w:type="pct"/>
            <w:tcBorders>
              <w:top w:val="nil"/>
              <w:left w:val="nil"/>
              <w:bottom w:val="single" w:sz="4" w:space="0" w:color="auto"/>
              <w:right w:val="nil"/>
            </w:tcBorders>
            <w:vAlign w:val="center"/>
          </w:tcPr>
          <w:p w14:paraId="5777D3CF" w14:textId="77777777" w:rsidR="00EE5072" w:rsidRPr="001F64A9" w:rsidRDefault="00EE5072">
            <w:pPr>
              <w:spacing w:line="360" w:lineRule="auto"/>
              <w:jc w:val="center"/>
              <w:rPr>
                <w:rFonts w:asciiTheme="majorBidi" w:hAnsiTheme="majorBidi" w:cstheme="majorBidi"/>
                <w:szCs w:val="24"/>
              </w:rPr>
            </w:pPr>
          </w:p>
        </w:tc>
      </w:tr>
    </w:tbl>
    <w:p w14:paraId="0EB77684"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i/>
          <w:iCs/>
          <w:sz w:val="20"/>
          <w:szCs w:val="20"/>
        </w:rPr>
        <w:t xml:space="preserve">Note. The correlation between </w:t>
      </w:r>
      <w:r w:rsidRPr="001F64A9">
        <w:rPr>
          <w:rFonts w:asciiTheme="majorBidi" w:eastAsia="Times New Roman" w:hAnsiTheme="majorBidi" w:cstheme="majorBidi"/>
          <w:bCs/>
          <w:i/>
          <w:iCs/>
          <w:sz w:val="20"/>
          <w:szCs w:val="20"/>
        </w:rPr>
        <w:t>pain and dependence oriented values</w:t>
      </w:r>
      <w:r w:rsidRPr="001F64A9">
        <w:rPr>
          <w:rFonts w:asciiTheme="majorBidi" w:hAnsiTheme="majorBidi" w:cstheme="majorBidi"/>
          <w:i/>
          <w:iCs/>
          <w:sz w:val="20"/>
          <w:szCs w:val="20"/>
        </w:rPr>
        <w:t xml:space="preserve"> and DNR preference is provided in parentheses in respective condition. </w:t>
      </w:r>
      <w:r w:rsidRPr="001F64A9">
        <w:rPr>
          <w:rFonts w:asciiTheme="majorBidi" w:hAnsiTheme="majorBidi" w:cstheme="majorBidi"/>
          <w:sz w:val="20"/>
          <w:szCs w:val="20"/>
        </w:rPr>
        <w:t xml:space="preserve"> </w:t>
      </w:r>
      <w:r w:rsidRPr="001F64A9">
        <w:rPr>
          <w:rFonts w:asciiTheme="majorBidi" w:hAnsiTheme="majorBidi" w:cstheme="majorBidi"/>
          <w:sz w:val="20"/>
          <w:szCs w:val="20"/>
          <w:vertAlign w:val="superscript"/>
        </w:rPr>
        <w:t>†</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.10, ** </w:t>
      </w:r>
      <w:r w:rsidRPr="001F64A9">
        <w:rPr>
          <w:rFonts w:asciiTheme="majorBidi" w:hAnsiTheme="majorBidi" w:cstheme="majorBidi"/>
          <w:i/>
          <w:iCs/>
          <w:sz w:val="20"/>
          <w:szCs w:val="20"/>
        </w:rPr>
        <w:t>p</w:t>
      </w:r>
      <w:r w:rsidRPr="001F64A9">
        <w:rPr>
          <w:rFonts w:asciiTheme="majorBidi" w:hAnsiTheme="majorBidi" w:cstheme="majorBidi"/>
          <w:sz w:val="20"/>
          <w:szCs w:val="20"/>
        </w:rPr>
        <w:t xml:space="preserve"> &lt; .01.</w:t>
      </w:r>
    </w:p>
    <w:p w14:paraId="2F4A4D4B" w14:textId="77777777" w:rsidR="00EE5072" w:rsidRPr="001F64A9" w:rsidRDefault="00EE5072" w:rsidP="00EE5072">
      <w:pPr>
        <w:rPr>
          <w:rFonts w:asciiTheme="majorBidi" w:hAnsiTheme="majorBidi" w:cstheme="majorBidi"/>
          <w:sz w:val="24"/>
          <w:szCs w:val="24"/>
        </w:rPr>
      </w:pPr>
      <w:r w:rsidRPr="001F64A9">
        <w:rPr>
          <w:rFonts w:asciiTheme="majorBidi" w:hAnsiTheme="majorBidi" w:cstheme="majorBidi"/>
          <w:sz w:val="24"/>
          <w:szCs w:val="24"/>
        </w:rPr>
        <w:br w:type="page"/>
      </w:r>
    </w:p>
    <w:p w14:paraId="5083F795" w14:textId="77777777" w:rsidR="00EE5072" w:rsidRPr="001F64A9" w:rsidRDefault="00EE5072" w:rsidP="00EE5072">
      <w:pPr>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Table 8</w:t>
      </w:r>
    </w:p>
    <w:p w14:paraId="71BDF7F3" w14:textId="77777777" w:rsidR="00EE5072" w:rsidRPr="001F64A9" w:rsidRDefault="00EE5072" w:rsidP="00EE5072">
      <w:pPr>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The Effects of Informing and Framing Nudge on Preference to Write a DNR in Experiment 1c</w:t>
      </w:r>
    </w:p>
    <w:tbl>
      <w:tblPr>
        <w:tblW w:w="9342" w:type="dxa"/>
        <w:tblBorders>
          <w:top w:val="single" w:sz="4" w:space="0" w:color="auto"/>
          <w:bottom w:val="single" w:sz="4" w:space="0" w:color="auto"/>
        </w:tblBorders>
        <w:tblLayout w:type="fixed"/>
        <w:tblLook w:val="0600" w:firstRow="0" w:lastRow="0" w:firstColumn="0" w:lastColumn="0" w:noHBand="1" w:noVBand="1"/>
      </w:tblPr>
      <w:tblGrid>
        <w:gridCol w:w="1557"/>
        <w:gridCol w:w="1557"/>
        <w:gridCol w:w="1557"/>
        <w:gridCol w:w="1557"/>
        <w:gridCol w:w="1557"/>
        <w:gridCol w:w="1557"/>
      </w:tblGrid>
      <w:tr w:rsidR="00DE4EA4" w:rsidRPr="001F64A9" w14:paraId="3274702F" w14:textId="77777777" w:rsidTr="00DE4EA4">
        <w:trPr>
          <w:trHeight w:val="525"/>
        </w:trPr>
        <w:tc>
          <w:tcPr>
            <w:tcW w:w="1557" w:type="dxa"/>
            <w:tcBorders>
              <w:top w:val="single" w:sz="4" w:space="0" w:color="auto"/>
              <w:left w:val="nil"/>
              <w:bottom w:val="single" w:sz="4" w:space="0" w:color="auto"/>
              <w:right w:val="nil"/>
            </w:tcBorders>
            <w:tcMar>
              <w:top w:w="100" w:type="dxa"/>
              <w:left w:w="100" w:type="dxa"/>
              <w:bottom w:w="100" w:type="dxa"/>
              <w:right w:w="100" w:type="dxa"/>
            </w:tcMar>
            <w:hideMark/>
          </w:tcPr>
          <w:p w14:paraId="1FDE29E7" w14:textId="77777777" w:rsidR="00EE5072" w:rsidRPr="001F64A9" w:rsidRDefault="00EE5072">
            <w:pPr>
              <w:widowControl w:val="0"/>
              <w:spacing w:line="24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Predictors</w:t>
            </w:r>
          </w:p>
        </w:tc>
        <w:tc>
          <w:tcPr>
            <w:tcW w:w="1557" w:type="dxa"/>
            <w:tcBorders>
              <w:top w:val="single" w:sz="4" w:space="0" w:color="auto"/>
              <w:left w:val="nil"/>
              <w:bottom w:val="single" w:sz="4" w:space="0" w:color="auto"/>
              <w:right w:val="nil"/>
            </w:tcBorders>
            <w:tcMar>
              <w:top w:w="100" w:type="dxa"/>
              <w:left w:w="100" w:type="dxa"/>
              <w:bottom w:w="100" w:type="dxa"/>
              <w:right w:w="100" w:type="dxa"/>
            </w:tcMar>
            <w:hideMark/>
          </w:tcPr>
          <w:p w14:paraId="28FA49E0" w14:textId="77777777" w:rsidR="00EE5072" w:rsidRPr="001F64A9" w:rsidRDefault="00EE5072">
            <w:pPr>
              <w:widowControl w:val="0"/>
              <w:spacing w:line="240" w:lineRule="auto"/>
              <w:jc w:val="center"/>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β</w:t>
            </w:r>
          </w:p>
        </w:tc>
        <w:tc>
          <w:tcPr>
            <w:tcW w:w="1557" w:type="dxa"/>
            <w:tcBorders>
              <w:top w:val="single" w:sz="4" w:space="0" w:color="auto"/>
              <w:left w:val="nil"/>
              <w:bottom w:val="single" w:sz="4" w:space="0" w:color="auto"/>
              <w:right w:val="nil"/>
            </w:tcBorders>
            <w:tcMar>
              <w:top w:w="100" w:type="dxa"/>
              <w:left w:w="100" w:type="dxa"/>
              <w:bottom w:w="100" w:type="dxa"/>
              <w:right w:w="100" w:type="dxa"/>
            </w:tcMar>
            <w:hideMark/>
          </w:tcPr>
          <w:p w14:paraId="24F0F0BE" w14:textId="77777777" w:rsidR="00EE5072" w:rsidRPr="001F64A9" w:rsidRDefault="00EE5072">
            <w:pPr>
              <w:widowControl w:val="0"/>
              <w:spacing w:line="240" w:lineRule="auto"/>
              <w:jc w:val="center"/>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SE</w:t>
            </w:r>
          </w:p>
        </w:tc>
        <w:tc>
          <w:tcPr>
            <w:tcW w:w="1557" w:type="dxa"/>
            <w:tcBorders>
              <w:top w:val="single" w:sz="4" w:space="0" w:color="auto"/>
              <w:left w:val="nil"/>
              <w:bottom w:val="single" w:sz="4" w:space="0" w:color="auto"/>
              <w:right w:val="nil"/>
            </w:tcBorders>
            <w:tcMar>
              <w:top w:w="100" w:type="dxa"/>
              <w:left w:w="100" w:type="dxa"/>
              <w:bottom w:w="100" w:type="dxa"/>
              <w:right w:w="100" w:type="dxa"/>
            </w:tcMar>
            <w:hideMark/>
          </w:tcPr>
          <w:p w14:paraId="4A505EBF"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rPr>
              <w:t>OR</w:t>
            </w:r>
          </w:p>
        </w:tc>
        <w:tc>
          <w:tcPr>
            <w:tcW w:w="1557" w:type="dxa"/>
            <w:tcBorders>
              <w:top w:val="single" w:sz="4" w:space="0" w:color="auto"/>
              <w:left w:val="nil"/>
              <w:bottom w:val="single" w:sz="4" w:space="0" w:color="auto"/>
              <w:right w:val="nil"/>
            </w:tcBorders>
            <w:tcMar>
              <w:top w:w="100" w:type="dxa"/>
              <w:left w:w="100" w:type="dxa"/>
              <w:bottom w:w="100" w:type="dxa"/>
              <w:right w:w="100" w:type="dxa"/>
            </w:tcMar>
            <w:hideMark/>
          </w:tcPr>
          <w:p w14:paraId="084FA84C"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rPr>
              <w:t>z</w:t>
            </w:r>
          </w:p>
        </w:tc>
        <w:tc>
          <w:tcPr>
            <w:tcW w:w="1557" w:type="dxa"/>
            <w:tcBorders>
              <w:top w:val="single" w:sz="4" w:space="0" w:color="auto"/>
              <w:left w:val="nil"/>
              <w:bottom w:val="single" w:sz="4" w:space="0" w:color="auto"/>
              <w:right w:val="nil"/>
            </w:tcBorders>
            <w:tcMar>
              <w:top w:w="100" w:type="dxa"/>
              <w:left w:w="100" w:type="dxa"/>
              <w:bottom w:w="100" w:type="dxa"/>
              <w:right w:w="100" w:type="dxa"/>
            </w:tcMar>
            <w:hideMark/>
          </w:tcPr>
          <w:p w14:paraId="72F81617"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rPr>
              <w:t>p(z)</w:t>
            </w:r>
          </w:p>
        </w:tc>
      </w:tr>
      <w:tr w:rsidR="00DE4EA4" w:rsidRPr="001F64A9" w14:paraId="1994A9D5" w14:textId="77777777" w:rsidTr="00DE4EA4">
        <w:trPr>
          <w:trHeight w:val="525"/>
        </w:trPr>
        <w:tc>
          <w:tcPr>
            <w:tcW w:w="1557" w:type="dxa"/>
            <w:tcBorders>
              <w:top w:val="single" w:sz="4" w:space="0" w:color="auto"/>
              <w:left w:val="nil"/>
              <w:bottom w:val="nil"/>
              <w:right w:val="nil"/>
            </w:tcBorders>
            <w:tcMar>
              <w:top w:w="100" w:type="dxa"/>
              <w:left w:w="100" w:type="dxa"/>
              <w:bottom w:w="100" w:type="dxa"/>
              <w:right w:w="100" w:type="dxa"/>
            </w:tcMar>
            <w:hideMark/>
          </w:tcPr>
          <w:p w14:paraId="3800906B" w14:textId="77777777" w:rsidR="00EE5072" w:rsidRPr="001F64A9" w:rsidRDefault="00EE5072">
            <w:pPr>
              <w:widowControl w:val="0"/>
              <w:spacing w:line="24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Intercept</w:t>
            </w:r>
          </w:p>
        </w:tc>
        <w:tc>
          <w:tcPr>
            <w:tcW w:w="1557" w:type="dxa"/>
            <w:tcBorders>
              <w:top w:val="single" w:sz="4" w:space="0" w:color="auto"/>
              <w:left w:val="nil"/>
              <w:bottom w:val="nil"/>
              <w:right w:val="nil"/>
            </w:tcBorders>
            <w:tcMar>
              <w:top w:w="100" w:type="dxa"/>
              <w:left w:w="100" w:type="dxa"/>
              <w:bottom w:w="100" w:type="dxa"/>
              <w:right w:w="100" w:type="dxa"/>
            </w:tcMar>
            <w:hideMark/>
          </w:tcPr>
          <w:p w14:paraId="08B12E71"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-1.96</w:t>
            </w:r>
          </w:p>
        </w:tc>
        <w:tc>
          <w:tcPr>
            <w:tcW w:w="1557" w:type="dxa"/>
            <w:tcBorders>
              <w:top w:val="single" w:sz="4" w:space="0" w:color="auto"/>
              <w:left w:val="nil"/>
              <w:bottom w:val="nil"/>
              <w:right w:val="nil"/>
            </w:tcBorders>
            <w:tcMar>
              <w:top w:w="100" w:type="dxa"/>
              <w:left w:w="100" w:type="dxa"/>
              <w:bottom w:w="100" w:type="dxa"/>
              <w:right w:w="100" w:type="dxa"/>
            </w:tcMar>
            <w:hideMark/>
          </w:tcPr>
          <w:p w14:paraId="104F692A"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.28</w:t>
            </w:r>
          </w:p>
        </w:tc>
        <w:tc>
          <w:tcPr>
            <w:tcW w:w="1557" w:type="dxa"/>
            <w:tcBorders>
              <w:top w:val="single" w:sz="4" w:space="0" w:color="auto"/>
              <w:left w:val="nil"/>
              <w:bottom w:val="nil"/>
              <w:right w:val="nil"/>
            </w:tcBorders>
            <w:tcMar>
              <w:top w:w="100" w:type="dxa"/>
              <w:left w:w="100" w:type="dxa"/>
              <w:bottom w:w="100" w:type="dxa"/>
              <w:right w:w="100" w:type="dxa"/>
            </w:tcMar>
            <w:hideMark/>
          </w:tcPr>
          <w:p w14:paraId="51822801"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.14</w:t>
            </w:r>
          </w:p>
        </w:tc>
        <w:tc>
          <w:tcPr>
            <w:tcW w:w="1557" w:type="dxa"/>
            <w:tcBorders>
              <w:top w:val="single" w:sz="4" w:space="0" w:color="auto"/>
              <w:left w:val="nil"/>
              <w:bottom w:val="nil"/>
              <w:right w:val="nil"/>
            </w:tcBorders>
            <w:tcMar>
              <w:top w:w="100" w:type="dxa"/>
              <w:left w:w="100" w:type="dxa"/>
              <w:bottom w:w="100" w:type="dxa"/>
              <w:right w:w="100" w:type="dxa"/>
            </w:tcMar>
            <w:hideMark/>
          </w:tcPr>
          <w:p w14:paraId="09458D9A"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-6.85</w:t>
            </w:r>
          </w:p>
        </w:tc>
        <w:tc>
          <w:tcPr>
            <w:tcW w:w="1557" w:type="dxa"/>
            <w:tcBorders>
              <w:top w:val="single" w:sz="4" w:space="0" w:color="auto"/>
              <w:left w:val="nil"/>
              <w:bottom w:val="nil"/>
              <w:right w:val="nil"/>
            </w:tcBorders>
            <w:tcMar>
              <w:top w:w="100" w:type="dxa"/>
              <w:left w:w="100" w:type="dxa"/>
              <w:bottom w:w="100" w:type="dxa"/>
              <w:right w:w="100" w:type="dxa"/>
            </w:tcMar>
            <w:hideMark/>
          </w:tcPr>
          <w:p w14:paraId="4C55FB40"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.000</w:t>
            </w:r>
          </w:p>
        </w:tc>
      </w:tr>
      <w:tr w:rsidR="00DE4EA4" w:rsidRPr="001F64A9" w14:paraId="2F9F0FAB" w14:textId="77777777" w:rsidTr="00DE4EA4">
        <w:trPr>
          <w:trHeight w:val="525"/>
        </w:trPr>
        <w:tc>
          <w:tcPr>
            <w:tcW w:w="1557" w:type="dxa"/>
            <w:tcBorders>
              <w:top w:val="nil"/>
              <w:left w:val="nil"/>
              <w:bottom w:val="nil"/>
              <w:right w:val="nil"/>
            </w:tcBorders>
            <w:tcMar>
              <w:top w:w="100" w:type="dxa"/>
              <w:left w:w="100" w:type="dxa"/>
              <w:bottom w:w="100" w:type="dxa"/>
              <w:right w:w="100" w:type="dxa"/>
            </w:tcMar>
            <w:hideMark/>
          </w:tcPr>
          <w:p w14:paraId="77441336" w14:textId="77777777" w:rsidR="00EE5072" w:rsidRPr="001F64A9" w:rsidRDefault="00EE5072">
            <w:pPr>
              <w:widowControl w:val="0"/>
              <w:spacing w:line="24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Frame</w:t>
            </w:r>
          </w:p>
        </w:tc>
        <w:tc>
          <w:tcPr>
            <w:tcW w:w="1557" w:type="dxa"/>
            <w:tcBorders>
              <w:top w:val="nil"/>
              <w:left w:val="nil"/>
              <w:bottom w:val="nil"/>
              <w:right w:val="nil"/>
            </w:tcBorders>
            <w:tcMar>
              <w:top w:w="100" w:type="dxa"/>
              <w:left w:w="100" w:type="dxa"/>
              <w:bottom w:w="100" w:type="dxa"/>
              <w:right w:w="100" w:type="dxa"/>
            </w:tcMar>
            <w:hideMark/>
          </w:tcPr>
          <w:p w14:paraId="09A1FFB9"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-.42</w:t>
            </w:r>
          </w:p>
        </w:tc>
        <w:tc>
          <w:tcPr>
            <w:tcW w:w="1557" w:type="dxa"/>
            <w:tcBorders>
              <w:top w:val="nil"/>
              <w:left w:val="nil"/>
              <w:bottom w:val="nil"/>
              <w:right w:val="nil"/>
            </w:tcBorders>
            <w:tcMar>
              <w:top w:w="100" w:type="dxa"/>
              <w:left w:w="100" w:type="dxa"/>
              <w:bottom w:w="100" w:type="dxa"/>
              <w:right w:w="100" w:type="dxa"/>
            </w:tcMar>
            <w:hideMark/>
          </w:tcPr>
          <w:p w14:paraId="26DC0E7C"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.49</w:t>
            </w:r>
          </w:p>
        </w:tc>
        <w:tc>
          <w:tcPr>
            <w:tcW w:w="1557" w:type="dxa"/>
            <w:tcBorders>
              <w:top w:val="nil"/>
              <w:left w:val="nil"/>
              <w:bottom w:val="nil"/>
              <w:right w:val="nil"/>
            </w:tcBorders>
            <w:tcMar>
              <w:top w:w="100" w:type="dxa"/>
              <w:left w:w="100" w:type="dxa"/>
              <w:bottom w:w="100" w:type="dxa"/>
              <w:right w:w="100" w:type="dxa"/>
            </w:tcMar>
            <w:hideMark/>
          </w:tcPr>
          <w:p w14:paraId="63248050"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.65</w:t>
            </w:r>
          </w:p>
        </w:tc>
        <w:tc>
          <w:tcPr>
            <w:tcW w:w="1557" w:type="dxa"/>
            <w:tcBorders>
              <w:top w:val="nil"/>
              <w:left w:val="nil"/>
              <w:bottom w:val="nil"/>
              <w:right w:val="nil"/>
            </w:tcBorders>
            <w:tcMar>
              <w:top w:w="100" w:type="dxa"/>
              <w:left w:w="100" w:type="dxa"/>
              <w:bottom w:w="100" w:type="dxa"/>
              <w:right w:w="100" w:type="dxa"/>
            </w:tcMar>
            <w:hideMark/>
          </w:tcPr>
          <w:p w14:paraId="0A5B7207"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-.88</w:t>
            </w:r>
          </w:p>
        </w:tc>
        <w:tc>
          <w:tcPr>
            <w:tcW w:w="1557" w:type="dxa"/>
            <w:tcBorders>
              <w:top w:val="nil"/>
              <w:left w:val="nil"/>
              <w:bottom w:val="nil"/>
              <w:right w:val="nil"/>
            </w:tcBorders>
            <w:tcMar>
              <w:top w:w="100" w:type="dxa"/>
              <w:left w:w="100" w:type="dxa"/>
              <w:bottom w:w="100" w:type="dxa"/>
              <w:right w:w="100" w:type="dxa"/>
            </w:tcMar>
            <w:hideMark/>
          </w:tcPr>
          <w:p w14:paraId="71323EC5"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.379</w:t>
            </w:r>
          </w:p>
        </w:tc>
      </w:tr>
      <w:tr w:rsidR="00DE4EA4" w:rsidRPr="001F64A9" w14:paraId="0061CFBA" w14:textId="77777777" w:rsidTr="00DE4EA4">
        <w:trPr>
          <w:trHeight w:val="525"/>
        </w:trPr>
        <w:tc>
          <w:tcPr>
            <w:tcW w:w="1557" w:type="dxa"/>
            <w:tcBorders>
              <w:top w:val="nil"/>
              <w:left w:val="nil"/>
              <w:bottom w:val="nil"/>
              <w:right w:val="nil"/>
            </w:tcBorders>
            <w:tcMar>
              <w:top w:w="100" w:type="dxa"/>
              <w:left w:w="100" w:type="dxa"/>
              <w:bottom w:w="100" w:type="dxa"/>
              <w:right w:w="100" w:type="dxa"/>
            </w:tcMar>
            <w:hideMark/>
          </w:tcPr>
          <w:p w14:paraId="0428CF98" w14:textId="77777777" w:rsidR="00EE5072" w:rsidRPr="001F64A9" w:rsidRDefault="00EE5072">
            <w:pPr>
              <w:widowControl w:val="0"/>
              <w:spacing w:line="24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Video</w:t>
            </w:r>
          </w:p>
        </w:tc>
        <w:tc>
          <w:tcPr>
            <w:tcW w:w="1557" w:type="dxa"/>
            <w:tcBorders>
              <w:top w:val="nil"/>
              <w:left w:val="nil"/>
              <w:bottom w:val="nil"/>
              <w:right w:val="nil"/>
            </w:tcBorders>
            <w:tcMar>
              <w:top w:w="100" w:type="dxa"/>
              <w:left w:w="100" w:type="dxa"/>
              <w:bottom w:w="100" w:type="dxa"/>
              <w:right w:w="100" w:type="dxa"/>
            </w:tcMar>
            <w:hideMark/>
          </w:tcPr>
          <w:p w14:paraId="2CB09DBC"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.98</w:t>
            </w:r>
          </w:p>
        </w:tc>
        <w:tc>
          <w:tcPr>
            <w:tcW w:w="1557" w:type="dxa"/>
            <w:tcBorders>
              <w:top w:val="nil"/>
              <w:left w:val="nil"/>
              <w:bottom w:val="nil"/>
              <w:right w:val="nil"/>
            </w:tcBorders>
            <w:tcMar>
              <w:top w:w="100" w:type="dxa"/>
              <w:left w:w="100" w:type="dxa"/>
              <w:bottom w:w="100" w:type="dxa"/>
              <w:right w:w="100" w:type="dxa"/>
            </w:tcMar>
            <w:hideMark/>
          </w:tcPr>
          <w:p w14:paraId="0EA012E3"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.36</w:t>
            </w:r>
          </w:p>
        </w:tc>
        <w:tc>
          <w:tcPr>
            <w:tcW w:w="1557" w:type="dxa"/>
            <w:tcBorders>
              <w:top w:val="nil"/>
              <w:left w:val="nil"/>
              <w:bottom w:val="nil"/>
              <w:right w:val="nil"/>
            </w:tcBorders>
            <w:tcMar>
              <w:top w:w="100" w:type="dxa"/>
              <w:left w:w="100" w:type="dxa"/>
              <w:bottom w:w="100" w:type="dxa"/>
              <w:right w:w="100" w:type="dxa"/>
            </w:tcMar>
            <w:hideMark/>
          </w:tcPr>
          <w:p w14:paraId="2E013CEC"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2.68</w:t>
            </w:r>
          </w:p>
        </w:tc>
        <w:tc>
          <w:tcPr>
            <w:tcW w:w="1557" w:type="dxa"/>
            <w:tcBorders>
              <w:top w:val="nil"/>
              <w:left w:val="nil"/>
              <w:bottom w:val="nil"/>
              <w:right w:val="nil"/>
            </w:tcBorders>
            <w:tcMar>
              <w:top w:w="100" w:type="dxa"/>
              <w:left w:w="100" w:type="dxa"/>
              <w:bottom w:w="100" w:type="dxa"/>
              <w:right w:w="100" w:type="dxa"/>
            </w:tcMar>
            <w:hideMark/>
          </w:tcPr>
          <w:p w14:paraId="008AF4E4"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2.72</w:t>
            </w:r>
          </w:p>
        </w:tc>
        <w:tc>
          <w:tcPr>
            <w:tcW w:w="1557" w:type="dxa"/>
            <w:tcBorders>
              <w:top w:val="nil"/>
              <w:left w:val="nil"/>
              <w:bottom w:val="nil"/>
              <w:right w:val="nil"/>
            </w:tcBorders>
            <w:tcMar>
              <w:top w:w="100" w:type="dxa"/>
              <w:left w:w="100" w:type="dxa"/>
              <w:bottom w:w="100" w:type="dxa"/>
              <w:right w:w="100" w:type="dxa"/>
            </w:tcMar>
            <w:hideMark/>
          </w:tcPr>
          <w:p w14:paraId="6DE1896B"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.006</w:t>
            </w:r>
          </w:p>
        </w:tc>
      </w:tr>
      <w:tr w:rsidR="00DE4EA4" w:rsidRPr="001F64A9" w14:paraId="19E4FD44" w14:textId="77777777" w:rsidTr="00DE4EA4">
        <w:trPr>
          <w:trHeight w:val="509"/>
        </w:trPr>
        <w:tc>
          <w:tcPr>
            <w:tcW w:w="1557" w:type="dxa"/>
            <w:tcBorders>
              <w:top w:val="nil"/>
              <w:left w:val="nil"/>
              <w:bottom w:val="single" w:sz="4" w:space="0" w:color="auto"/>
              <w:right w:val="nil"/>
            </w:tcBorders>
            <w:tcMar>
              <w:top w:w="100" w:type="dxa"/>
              <w:left w:w="100" w:type="dxa"/>
              <w:bottom w:w="100" w:type="dxa"/>
              <w:right w:w="100" w:type="dxa"/>
            </w:tcMar>
            <w:hideMark/>
          </w:tcPr>
          <w:p w14:paraId="436AC958" w14:textId="77777777" w:rsidR="00EE5072" w:rsidRPr="001F64A9" w:rsidRDefault="00EE5072">
            <w:pPr>
              <w:widowControl w:val="0"/>
              <w:spacing w:line="24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Frame*Video</w:t>
            </w:r>
          </w:p>
        </w:tc>
        <w:tc>
          <w:tcPr>
            <w:tcW w:w="1557" w:type="dxa"/>
            <w:tcBorders>
              <w:top w:val="nil"/>
              <w:left w:val="nil"/>
              <w:bottom w:val="single" w:sz="4" w:space="0" w:color="auto"/>
              <w:right w:val="nil"/>
            </w:tcBorders>
            <w:tcMar>
              <w:top w:w="100" w:type="dxa"/>
              <w:left w:w="100" w:type="dxa"/>
              <w:bottom w:w="100" w:type="dxa"/>
              <w:right w:w="100" w:type="dxa"/>
            </w:tcMar>
            <w:hideMark/>
          </w:tcPr>
          <w:p w14:paraId="72BB0657"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-.24</w:t>
            </w:r>
          </w:p>
        </w:tc>
        <w:tc>
          <w:tcPr>
            <w:tcW w:w="1557" w:type="dxa"/>
            <w:tcBorders>
              <w:top w:val="nil"/>
              <w:left w:val="nil"/>
              <w:bottom w:val="single" w:sz="4" w:space="0" w:color="auto"/>
              <w:right w:val="nil"/>
            </w:tcBorders>
            <w:tcMar>
              <w:top w:w="100" w:type="dxa"/>
              <w:left w:w="100" w:type="dxa"/>
              <w:bottom w:w="100" w:type="dxa"/>
              <w:right w:w="100" w:type="dxa"/>
            </w:tcMar>
            <w:hideMark/>
          </w:tcPr>
          <w:p w14:paraId="0BEF29E0"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.68</w:t>
            </w:r>
          </w:p>
        </w:tc>
        <w:tc>
          <w:tcPr>
            <w:tcW w:w="1557" w:type="dxa"/>
            <w:tcBorders>
              <w:top w:val="nil"/>
              <w:left w:val="nil"/>
              <w:bottom w:val="single" w:sz="4" w:space="0" w:color="auto"/>
              <w:right w:val="nil"/>
            </w:tcBorders>
            <w:tcMar>
              <w:top w:w="100" w:type="dxa"/>
              <w:left w:w="100" w:type="dxa"/>
              <w:bottom w:w="100" w:type="dxa"/>
              <w:right w:w="100" w:type="dxa"/>
            </w:tcMar>
            <w:hideMark/>
          </w:tcPr>
          <w:p w14:paraId="712629FF"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.79</w:t>
            </w:r>
          </w:p>
        </w:tc>
        <w:tc>
          <w:tcPr>
            <w:tcW w:w="1557" w:type="dxa"/>
            <w:tcBorders>
              <w:top w:val="nil"/>
              <w:left w:val="nil"/>
              <w:bottom w:val="single" w:sz="4" w:space="0" w:color="auto"/>
              <w:right w:val="nil"/>
            </w:tcBorders>
            <w:tcMar>
              <w:top w:w="100" w:type="dxa"/>
              <w:left w:w="100" w:type="dxa"/>
              <w:bottom w:w="100" w:type="dxa"/>
              <w:right w:w="100" w:type="dxa"/>
            </w:tcMar>
            <w:hideMark/>
          </w:tcPr>
          <w:p w14:paraId="6026219B"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-.41</w:t>
            </w:r>
          </w:p>
        </w:tc>
        <w:tc>
          <w:tcPr>
            <w:tcW w:w="1557" w:type="dxa"/>
            <w:tcBorders>
              <w:top w:val="nil"/>
              <w:left w:val="nil"/>
              <w:bottom w:val="single" w:sz="4" w:space="0" w:color="auto"/>
              <w:right w:val="nil"/>
            </w:tcBorders>
            <w:tcMar>
              <w:top w:w="100" w:type="dxa"/>
              <w:left w:w="100" w:type="dxa"/>
              <w:bottom w:w="100" w:type="dxa"/>
              <w:right w:w="100" w:type="dxa"/>
            </w:tcMar>
            <w:hideMark/>
          </w:tcPr>
          <w:p w14:paraId="31E42ED2" w14:textId="77777777" w:rsidR="00EE5072" w:rsidRPr="001F64A9" w:rsidRDefault="00EE5072">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.684</w:t>
            </w:r>
          </w:p>
        </w:tc>
      </w:tr>
    </w:tbl>
    <w:p w14:paraId="00D4DE6B" w14:textId="77777777" w:rsidR="00EE5072" w:rsidRPr="001F64A9" w:rsidRDefault="00EE5072" w:rsidP="00EE5072">
      <w:pPr>
        <w:rPr>
          <w:rFonts w:asciiTheme="majorBidi" w:eastAsia="Times New Roman" w:hAnsiTheme="majorBidi" w:cstheme="majorBidi"/>
          <w:sz w:val="20"/>
          <w:szCs w:val="20"/>
        </w:rPr>
      </w:pPr>
      <w:r w:rsidRPr="001F64A9">
        <w:rPr>
          <w:rFonts w:asciiTheme="majorBidi" w:eastAsia="Times New Roman" w:hAnsiTheme="majorBidi" w:cstheme="majorBidi"/>
          <w:i/>
          <w:iCs/>
          <w:sz w:val="20"/>
          <w:szCs w:val="20"/>
        </w:rPr>
        <w:t>Note.</w:t>
      </w:r>
      <w:r w:rsidRPr="001F64A9">
        <w:rPr>
          <w:rFonts w:asciiTheme="majorBidi" w:eastAsia="Times New Roman" w:hAnsiTheme="majorBidi" w:cstheme="majorBidi"/>
          <w:sz w:val="20"/>
          <w:szCs w:val="20"/>
        </w:rPr>
        <w:t xml:space="preserve"> </w:t>
      </w:r>
      <w:r w:rsidRPr="001F64A9">
        <w:rPr>
          <w:rFonts w:asciiTheme="majorBidi" w:eastAsia="Times New Roman" w:hAnsiTheme="majorBidi" w:cstheme="majorBidi"/>
          <w:i/>
          <w:iCs/>
          <w:sz w:val="20"/>
          <w:szCs w:val="20"/>
        </w:rPr>
        <w:t>β</w:t>
      </w:r>
      <w:r w:rsidRPr="001F64A9">
        <w:rPr>
          <w:rFonts w:asciiTheme="majorBidi" w:eastAsia="Times New Roman" w:hAnsiTheme="majorBidi" w:cstheme="majorBidi"/>
          <w:sz w:val="20"/>
          <w:szCs w:val="20"/>
        </w:rPr>
        <w:t xml:space="preserve"> = standardized coefficient of prediction for logistic regression, SE = standard error, OR = Odd Ratios, z = Wald test statistic.</w:t>
      </w:r>
    </w:p>
    <w:p w14:paraId="016551A4" w14:textId="77777777" w:rsidR="00EE5072" w:rsidRPr="001F64A9" w:rsidRDefault="00EE5072" w:rsidP="00EE5072">
      <w:pPr>
        <w:rPr>
          <w:rFonts w:asciiTheme="majorBidi" w:eastAsia="Times New Roman" w:hAnsiTheme="majorBidi" w:cstheme="majorBidi"/>
          <w:sz w:val="24"/>
          <w:szCs w:val="24"/>
        </w:rPr>
      </w:pPr>
    </w:p>
    <w:p w14:paraId="26F9BED9" w14:textId="77777777" w:rsidR="00EE5072" w:rsidRPr="001F64A9" w:rsidRDefault="00EE5072" w:rsidP="00EE5072">
      <w:pP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br w:type="page"/>
      </w:r>
    </w:p>
    <w:bookmarkEnd w:id="0"/>
    <w:p w14:paraId="24EF6204" w14:textId="77777777" w:rsidR="00EE5072" w:rsidRPr="001F64A9" w:rsidRDefault="00EE5072" w:rsidP="00EE5072">
      <w:pPr>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Table 9</w:t>
      </w:r>
    </w:p>
    <w:p w14:paraId="0E8FEAD4" w14:textId="77777777" w:rsidR="00EE5072" w:rsidRPr="001F64A9" w:rsidRDefault="00EE5072" w:rsidP="00EE5072">
      <w:pPr>
        <w:rPr>
          <w:rFonts w:asciiTheme="majorBidi" w:eastAsia="Times New Roman" w:hAnsiTheme="majorBidi" w:cstheme="majorBidi"/>
          <w:sz w:val="24"/>
          <w:szCs w:val="24"/>
        </w:rPr>
      </w:pPr>
      <w:r w:rsidRPr="001F64A9">
        <w:rPr>
          <w:rFonts w:asciiTheme="majorBidi" w:eastAsia="Times New Roman" w:hAnsiTheme="majorBidi" w:cstheme="majorBidi"/>
          <w:i/>
          <w:iCs/>
          <w:sz w:val="24"/>
          <w:szCs w:val="24"/>
        </w:rPr>
        <w:t>The Effects of Informing and Framing Nudge on Preference to get CPR in Experiment 1c</w:t>
      </w:r>
    </w:p>
    <w:tbl>
      <w:tblPr>
        <w:tblW w:w="9324" w:type="dxa"/>
        <w:tblBorders>
          <w:top w:val="single" w:sz="4" w:space="0" w:color="auto"/>
          <w:bottom w:val="single" w:sz="4" w:space="0" w:color="auto"/>
        </w:tblBorders>
        <w:tblLayout w:type="fixed"/>
        <w:tblLook w:val="0600" w:firstRow="0" w:lastRow="0" w:firstColumn="0" w:lastColumn="0" w:noHBand="1" w:noVBand="1"/>
      </w:tblPr>
      <w:tblGrid>
        <w:gridCol w:w="1554"/>
        <w:gridCol w:w="1554"/>
        <w:gridCol w:w="1554"/>
        <w:gridCol w:w="1554"/>
        <w:gridCol w:w="1554"/>
        <w:gridCol w:w="1554"/>
      </w:tblGrid>
      <w:tr w:rsidR="00DE4EA4" w:rsidRPr="001F64A9" w14:paraId="4830B0EE" w14:textId="77777777" w:rsidTr="00DE4EA4">
        <w:trPr>
          <w:trHeight w:val="483"/>
        </w:trPr>
        <w:tc>
          <w:tcPr>
            <w:tcW w:w="1554" w:type="dxa"/>
            <w:tcBorders>
              <w:top w:val="single" w:sz="4" w:space="0" w:color="auto"/>
              <w:left w:val="nil"/>
              <w:bottom w:val="single" w:sz="4" w:space="0" w:color="auto"/>
              <w:right w:val="nil"/>
            </w:tcBorders>
            <w:tcMar>
              <w:top w:w="100" w:type="dxa"/>
              <w:left w:w="100" w:type="dxa"/>
              <w:bottom w:w="100" w:type="dxa"/>
              <w:right w:w="100" w:type="dxa"/>
            </w:tcMar>
            <w:hideMark/>
          </w:tcPr>
          <w:p w14:paraId="42308368" w14:textId="77777777" w:rsidR="00EE5072" w:rsidRPr="001F64A9" w:rsidRDefault="00EE5072" w:rsidP="00AB3534">
            <w:pPr>
              <w:widowControl w:val="0"/>
              <w:spacing w:line="24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Predictors</w:t>
            </w:r>
          </w:p>
        </w:tc>
        <w:tc>
          <w:tcPr>
            <w:tcW w:w="1554" w:type="dxa"/>
            <w:tcBorders>
              <w:top w:val="single" w:sz="4" w:space="0" w:color="auto"/>
              <w:left w:val="nil"/>
              <w:bottom w:val="single" w:sz="4" w:space="0" w:color="auto"/>
              <w:right w:val="nil"/>
            </w:tcBorders>
            <w:tcMar>
              <w:top w:w="100" w:type="dxa"/>
              <w:left w:w="100" w:type="dxa"/>
              <w:bottom w:w="100" w:type="dxa"/>
              <w:right w:w="100" w:type="dxa"/>
            </w:tcMar>
            <w:hideMark/>
          </w:tcPr>
          <w:p w14:paraId="5A2E160E" w14:textId="77777777" w:rsidR="00EE5072" w:rsidRPr="001F64A9" w:rsidRDefault="00EE5072" w:rsidP="00AB3534">
            <w:pPr>
              <w:widowControl w:val="0"/>
              <w:spacing w:line="240" w:lineRule="auto"/>
              <w:jc w:val="center"/>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β</w:t>
            </w:r>
          </w:p>
        </w:tc>
        <w:tc>
          <w:tcPr>
            <w:tcW w:w="1554" w:type="dxa"/>
            <w:tcBorders>
              <w:top w:val="single" w:sz="4" w:space="0" w:color="auto"/>
              <w:left w:val="nil"/>
              <w:bottom w:val="single" w:sz="4" w:space="0" w:color="auto"/>
              <w:right w:val="nil"/>
            </w:tcBorders>
            <w:tcMar>
              <w:top w:w="100" w:type="dxa"/>
              <w:left w:w="100" w:type="dxa"/>
              <w:bottom w:w="100" w:type="dxa"/>
              <w:right w:w="100" w:type="dxa"/>
            </w:tcMar>
            <w:hideMark/>
          </w:tcPr>
          <w:p w14:paraId="3510F8CB" w14:textId="77777777" w:rsidR="00EE5072" w:rsidRPr="001F64A9" w:rsidRDefault="00EE5072" w:rsidP="00AB3534">
            <w:pPr>
              <w:widowControl w:val="0"/>
              <w:spacing w:line="240" w:lineRule="auto"/>
              <w:jc w:val="center"/>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SE</w:t>
            </w:r>
          </w:p>
        </w:tc>
        <w:tc>
          <w:tcPr>
            <w:tcW w:w="1554" w:type="dxa"/>
            <w:tcBorders>
              <w:top w:val="single" w:sz="4" w:space="0" w:color="auto"/>
              <w:left w:val="nil"/>
              <w:bottom w:val="single" w:sz="4" w:space="0" w:color="auto"/>
              <w:right w:val="nil"/>
            </w:tcBorders>
            <w:tcMar>
              <w:top w:w="100" w:type="dxa"/>
              <w:left w:w="100" w:type="dxa"/>
              <w:bottom w:w="100" w:type="dxa"/>
              <w:right w:w="100" w:type="dxa"/>
            </w:tcMar>
            <w:hideMark/>
          </w:tcPr>
          <w:p w14:paraId="67255830" w14:textId="77777777" w:rsidR="00EE5072" w:rsidRPr="001F64A9" w:rsidRDefault="00EE5072" w:rsidP="00AB3534">
            <w:pPr>
              <w:widowControl w:val="0"/>
              <w:spacing w:line="240" w:lineRule="auto"/>
              <w:jc w:val="center"/>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OR</w:t>
            </w:r>
          </w:p>
        </w:tc>
        <w:tc>
          <w:tcPr>
            <w:tcW w:w="1554" w:type="dxa"/>
            <w:tcBorders>
              <w:top w:val="single" w:sz="4" w:space="0" w:color="auto"/>
              <w:left w:val="nil"/>
              <w:bottom w:val="single" w:sz="4" w:space="0" w:color="auto"/>
              <w:right w:val="nil"/>
            </w:tcBorders>
            <w:tcMar>
              <w:top w:w="100" w:type="dxa"/>
              <w:left w:w="100" w:type="dxa"/>
              <w:bottom w:w="100" w:type="dxa"/>
              <w:right w:w="100" w:type="dxa"/>
            </w:tcMar>
            <w:hideMark/>
          </w:tcPr>
          <w:p w14:paraId="1EB51E7A" w14:textId="77777777" w:rsidR="00EE5072" w:rsidRPr="001F64A9" w:rsidRDefault="00EE5072" w:rsidP="00AB3534">
            <w:pPr>
              <w:widowControl w:val="0"/>
              <w:spacing w:line="240" w:lineRule="auto"/>
              <w:jc w:val="center"/>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z</w:t>
            </w:r>
          </w:p>
        </w:tc>
        <w:tc>
          <w:tcPr>
            <w:tcW w:w="1554" w:type="dxa"/>
            <w:tcBorders>
              <w:top w:val="single" w:sz="4" w:space="0" w:color="auto"/>
              <w:left w:val="nil"/>
              <w:bottom w:val="single" w:sz="4" w:space="0" w:color="auto"/>
              <w:right w:val="nil"/>
            </w:tcBorders>
            <w:tcMar>
              <w:top w:w="100" w:type="dxa"/>
              <w:left w:w="100" w:type="dxa"/>
              <w:bottom w:w="100" w:type="dxa"/>
              <w:right w:w="100" w:type="dxa"/>
            </w:tcMar>
            <w:hideMark/>
          </w:tcPr>
          <w:p w14:paraId="255EFD85" w14:textId="77777777" w:rsidR="00EE5072" w:rsidRPr="001F64A9" w:rsidRDefault="00EE5072" w:rsidP="00AB3534">
            <w:pPr>
              <w:widowControl w:val="0"/>
              <w:spacing w:line="240" w:lineRule="auto"/>
              <w:jc w:val="center"/>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p(z)</w:t>
            </w:r>
          </w:p>
        </w:tc>
      </w:tr>
      <w:tr w:rsidR="00DE4EA4" w:rsidRPr="001F64A9" w14:paraId="676B06EA" w14:textId="77777777" w:rsidTr="00DE4EA4">
        <w:trPr>
          <w:trHeight w:val="483"/>
        </w:trPr>
        <w:tc>
          <w:tcPr>
            <w:tcW w:w="1554" w:type="dxa"/>
            <w:tcBorders>
              <w:top w:val="single" w:sz="4" w:space="0" w:color="auto"/>
              <w:left w:val="nil"/>
              <w:bottom w:val="nil"/>
              <w:right w:val="nil"/>
            </w:tcBorders>
            <w:tcMar>
              <w:top w:w="100" w:type="dxa"/>
              <w:left w:w="100" w:type="dxa"/>
              <w:bottom w:w="100" w:type="dxa"/>
              <w:right w:w="100" w:type="dxa"/>
            </w:tcMar>
            <w:hideMark/>
          </w:tcPr>
          <w:p w14:paraId="0F007D98" w14:textId="77777777" w:rsidR="00EE5072" w:rsidRPr="001F64A9" w:rsidRDefault="00EE5072" w:rsidP="00AB3534">
            <w:pPr>
              <w:widowControl w:val="0"/>
              <w:spacing w:line="24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Intercept</w:t>
            </w:r>
          </w:p>
        </w:tc>
        <w:tc>
          <w:tcPr>
            <w:tcW w:w="1554" w:type="dxa"/>
            <w:tcBorders>
              <w:top w:val="single" w:sz="4" w:space="0" w:color="auto"/>
              <w:left w:val="nil"/>
              <w:bottom w:val="nil"/>
              <w:right w:val="nil"/>
            </w:tcBorders>
            <w:tcMar>
              <w:top w:w="100" w:type="dxa"/>
              <w:left w:w="100" w:type="dxa"/>
              <w:bottom w:w="100" w:type="dxa"/>
              <w:right w:w="100" w:type="dxa"/>
            </w:tcMar>
            <w:hideMark/>
          </w:tcPr>
          <w:p w14:paraId="20DEEF9C"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1.60</w:t>
            </w:r>
          </w:p>
        </w:tc>
        <w:tc>
          <w:tcPr>
            <w:tcW w:w="1554" w:type="dxa"/>
            <w:tcBorders>
              <w:top w:val="single" w:sz="4" w:space="0" w:color="auto"/>
              <w:left w:val="nil"/>
              <w:bottom w:val="nil"/>
              <w:right w:val="nil"/>
            </w:tcBorders>
            <w:tcMar>
              <w:top w:w="100" w:type="dxa"/>
              <w:left w:w="100" w:type="dxa"/>
              <w:bottom w:w="100" w:type="dxa"/>
              <w:right w:w="100" w:type="dxa"/>
            </w:tcMar>
            <w:hideMark/>
          </w:tcPr>
          <w:p w14:paraId="239B00C6"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.25</w:t>
            </w:r>
          </w:p>
        </w:tc>
        <w:tc>
          <w:tcPr>
            <w:tcW w:w="1554" w:type="dxa"/>
            <w:tcBorders>
              <w:top w:val="single" w:sz="4" w:space="0" w:color="auto"/>
              <w:left w:val="nil"/>
              <w:bottom w:val="nil"/>
              <w:right w:val="nil"/>
            </w:tcBorders>
            <w:tcMar>
              <w:top w:w="100" w:type="dxa"/>
              <w:left w:w="100" w:type="dxa"/>
              <w:bottom w:w="100" w:type="dxa"/>
              <w:right w:w="100" w:type="dxa"/>
            </w:tcMar>
            <w:hideMark/>
          </w:tcPr>
          <w:p w14:paraId="0C798240"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4.95</w:t>
            </w:r>
          </w:p>
        </w:tc>
        <w:tc>
          <w:tcPr>
            <w:tcW w:w="1554" w:type="dxa"/>
            <w:tcBorders>
              <w:top w:val="single" w:sz="4" w:space="0" w:color="auto"/>
              <w:left w:val="nil"/>
              <w:bottom w:val="nil"/>
              <w:right w:val="nil"/>
            </w:tcBorders>
            <w:tcMar>
              <w:top w:w="100" w:type="dxa"/>
              <w:left w:w="100" w:type="dxa"/>
              <w:bottom w:w="100" w:type="dxa"/>
              <w:right w:w="100" w:type="dxa"/>
            </w:tcMar>
            <w:hideMark/>
          </w:tcPr>
          <w:p w14:paraId="2C868E51"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6.36</w:t>
            </w:r>
          </w:p>
        </w:tc>
        <w:tc>
          <w:tcPr>
            <w:tcW w:w="1554" w:type="dxa"/>
            <w:tcBorders>
              <w:top w:val="single" w:sz="4" w:space="0" w:color="auto"/>
              <w:left w:val="nil"/>
              <w:bottom w:val="nil"/>
              <w:right w:val="nil"/>
            </w:tcBorders>
            <w:tcMar>
              <w:top w:w="100" w:type="dxa"/>
              <w:left w:w="100" w:type="dxa"/>
              <w:bottom w:w="100" w:type="dxa"/>
              <w:right w:w="100" w:type="dxa"/>
            </w:tcMar>
            <w:hideMark/>
          </w:tcPr>
          <w:p w14:paraId="410E94B0"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.000</w:t>
            </w:r>
          </w:p>
        </w:tc>
      </w:tr>
      <w:tr w:rsidR="00DE4EA4" w:rsidRPr="001F64A9" w14:paraId="6571ECAB" w14:textId="77777777" w:rsidTr="00DE4EA4">
        <w:trPr>
          <w:trHeight w:val="483"/>
        </w:trPr>
        <w:tc>
          <w:tcPr>
            <w:tcW w:w="1554" w:type="dxa"/>
            <w:tcBorders>
              <w:top w:val="nil"/>
              <w:left w:val="nil"/>
              <w:bottom w:val="nil"/>
              <w:right w:val="nil"/>
            </w:tcBorders>
            <w:tcMar>
              <w:top w:w="100" w:type="dxa"/>
              <w:left w:w="100" w:type="dxa"/>
              <w:bottom w:w="100" w:type="dxa"/>
              <w:right w:w="100" w:type="dxa"/>
            </w:tcMar>
            <w:hideMark/>
          </w:tcPr>
          <w:p w14:paraId="0FF53D31" w14:textId="77777777" w:rsidR="00EE5072" w:rsidRPr="001F64A9" w:rsidRDefault="00EE5072" w:rsidP="00AB3534">
            <w:pPr>
              <w:widowControl w:val="0"/>
              <w:spacing w:line="24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Frame</w:t>
            </w:r>
          </w:p>
        </w:tc>
        <w:tc>
          <w:tcPr>
            <w:tcW w:w="1554" w:type="dxa"/>
            <w:tcBorders>
              <w:top w:val="nil"/>
              <w:left w:val="nil"/>
              <w:bottom w:val="nil"/>
              <w:right w:val="nil"/>
            </w:tcBorders>
            <w:tcMar>
              <w:top w:w="100" w:type="dxa"/>
              <w:left w:w="100" w:type="dxa"/>
              <w:bottom w:w="100" w:type="dxa"/>
              <w:right w:w="100" w:type="dxa"/>
            </w:tcMar>
            <w:hideMark/>
          </w:tcPr>
          <w:p w14:paraId="4E392FC8"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1.14</w:t>
            </w:r>
          </w:p>
        </w:tc>
        <w:tc>
          <w:tcPr>
            <w:tcW w:w="1554" w:type="dxa"/>
            <w:tcBorders>
              <w:top w:val="nil"/>
              <w:left w:val="nil"/>
              <w:bottom w:val="nil"/>
              <w:right w:val="nil"/>
            </w:tcBorders>
            <w:tcMar>
              <w:top w:w="100" w:type="dxa"/>
              <w:left w:w="100" w:type="dxa"/>
              <w:bottom w:w="100" w:type="dxa"/>
              <w:right w:w="100" w:type="dxa"/>
            </w:tcMar>
            <w:hideMark/>
          </w:tcPr>
          <w:p w14:paraId="02EAE13A"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.52</w:t>
            </w:r>
          </w:p>
        </w:tc>
        <w:tc>
          <w:tcPr>
            <w:tcW w:w="1554" w:type="dxa"/>
            <w:tcBorders>
              <w:top w:val="nil"/>
              <w:left w:val="nil"/>
              <w:bottom w:val="nil"/>
              <w:right w:val="nil"/>
            </w:tcBorders>
            <w:tcMar>
              <w:top w:w="100" w:type="dxa"/>
              <w:left w:w="100" w:type="dxa"/>
              <w:bottom w:w="100" w:type="dxa"/>
              <w:right w:w="100" w:type="dxa"/>
            </w:tcMar>
            <w:hideMark/>
          </w:tcPr>
          <w:p w14:paraId="07CF322F"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3.15</w:t>
            </w:r>
          </w:p>
        </w:tc>
        <w:tc>
          <w:tcPr>
            <w:tcW w:w="1554" w:type="dxa"/>
            <w:tcBorders>
              <w:top w:val="nil"/>
              <w:left w:val="nil"/>
              <w:bottom w:val="nil"/>
              <w:right w:val="nil"/>
            </w:tcBorders>
            <w:tcMar>
              <w:top w:w="100" w:type="dxa"/>
              <w:left w:w="100" w:type="dxa"/>
              <w:bottom w:w="100" w:type="dxa"/>
              <w:right w:w="100" w:type="dxa"/>
            </w:tcMar>
            <w:hideMark/>
          </w:tcPr>
          <w:p w14:paraId="32C4ECD3"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2.19</w:t>
            </w:r>
          </w:p>
        </w:tc>
        <w:tc>
          <w:tcPr>
            <w:tcW w:w="1554" w:type="dxa"/>
            <w:tcBorders>
              <w:top w:val="nil"/>
              <w:left w:val="nil"/>
              <w:bottom w:val="nil"/>
              <w:right w:val="nil"/>
            </w:tcBorders>
            <w:tcMar>
              <w:top w:w="100" w:type="dxa"/>
              <w:left w:w="100" w:type="dxa"/>
              <w:bottom w:w="100" w:type="dxa"/>
              <w:right w:w="100" w:type="dxa"/>
            </w:tcMar>
            <w:hideMark/>
          </w:tcPr>
          <w:p w14:paraId="47BE2A84"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.020</w:t>
            </w:r>
          </w:p>
        </w:tc>
      </w:tr>
      <w:tr w:rsidR="00DE4EA4" w:rsidRPr="001F64A9" w14:paraId="7B506D1B" w14:textId="77777777" w:rsidTr="00DE4EA4">
        <w:trPr>
          <w:trHeight w:val="483"/>
        </w:trPr>
        <w:tc>
          <w:tcPr>
            <w:tcW w:w="1554" w:type="dxa"/>
            <w:tcBorders>
              <w:top w:val="nil"/>
              <w:left w:val="nil"/>
              <w:bottom w:val="nil"/>
              <w:right w:val="nil"/>
            </w:tcBorders>
            <w:tcMar>
              <w:top w:w="100" w:type="dxa"/>
              <w:left w:w="100" w:type="dxa"/>
              <w:bottom w:w="100" w:type="dxa"/>
              <w:right w:w="100" w:type="dxa"/>
            </w:tcMar>
            <w:hideMark/>
          </w:tcPr>
          <w:p w14:paraId="5E91550E" w14:textId="77777777" w:rsidR="00EE5072" w:rsidRPr="001F64A9" w:rsidRDefault="00EE5072" w:rsidP="00AB3534">
            <w:pPr>
              <w:widowControl w:val="0"/>
              <w:spacing w:line="24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Video</w:t>
            </w:r>
          </w:p>
        </w:tc>
        <w:tc>
          <w:tcPr>
            <w:tcW w:w="1554" w:type="dxa"/>
            <w:tcBorders>
              <w:top w:val="nil"/>
              <w:left w:val="nil"/>
              <w:bottom w:val="nil"/>
              <w:right w:val="nil"/>
            </w:tcBorders>
            <w:tcMar>
              <w:top w:w="100" w:type="dxa"/>
              <w:left w:w="100" w:type="dxa"/>
              <w:bottom w:w="100" w:type="dxa"/>
              <w:right w:w="100" w:type="dxa"/>
            </w:tcMar>
            <w:hideMark/>
          </w:tcPr>
          <w:p w14:paraId="0878DA5F"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-1.52</w:t>
            </w:r>
          </w:p>
        </w:tc>
        <w:tc>
          <w:tcPr>
            <w:tcW w:w="1554" w:type="dxa"/>
            <w:tcBorders>
              <w:top w:val="nil"/>
              <w:left w:val="nil"/>
              <w:bottom w:val="nil"/>
              <w:right w:val="nil"/>
            </w:tcBorders>
            <w:tcMar>
              <w:top w:w="100" w:type="dxa"/>
              <w:left w:w="100" w:type="dxa"/>
              <w:bottom w:w="100" w:type="dxa"/>
              <w:right w:w="100" w:type="dxa"/>
            </w:tcMar>
            <w:hideMark/>
          </w:tcPr>
          <w:p w14:paraId="1F5E31A6"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.32</w:t>
            </w:r>
          </w:p>
        </w:tc>
        <w:tc>
          <w:tcPr>
            <w:tcW w:w="1554" w:type="dxa"/>
            <w:tcBorders>
              <w:top w:val="nil"/>
              <w:left w:val="nil"/>
              <w:bottom w:val="nil"/>
              <w:right w:val="nil"/>
            </w:tcBorders>
            <w:tcMar>
              <w:top w:w="100" w:type="dxa"/>
              <w:left w:w="100" w:type="dxa"/>
              <w:bottom w:w="100" w:type="dxa"/>
              <w:right w:w="100" w:type="dxa"/>
            </w:tcMar>
            <w:hideMark/>
          </w:tcPr>
          <w:p w14:paraId="7BA37D8D"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.22</w:t>
            </w:r>
          </w:p>
        </w:tc>
        <w:tc>
          <w:tcPr>
            <w:tcW w:w="1554" w:type="dxa"/>
            <w:tcBorders>
              <w:top w:val="nil"/>
              <w:left w:val="nil"/>
              <w:bottom w:val="nil"/>
              <w:right w:val="nil"/>
            </w:tcBorders>
            <w:tcMar>
              <w:top w:w="100" w:type="dxa"/>
              <w:left w:w="100" w:type="dxa"/>
              <w:bottom w:w="100" w:type="dxa"/>
              <w:right w:w="100" w:type="dxa"/>
            </w:tcMar>
            <w:hideMark/>
          </w:tcPr>
          <w:p w14:paraId="4A1478AB"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-4.75</w:t>
            </w:r>
          </w:p>
        </w:tc>
        <w:tc>
          <w:tcPr>
            <w:tcW w:w="1554" w:type="dxa"/>
            <w:tcBorders>
              <w:top w:val="nil"/>
              <w:left w:val="nil"/>
              <w:bottom w:val="nil"/>
              <w:right w:val="nil"/>
            </w:tcBorders>
            <w:tcMar>
              <w:top w:w="100" w:type="dxa"/>
              <w:left w:w="100" w:type="dxa"/>
              <w:bottom w:w="100" w:type="dxa"/>
              <w:right w:w="100" w:type="dxa"/>
            </w:tcMar>
            <w:hideMark/>
          </w:tcPr>
          <w:p w14:paraId="0E660813"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.000</w:t>
            </w:r>
          </w:p>
        </w:tc>
      </w:tr>
      <w:tr w:rsidR="00DE4EA4" w:rsidRPr="001F64A9" w14:paraId="5C6F258B" w14:textId="77777777" w:rsidTr="00DE4EA4">
        <w:trPr>
          <w:trHeight w:val="471"/>
        </w:trPr>
        <w:tc>
          <w:tcPr>
            <w:tcW w:w="1554" w:type="dxa"/>
            <w:tcBorders>
              <w:top w:val="nil"/>
              <w:left w:val="nil"/>
              <w:bottom w:val="single" w:sz="4" w:space="0" w:color="auto"/>
              <w:right w:val="nil"/>
            </w:tcBorders>
            <w:tcMar>
              <w:top w:w="100" w:type="dxa"/>
              <w:left w:w="100" w:type="dxa"/>
              <w:bottom w:w="100" w:type="dxa"/>
              <w:right w:w="100" w:type="dxa"/>
            </w:tcMar>
            <w:hideMark/>
          </w:tcPr>
          <w:p w14:paraId="5776AB74" w14:textId="77777777" w:rsidR="00EE5072" w:rsidRPr="001F64A9" w:rsidRDefault="00EE5072" w:rsidP="00AB3534">
            <w:pPr>
              <w:widowControl w:val="0"/>
              <w:spacing w:line="240" w:lineRule="auto"/>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Frame*Video</w:t>
            </w:r>
          </w:p>
        </w:tc>
        <w:tc>
          <w:tcPr>
            <w:tcW w:w="1554" w:type="dxa"/>
            <w:tcBorders>
              <w:top w:val="nil"/>
              <w:left w:val="nil"/>
              <w:bottom w:val="single" w:sz="4" w:space="0" w:color="auto"/>
              <w:right w:val="nil"/>
            </w:tcBorders>
            <w:tcMar>
              <w:top w:w="100" w:type="dxa"/>
              <w:left w:w="100" w:type="dxa"/>
              <w:bottom w:w="100" w:type="dxa"/>
              <w:right w:w="100" w:type="dxa"/>
            </w:tcMar>
            <w:hideMark/>
          </w:tcPr>
          <w:p w14:paraId="7E9C6AB6"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-.72</w:t>
            </w:r>
          </w:p>
        </w:tc>
        <w:tc>
          <w:tcPr>
            <w:tcW w:w="1554" w:type="dxa"/>
            <w:tcBorders>
              <w:top w:val="nil"/>
              <w:left w:val="nil"/>
              <w:bottom w:val="single" w:sz="4" w:space="0" w:color="auto"/>
              <w:right w:val="nil"/>
            </w:tcBorders>
            <w:tcMar>
              <w:top w:w="100" w:type="dxa"/>
              <w:left w:w="100" w:type="dxa"/>
              <w:bottom w:w="100" w:type="dxa"/>
              <w:right w:w="100" w:type="dxa"/>
            </w:tcMar>
            <w:hideMark/>
          </w:tcPr>
          <w:p w14:paraId="51B6C5B2"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.59</w:t>
            </w:r>
          </w:p>
        </w:tc>
        <w:tc>
          <w:tcPr>
            <w:tcW w:w="1554" w:type="dxa"/>
            <w:tcBorders>
              <w:top w:val="nil"/>
              <w:left w:val="nil"/>
              <w:bottom w:val="single" w:sz="4" w:space="0" w:color="auto"/>
              <w:right w:val="nil"/>
            </w:tcBorders>
            <w:tcMar>
              <w:top w:w="100" w:type="dxa"/>
              <w:left w:w="100" w:type="dxa"/>
              <w:bottom w:w="100" w:type="dxa"/>
              <w:right w:w="100" w:type="dxa"/>
            </w:tcMar>
            <w:hideMark/>
          </w:tcPr>
          <w:p w14:paraId="6BCB27FC"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.49</w:t>
            </w:r>
          </w:p>
        </w:tc>
        <w:tc>
          <w:tcPr>
            <w:tcW w:w="1554" w:type="dxa"/>
            <w:tcBorders>
              <w:top w:val="nil"/>
              <w:left w:val="nil"/>
              <w:bottom w:val="single" w:sz="4" w:space="0" w:color="auto"/>
              <w:right w:val="nil"/>
            </w:tcBorders>
            <w:tcMar>
              <w:top w:w="100" w:type="dxa"/>
              <w:left w:w="100" w:type="dxa"/>
              <w:bottom w:w="100" w:type="dxa"/>
              <w:right w:w="100" w:type="dxa"/>
            </w:tcMar>
            <w:hideMark/>
          </w:tcPr>
          <w:p w14:paraId="6BC9E515"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-1.21</w:t>
            </w:r>
          </w:p>
        </w:tc>
        <w:tc>
          <w:tcPr>
            <w:tcW w:w="1554" w:type="dxa"/>
            <w:tcBorders>
              <w:top w:val="nil"/>
              <w:left w:val="nil"/>
              <w:bottom w:val="single" w:sz="4" w:space="0" w:color="auto"/>
              <w:right w:val="nil"/>
            </w:tcBorders>
            <w:tcMar>
              <w:top w:w="100" w:type="dxa"/>
              <w:left w:w="100" w:type="dxa"/>
              <w:bottom w:w="100" w:type="dxa"/>
              <w:right w:w="100" w:type="dxa"/>
            </w:tcMar>
            <w:hideMark/>
          </w:tcPr>
          <w:p w14:paraId="3B663E41" w14:textId="77777777" w:rsidR="00EE5072" w:rsidRPr="001F64A9" w:rsidRDefault="00EE5072" w:rsidP="00AB3534">
            <w:pPr>
              <w:widowControl w:val="0"/>
              <w:spacing w:line="240" w:lineRule="auto"/>
              <w:jc w:val="center"/>
              <w:rPr>
                <w:rFonts w:asciiTheme="majorBidi" w:eastAsia="Times New Roman" w:hAnsiTheme="majorBidi" w:cstheme="majorBidi"/>
                <w:sz w:val="24"/>
                <w:szCs w:val="24"/>
              </w:rPr>
            </w:pPr>
            <w:r w:rsidRPr="001F64A9">
              <w:rPr>
                <w:rFonts w:asciiTheme="majorBidi" w:eastAsia="Times New Roman" w:hAnsiTheme="majorBidi" w:cstheme="majorBidi"/>
                <w:sz w:val="24"/>
                <w:szCs w:val="24"/>
              </w:rPr>
              <w:t>.220</w:t>
            </w:r>
          </w:p>
        </w:tc>
      </w:tr>
    </w:tbl>
    <w:p w14:paraId="6F235F5D" w14:textId="2F002ED9" w:rsidR="00EB0571" w:rsidRPr="001F64A9" w:rsidRDefault="00EE5072">
      <w:pPr>
        <w:rPr>
          <w:rFonts w:asciiTheme="majorBidi" w:eastAsia="Times New Roman" w:hAnsiTheme="majorBidi" w:cstheme="majorBidi"/>
          <w:sz w:val="20"/>
          <w:szCs w:val="20"/>
        </w:rPr>
      </w:pPr>
      <w:r w:rsidRPr="001F64A9">
        <w:rPr>
          <w:rFonts w:asciiTheme="majorBidi" w:eastAsia="Times New Roman" w:hAnsiTheme="majorBidi" w:cstheme="majorBidi"/>
          <w:i/>
          <w:iCs/>
          <w:sz w:val="20"/>
          <w:szCs w:val="20"/>
        </w:rPr>
        <w:t>Note.</w:t>
      </w:r>
      <w:r w:rsidRPr="001F64A9">
        <w:rPr>
          <w:rFonts w:asciiTheme="majorBidi" w:eastAsia="Times New Roman" w:hAnsiTheme="majorBidi" w:cstheme="majorBidi"/>
          <w:sz w:val="20"/>
          <w:szCs w:val="20"/>
        </w:rPr>
        <w:t xml:space="preserve"> </w:t>
      </w:r>
      <w:r w:rsidRPr="001F64A9">
        <w:rPr>
          <w:rFonts w:asciiTheme="majorBidi" w:eastAsia="Times New Roman" w:hAnsiTheme="majorBidi" w:cstheme="majorBidi"/>
          <w:i/>
          <w:iCs/>
          <w:sz w:val="20"/>
          <w:szCs w:val="20"/>
        </w:rPr>
        <w:t>β</w:t>
      </w:r>
      <w:r w:rsidRPr="001F64A9">
        <w:rPr>
          <w:rFonts w:asciiTheme="majorBidi" w:eastAsia="Times New Roman" w:hAnsiTheme="majorBidi" w:cstheme="majorBidi"/>
          <w:sz w:val="20"/>
          <w:szCs w:val="20"/>
        </w:rPr>
        <w:t xml:space="preserve"> = standardized coefficient of prediction for logistic regression, SE = standard error, OR = Odd Ratios, z = Wald test statistic.</w:t>
      </w:r>
    </w:p>
    <w:p w14:paraId="64500E2C" w14:textId="6E3C89B2" w:rsidR="00EE5072" w:rsidRPr="001F64A9" w:rsidRDefault="00EE5072">
      <w:pPr>
        <w:spacing w:line="259" w:lineRule="auto"/>
        <w:rPr>
          <w:rFonts w:asciiTheme="majorBidi" w:eastAsia="Times New Roman" w:hAnsiTheme="majorBidi" w:cstheme="majorBidi"/>
          <w:sz w:val="20"/>
          <w:szCs w:val="20"/>
        </w:rPr>
      </w:pPr>
      <w:r w:rsidRPr="001F64A9">
        <w:rPr>
          <w:rFonts w:asciiTheme="majorBidi" w:eastAsia="Times New Roman" w:hAnsiTheme="majorBidi" w:cstheme="majorBidi"/>
          <w:sz w:val="20"/>
          <w:szCs w:val="20"/>
        </w:rPr>
        <w:br w:type="page"/>
      </w:r>
    </w:p>
    <w:p w14:paraId="318930C4" w14:textId="77777777" w:rsidR="00DE4EA4" w:rsidRPr="001F64A9" w:rsidRDefault="00DE4EA4" w:rsidP="00EE5072">
      <w:pPr>
        <w:rPr>
          <w:rFonts w:asciiTheme="majorBidi" w:hAnsiTheme="majorBidi" w:cstheme="majorBidi"/>
          <w:b/>
          <w:bCs/>
          <w:sz w:val="24"/>
          <w:szCs w:val="24"/>
        </w:rPr>
        <w:sectPr w:rsidR="00DE4EA4" w:rsidRPr="001F64A9" w:rsidSect="009B79D4">
          <w:pgSz w:w="12240" w:h="15840"/>
          <w:pgMar w:top="1440" w:right="1440" w:bottom="1440" w:left="1440" w:header="720" w:footer="720" w:gutter="0"/>
          <w:pgNumType w:start="1"/>
          <w:cols w:space="720"/>
          <w:docGrid w:linePitch="360"/>
        </w:sectPr>
      </w:pPr>
    </w:p>
    <w:p w14:paraId="77C558ED"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lastRenderedPageBreak/>
        <w:t>Table 10</w:t>
      </w:r>
    </w:p>
    <w:p w14:paraId="68F164E2" w14:textId="77777777" w:rsidR="00EE5072" w:rsidRPr="001F64A9" w:rsidRDefault="00EE5072" w:rsidP="00EE5072">
      <w:pPr>
        <w:rPr>
          <w:rFonts w:asciiTheme="majorBidi" w:hAnsiTheme="majorBidi" w:cstheme="majorBidi"/>
          <w:i/>
          <w:iCs/>
          <w:sz w:val="24"/>
          <w:szCs w:val="24"/>
        </w:rPr>
      </w:pPr>
      <w:r w:rsidRPr="001F64A9">
        <w:rPr>
          <w:rFonts w:asciiTheme="majorBidi" w:hAnsiTheme="majorBidi" w:cstheme="majorBidi"/>
          <w:i/>
          <w:iCs/>
          <w:sz w:val="24"/>
          <w:szCs w:val="24"/>
        </w:rPr>
        <w:t xml:space="preserve">Correlations between EOL Values and Decisions </w:t>
      </w:r>
      <w:r w:rsidRPr="001F64A9">
        <w:rPr>
          <w:rFonts w:asciiTheme="majorBidi" w:eastAsia="Times New Roman" w:hAnsiTheme="majorBidi" w:cstheme="majorBidi"/>
          <w:i/>
          <w:iCs/>
          <w:sz w:val="24"/>
          <w:szCs w:val="24"/>
        </w:rPr>
        <w:t>in Experiment 2</w:t>
      </w:r>
    </w:p>
    <w:tbl>
      <w:tblPr>
        <w:tblStyle w:val="TableGrid"/>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1"/>
        <w:gridCol w:w="1039"/>
        <w:gridCol w:w="1379"/>
        <w:gridCol w:w="1249"/>
        <w:gridCol w:w="1120"/>
        <w:gridCol w:w="871"/>
        <w:gridCol w:w="1382"/>
        <w:gridCol w:w="1275"/>
        <w:gridCol w:w="1379"/>
        <w:gridCol w:w="910"/>
        <w:gridCol w:w="1185"/>
      </w:tblGrid>
      <w:tr w:rsidR="00EE5072" w:rsidRPr="001F64A9" w14:paraId="25B70B4E" w14:textId="77777777" w:rsidTr="00DE4EA4">
        <w:trPr>
          <w:trHeight w:val="539"/>
        </w:trPr>
        <w:tc>
          <w:tcPr>
            <w:tcW w:w="5000" w:type="pct"/>
            <w:gridSpan w:val="11"/>
            <w:tcBorders>
              <w:top w:val="single" w:sz="4" w:space="0" w:color="auto"/>
              <w:left w:val="nil"/>
              <w:bottom w:val="single" w:sz="4" w:space="0" w:color="auto"/>
              <w:right w:val="nil"/>
            </w:tcBorders>
            <w:vAlign w:val="center"/>
            <w:hideMark/>
          </w:tcPr>
          <w:p w14:paraId="0FB8202D" w14:textId="77777777" w:rsidR="00EE5072" w:rsidRPr="001F64A9" w:rsidRDefault="00EE5072" w:rsidP="00AB3534">
            <w:pPr>
              <w:spacing w:after="0" w:line="240" w:lineRule="auto"/>
              <w:jc w:val="center"/>
              <w:rPr>
                <w:rFonts w:asciiTheme="majorBidi" w:hAnsiTheme="majorBidi" w:cstheme="majorBidi"/>
              </w:rPr>
            </w:pPr>
            <w:r w:rsidRPr="001F64A9">
              <w:rPr>
                <w:rFonts w:asciiTheme="majorBidi" w:hAnsiTheme="majorBidi" w:cstheme="majorBidi"/>
              </w:rPr>
              <w:t>CPR Preference and End of Life Values</w:t>
            </w:r>
          </w:p>
        </w:tc>
      </w:tr>
      <w:tr w:rsidR="00DE4EA4" w:rsidRPr="001F64A9" w14:paraId="067C3C45" w14:textId="77777777" w:rsidTr="00DE4EA4">
        <w:trPr>
          <w:trHeight w:val="521"/>
        </w:trPr>
        <w:tc>
          <w:tcPr>
            <w:tcW w:w="452" w:type="pct"/>
            <w:tcBorders>
              <w:top w:val="single" w:sz="4" w:space="0" w:color="auto"/>
              <w:left w:val="nil"/>
              <w:bottom w:val="single" w:sz="4" w:space="0" w:color="auto"/>
              <w:right w:val="nil"/>
            </w:tcBorders>
          </w:tcPr>
          <w:p w14:paraId="7A398893" w14:textId="77777777" w:rsidR="00EE5072" w:rsidRPr="001F64A9" w:rsidRDefault="00EE5072" w:rsidP="00AB3534">
            <w:pPr>
              <w:spacing w:line="240" w:lineRule="auto"/>
              <w:rPr>
                <w:rFonts w:asciiTheme="majorBidi" w:hAnsiTheme="majorBidi" w:cstheme="majorBidi"/>
                <w:sz w:val="22"/>
              </w:rPr>
            </w:pPr>
          </w:p>
        </w:tc>
        <w:tc>
          <w:tcPr>
            <w:tcW w:w="401" w:type="pct"/>
            <w:tcBorders>
              <w:top w:val="single" w:sz="4" w:space="0" w:color="auto"/>
              <w:left w:val="nil"/>
              <w:bottom w:val="single" w:sz="4" w:space="0" w:color="auto"/>
              <w:right w:val="nil"/>
            </w:tcBorders>
            <w:vAlign w:val="center"/>
            <w:hideMark/>
          </w:tcPr>
          <w:p w14:paraId="0C39560F"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Life Oriented Values</w:t>
            </w:r>
          </w:p>
        </w:tc>
        <w:tc>
          <w:tcPr>
            <w:tcW w:w="532" w:type="pct"/>
            <w:tcBorders>
              <w:top w:val="single" w:sz="4" w:space="0" w:color="auto"/>
              <w:left w:val="nil"/>
              <w:bottom w:val="single" w:sz="4" w:space="0" w:color="auto"/>
              <w:right w:val="nil"/>
            </w:tcBorders>
            <w:vAlign w:val="center"/>
            <w:hideMark/>
          </w:tcPr>
          <w:p w14:paraId="0EA72B3C"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eastAsia="Times New Roman" w:hAnsiTheme="majorBidi" w:cstheme="majorBidi"/>
                <w:bCs/>
                <w:sz w:val="22"/>
              </w:rPr>
              <w:t>Pain and Dependence Oriented Values</w:t>
            </w:r>
          </w:p>
        </w:tc>
        <w:tc>
          <w:tcPr>
            <w:tcW w:w="482" w:type="pct"/>
            <w:tcBorders>
              <w:top w:val="single" w:sz="4" w:space="0" w:color="auto"/>
              <w:left w:val="nil"/>
              <w:bottom w:val="single" w:sz="4" w:space="0" w:color="auto"/>
              <w:right w:val="nil"/>
            </w:tcBorders>
            <w:vAlign w:val="center"/>
            <w:hideMark/>
          </w:tcPr>
          <w:p w14:paraId="3E324F99"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Religiosity</w:t>
            </w:r>
          </w:p>
        </w:tc>
        <w:tc>
          <w:tcPr>
            <w:tcW w:w="432" w:type="pct"/>
            <w:tcBorders>
              <w:top w:val="single" w:sz="4" w:space="0" w:color="auto"/>
              <w:left w:val="nil"/>
              <w:bottom w:val="single" w:sz="4" w:space="0" w:color="auto"/>
              <w:right w:val="nil"/>
            </w:tcBorders>
            <w:vAlign w:val="center"/>
            <w:hideMark/>
          </w:tcPr>
          <w:p w14:paraId="2B248044"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Dignified Death</w:t>
            </w:r>
          </w:p>
        </w:tc>
        <w:tc>
          <w:tcPr>
            <w:tcW w:w="336" w:type="pct"/>
            <w:tcBorders>
              <w:top w:val="single" w:sz="4" w:space="0" w:color="auto"/>
              <w:left w:val="nil"/>
              <w:bottom w:val="single" w:sz="4" w:space="0" w:color="auto"/>
              <w:right w:val="nil"/>
            </w:tcBorders>
            <w:vAlign w:val="center"/>
            <w:hideMark/>
          </w:tcPr>
          <w:p w14:paraId="325988D2"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Spared Pain</w:t>
            </w:r>
          </w:p>
        </w:tc>
        <w:tc>
          <w:tcPr>
            <w:tcW w:w="533" w:type="pct"/>
            <w:tcBorders>
              <w:top w:val="single" w:sz="4" w:space="0" w:color="auto"/>
              <w:left w:val="nil"/>
              <w:bottom w:val="single" w:sz="4" w:space="0" w:color="auto"/>
              <w:right w:val="nil"/>
            </w:tcBorders>
            <w:vAlign w:val="center"/>
            <w:hideMark/>
          </w:tcPr>
          <w:p w14:paraId="2FE2AB25"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Burdening Emotionally</w:t>
            </w:r>
          </w:p>
        </w:tc>
        <w:tc>
          <w:tcPr>
            <w:tcW w:w="492" w:type="pct"/>
            <w:tcBorders>
              <w:top w:val="single" w:sz="4" w:space="0" w:color="auto"/>
              <w:left w:val="nil"/>
              <w:bottom w:val="single" w:sz="4" w:space="0" w:color="auto"/>
              <w:right w:val="nil"/>
            </w:tcBorders>
            <w:vAlign w:val="center"/>
            <w:hideMark/>
          </w:tcPr>
          <w:p w14:paraId="25CC6F87"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Burdening Financially</w:t>
            </w:r>
          </w:p>
        </w:tc>
        <w:tc>
          <w:tcPr>
            <w:tcW w:w="532" w:type="pct"/>
            <w:tcBorders>
              <w:top w:val="single" w:sz="4" w:space="0" w:color="auto"/>
              <w:left w:val="nil"/>
              <w:bottom w:val="single" w:sz="4" w:space="0" w:color="auto"/>
              <w:right w:val="nil"/>
            </w:tcBorders>
            <w:vAlign w:val="center"/>
            <w:hideMark/>
          </w:tcPr>
          <w:p w14:paraId="2EDF53A7"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Dependence</w:t>
            </w:r>
          </w:p>
        </w:tc>
        <w:tc>
          <w:tcPr>
            <w:tcW w:w="351" w:type="pct"/>
            <w:tcBorders>
              <w:top w:val="single" w:sz="4" w:space="0" w:color="auto"/>
              <w:left w:val="nil"/>
              <w:bottom w:val="single" w:sz="4" w:space="0" w:color="auto"/>
              <w:right w:val="nil"/>
            </w:tcBorders>
            <w:vAlign w:val="center"/>
            <w:hideMark/>
          </w:tcPr>
          <w:p w14:paraId="4898FDB1"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Family Wishes</w:t>
            </w:r>
          </w:p>
        </w:tc>
        <w:tc>
          <w:tcPr>
            <w:tcW w:w="457" w:type="pct"/>
            <w:tcBorders>
              <w:top w:val="single" w:sz="4" w:space="0" w:color="auto"/>
              <w:left w:val="nil"/>
              <w:bottom w:val="single" w:sz="4" w:space="0" w:color="auto"/>
              <w:right w:val="nil"/>
            </w:tcBorders>
            <w:vAlign w:val="center"/>
            <w:hideMark/>
          </w:tcPr>
          <w:p w14:paraId="304948D7"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Longevity</w:t>
            </w:r>
          </w:p>
        </w:tc>
      </w:tr>
      <w:tr w:rsidR="00DE4EA4" w:rsidRPr="001F64A9" w14:paraId="11F7D623" w14:textId="77777777" w:rsidTr="00DE4EA4">
        <w:trPr>
          <w:trHeight w:val="420"/>
        </w:trPr>
        <w:tc>
          <w:tcPr>
            <w:tcW w:w="452" w:type="pct"/>
            <w:tcBorders>
              <w:top w:val="single" w:sz="4" w:space="0" w:color="auto"/>
              <w:left w:val="nil"/>
              <w:bottom w:val="nil"/>
              <w:right w:val="nil"/>
            </w:tcBorders>
            <w:vAlign w:val="center"/>
            <w:hideMark/>
          </w:tcPr>
          <w:p w14:paraId="6720E693" w14:textId="77777777" w:rsidR="00EE5072" w:rsidRPr="001F64A9" w:rsidRDefault="00EE5072" w:rsidP="00AB3534">
            <w:pPr>
              <w:spacing w:line="240" w:lineRule="auto"/>
              <w:rPr>
                <w:rFonts w:asciiTheme="majorBidi" w:hAnsiTheme="majorBidi" w:cstheme="majorBidi"/>
                <w:sz w:val="22"/>
              </w:rPr>
            </w:pPr>
            <w:r w:rsidRPr="001F64A9">
              <w:rPr>
                <w:rFonts w:asciiTheme="majorBidi" w:hAnsiTheme="majorBidi" w:cstheme="majorBidi"/>
                <w:sz w:val="22"/>
              </w:rPr>
              <w:t>Positive Frame</w:t>
            </w:r>
          </w:p>
        </w:tc>
        <w:tc>
          <w:tcPr>
            <w:tcW w:w="401" w:type="pct"/>
            <w:tcBorders>
              <w:top w:val="single" w:sz="4" w:space="0" w:color="auto"/>
              <w:left w:val="nil"/>
              <w:bottom w:val="nil"/>
              <w:right w:val="nil"/>
            </w:tcBorders>
            <w:vAlign w:val="center"/>
            <w:hideMark/>
          </w:tcPr>
          <w:p w14:paraId="743A887D"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.16</w:t>
            </w:r>
          </w:p>
        </w:tc>
        <w:tc>
          <w:tcPr>
            <w:tcW w:w="532" w:type="pct"/>
            <w:tcBorders>
              <w:top w:val="single" w:sz="4" w:space="0" w:color="auto"/>
              <w:left w:val="nil"/>
              <w:bottom w:val="nil"/>
              <w:right w:val="nil"/>
            </w:tcBorders>
            <w:vAlign w:val="center"/>
            <w:hideMark/>
          </w:tcPr>
          <w:p w14:paraId="0493239E"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-.17</w:t>
            </w:r>
            <w:r w:rsidRPr="001F64A9">
              <w:rPr>
                <w:rFonts w:asciiTheme="majorBidi" w:hAnsiTheme="majorBidi" w:cstheme="majorBidi"/>
                <w:sz w:val="22"/>
                <w:vertAlign w:val="superscript"/>
              </w:rPr>
              <w:t>†</w:t>
            </w:r>
          </w:p>
        </w:tc>
        <w:tc>
          <w:tcPr>
            <w:tcW w:w="482" w:type="pct"/>
            <w:tcBorders>
              <w:top w:val="single" w:sz="4" w:space="0" w:color="auto"/>
              <w:left w:val="nil"/>
              <w:bottom w:val="nil"/>
              <w:right w:val="nil"/>
            </w:tcBorders>
            <w:vAlign w:val="center"/>
            <w:hideMark/>
          </w:tcPr>
          <w:p w14:paraId="1BCA0FC9"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.06</w:t>
            </w:r>
          </w:p>
        </w:tc>
        <w:tc>
          <w:tcPr>
            <w:tcW w:w="432" w:type="pct"/>
            <w:tcBorders>
              <w:top w:val="single" w:sz="4" w:space="0" w:color="auto"/>
              <w:left w:val="nil"/>
              <w:bottom w:val="nil"/>
              <w:right w:val="nil"/>
            </w:tcBorders>
            <w:vAlign w:val="center"/>
            <w:hideMark/>
          </w:tcPr>
          <w:p w14:paraId="31CC4C04"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-.14</w:t>
            </w:r>
          </w:p>
        </w:tc>
        <w:tc>
          <w:tcPr>
            <w:tcW w:w="336" w:type="pct"/>
            <w:tcBorders>
              <w:top w:val="single" w:sz="4" w:space="0" w:color="auto"/>
              <w:left w:val="nil"/>
              <w:bottom w:val="nil"/>
              <w:right w:val="nil"/>
            </w:tcBorders>
            <w:vAlign w:val="center"/>
            <w:hideMark/>
          </w:tcPr>
          <w:p w14:paraId="058CFF90"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-.18</w:t>
            </w:r>
            <w:r w:rsidRPr="001F64A9">
              <w:rPr>
                <w:rFonts w:asciiTheme="majorBidi" w:hAnsiTheme="majorBidi" w:cstheme="majorBidi"/>
                <w:sz w:val="22"/>
                <w:vertAlign w:val="superscript"/>
              </w:rPr>
              <w:t>†</w:t>
            </w:r>
          </w:p>
        </w:tc>
        <w:tc>
          <w:tcPr>
            <w:tcW w:w="533" w:type="pct"/>
            <w:tcBorders>
              <w:top w:val="single" w:sz="4" w:space="0" w:color="auto"/>
              <w:left w:val="nil"/>
              <w:bottom w:val="nil"/>
              <w:right w:val="nil"/>
            </w:tcBorders>
            <w:vAlign w:val="center"/>
            <w:hideMark/>
          </w:tcPr>
          <w:p w14:paraId="0D34DD14"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-.13</w:t>
            </w:r>
          </w:p>
        </w:tc>
        <w:tc>
          <w:tcPr>
            <w:tcW w:w="492" w:type="pct"/>
            <w:tcBorders>
              <w:top w:val="single" w:sz="4" w:space="0" w:color="auto"/>
              <w:left w:val="nil"/>
              <w:bottom w:val="nil"/>
              <w:right w:val="nil"/>
            </w:tcBorders>
            <w:vAlign w:val="center"/>
            <w:hideMark/>
          </w:tcPr>
          <w:p w14:paraId="401210B9"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-.17</w:t>
            </w:r>
          </w:p>
        </w:tc>
        <w:tc>
          <w:tcPr>
            <w:tcW w:w="532" w:type="pct"/>
            <w:tcBorders>
              <w:top w:val="single" w:sz="4" w:space="0" w:color="auto"/>
              <w:left w:val="nil"/>
              <w:bottom w:val="nil"/>
              <w:right w:val="nil"/>
            </w:tcBorders>
            <w:vAlign w:val="center"/>
            <w:hideMark/>
          </w:tcPr>
          <w:p w14:paraId="1018557D"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-.07</w:t>
            </w:r>
          </w:p>
        </w:tc>
        <w:tc>
          <w:tcPr>
            <w:tcW w:w="351" w:type="pct"/>
            <w:tcBorders>
              <w:top w:val="single" w:sz="4" w:space="0" w:color="auto"/>
              <w:left w:val="nil"/>
              <w:bottom w:val="nil"/>
              <w:right w:val="nil"/>
            </w:tcBorders>
            <w:vAlign w:val="center"/>
            <w:hideMark/>
          </w:tcPr>
          <w:p w14:paraId="10944C71"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.01</w:t>
            </w:r>
          </w:p>
        </w:tc>
        <w:tc>
          <w:tcPr>
            <w:tcW w:w="457" w:type="pct"/>
            <w:tcBorders>
              <w:top w:val="single" w:sz="4" w:space="0" w:color="auto"/>
              <w:left w:val="nil"/>
              <w:bottom w:val="nil"/>
              <w:right w:val="nil"/>
            </w:tcBorders>
            <w:vAlign w:val="center"/>
            <w:hideMark/>
          </w:tcPr>
          <w:p w14:paraId="24454F16"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.27**</w:t>
            </w:r>
          </w:p>
        </w:tc>
      </w:tr>
      <w:tr w:rsidR="00DE4EA4" w:rsidRPr="001F64A9" w14:paraId="709980F1" w14:textId="77777777" w:rsidTr="00DE4EA4">
        <w:trPr>
          <w:trHeight w:val="394"/>
        </w:trPr>
        <w:tc>
          <w:tcPr>
            <w:tcW w:w="452" w:type="pct"/>
            <w:tcBorders>
              <w:top w:val="nil"/>
              <w:left w:val="nil"/>
              <w:bottom w:val="nil"/>
              <w:right w:val="nil"/>
            </w:tcBorders>
            <w:vAlign w:val="center"/>
            <w:hideMark/>
          </w:tcPr>
          <w:p w14:paraId="6BDEB9B4" w14:textId="77777777" w:rsidR="00EE5072" w:rsidRPr="001F64A9" w:rsidRDefault="00EE5072" w:rsidP="00AB3534">
            <w:pPr>
              <w:spacing w:line="240" w:lineRule="auto"/>
              <w:rPr>
                <w:rFonts w:asciiTheme="majorBidi" w:hAnsiTheme="majorBidi" w:cstheme="majorBidi"/>
                <w:sz w:val="22"/>
              </w:rPr>
            </w:pPr>
            <w:r w:rsidRPr="001F64A9">
              <w:rPr>
                <w:rFonts w:asciiTheme="majorBidi" w:hAnsiTheme="majorBidi" w:cstheme="majorBidi"/>
                <w:sz w:val="22"/>
              </w:rPr>
              <w:t>Negative Frame</w:t>
            </w:r>
          </w:p>
        </w:tc>
        <w:tc>
          <w:tcPr>
            <w:tcW w:w="401" w:type="pct"/>
            <w:tcBorders>
              <w:top w:val="nil"/>
              <w:left w:val="nil"/>
              <w:bottom w:val="nil"/>
              <w:right w:val="nil"/>
            </w:tcBorders>
            <w:vAlign w:val="center"/>
            <w:hideMark/>
          </w:tcPr>
          <w:p w14:paraId="5A87290C"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.16</w:t>
            </w:r>
          </w:p>
        </w:tc>
        <w:tc>
          <w:tcPr>
            <w:tcW w:w="532" w:type="pct"/>
            <w:tcBorders>
              <w:top w:val="nil"/>
              <w:left w:val="nil"/>
              <w:bottom w:val="nil"/>
              <w:right w:val="nil"/>
            </w:tcBorders>
            <w:vAlign w:val="center"/>
            <w:hideMark/>
          </w:tcPr>
          <w:p w14:paraId="0E3E988A"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-.11</w:t>
            </w:r>
          </w:p>
        </w:tc>
        <w:tc>
          <w:tcPr>
            <w:tcW w:w="482" w:type="pct"/>
            <w:tcBorders>
              <w:top w:val="nil"/>
              <w:left w:val="nil"/>
              <w:bottom w:val="nil"/>
              <w:right w:val="nil"/>
            </w:tcBorders>
            <w:vAlign w:val="center"/>
            <w:hideMark/>
          </w:tcPr>
          <w:p w14:paraId="126E9E2F"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.00</w:t>
            </w:r>
          </w:p>
        </w:tc>
        <w:tc>
          <w:tcPr>
            <w:tcW w:w="432" w:type="pct"/>
            <w:tcBorders>
              <w:top w:val="nil"/>
              <w:left w:val="nil"/>
              <w:bottom w:val="nil"/>
              <w:right w:val="nil"/>
            </w:tcBorders>
            <w:vAlign w:val="center"/>
            <w:hideMark/>
          </w:tcPr>
          <w:p w14:paraId="38B71F75"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-.13</w:t>
            </w:r>
          </w:p>
        </w:tc>
        <w:tc>
          <w:tcPr>
            <w:tcW w:w="336" w:type="pct"/>
            <w:tcBorders>
              <w:top w:val="nil"/>
              <w:left w:val="nil"/>
              <w:bottom w:val="nil"/>
              <w:right w:val="nil"/>
            </w:tcBorders>
            <w:vAlign w:val="center"/>
            <w:hideMark/>
          </w:tcPr>
          <w:p w14:paraId="643E8FB0"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-.01</w:t>
            </w:r>
          </w:p>
        </w:tc>
        <w:tc>
          <w:tcPr>
            <w:tcW w:w="533" w:type="pct"/>
            <w:tcBorders>
              <w:top w:val="nil"/>
              <w:left w:val="nil"/>
              <w:bottom w:val="nil"/>
              <w:right w:val="nil"/>
            </w:tcBorders>
            <w:vAlign w:val="center"/>
            <w:hideMark/>
          </w:tcPr>
          <w:p w14:paraId="4F1B3804"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-.07</w:t>
            </w:r>
          </w:p>
        </w:tc>
        <w:tc>
          <w:tcPr>
            <w:tcW w:w="492" w:type="pct"/>
            <w:tcBorders>
              <w:top w:val="nil"/>
              <w:left w:val="nil"/>
              <w:bottom w:val="nil"/>
              <w:right w:val="nil"/>
            </w:tcBorders>
            <w:vAlign w:val="center"/>
            <w:hideMark/>
          </w:tcPr>
          <w:p w14:paraId="6240CC90"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-.06</w:t>
            </w:r>
          </w:p>
        </w:tc>
        <w:tc>
          <w:tcPr>
            <w:tcW w:w="532" w:type="pct"/>
            <w:tcBorders>
              <w:top w:val="nil"/>
              <w:left w:val="nil"/>
              <w:bottom w:val="nil"/>
              <w:right w:val="nil"/>
            </w:tcBorders>
            <w:vAlign w:val="center"/>
            <w:hideMark/>
          </w:tcPr>
          <w:p w14:paraId="6AF4ABB8"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-.18</w:t>
            </w:r>
            <w:r w:rsidRPr="001F64A9">
              <w:rPr>
                <w:rFonts w:asciiTheme="majorBidi" w:hAnsiTheme="majorBidi" w:cstheme="majorBidi"/>
                <w:sz w:val="22"/>
                <w:vertAlign w:val="superscript"/>
              </w:rPr>
              <w:t>†</w:t>
            </w:r>
          </w:p>
        </w:tc>
        <w:tc>
          <w:tcPr>
            <w:tcW w:w="351" w:type="pct"/>
            <w:tcBorders>
              <w:top w:val="nil"/>
              <w:left w:val="nil"/>
              <w:bottom w:val="nil"/>
              <w:right w:val="nil"/>
            </w:tcBorders>
            <w:vAlign w:val="center"/>
            <w:hideMark/>
          </w:tcPr>
          <w:p w14:paraId="476C91E7"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.07</w:t>
            </w:r>
          </w:p>
        </w:tc>
        <w:tc>
          <w:tcPr>
            <w:tcW w:w="457" w:type="pct"/>
            <w:tcBorders>
              <w:top w:val="nil"/>
              <w:left w:val="nil"/>
              <w:bottom w:val="nil"/>
              <w:right w:val="nil"/>
            </w:tcBorders>
            <w:vAlign w:val="center"/>
            <w:hideMark/>
          </w:tcPr>
          <w:p w14:paraId="2B261FAA"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.30**</w:t>
            </w:r>
          </w:p>
        </w:tc>
      </w:tr>
      <w:tr w:rsidR="00DE4EA4" w:rsidRPr="001F64A9" w14:paraId="43C4BF66" w14:textId="77777777" w:rsidTr="00DE4EA4">
        <w:trPr>
          <w:trHeight w:val="293"/>
        </w:trPr>
        <w:tc>
          <w:tcPr>
            <w:tcW w:w="452" w:type="pct"/>
            <w:tcBorders>
              <w:top w:val="nil"/>
              <w:left w:val="nil"/>
              <w:bottom w:val="nil"/>
              <w:right w:val="nil"/>
            </w:tcBorders>
            <w:vAlign w:val="center"/>
            <w:hideMark/>
          </w:tcPr>
          <w:p w14:paraId="4BF482A1" w14:textId="77777777" w:rsidR="00EE5072" w:rsidRPr="001F64A9" w:rsidRDefault="00EE5072" w:rsidP="00AB3534">
            <w:pPr>
              <w:spacing w:line="240" w:lineRule="auto"/>
              <w:rPr>
                <w:rFonts w:asciiTheme="majorBidi" w:hAnsiTheme="majorBidi" w:cstheme="majorBidi"/>
                <w:sz w:val="22"/>
              </w:rPr>
            </w:pPr>
            <w:r w:rsidRPr="001F64A9">
              <w:rPr>
                <w:rFonts w:asciiTheme="majorBidi" w:hAnsiTheme="majorBidi" w:cstheme="majorBidi"/>
                <w:sz w:val="22"/>
              </w:rPr>
              <w:t>Education</w:t>
            </w:r>
          </w:p>
        </w:tc>
        <w:tc>
          <w:tcPr>
            <w:tcW w:w="401" w:type="pct"/>
            <w:tcBorders>
              <w:top w:val="nil"/>
              <w:left w:val="nil"/>
              <w:bottom w:val="nil"/>
              <w:right w:val="nil"/>
            </w:tcBorders>
            <w:vAlign w:val="center"/>
            <w:hideMark/>
          </w:tcPr>
          <w:p w14:paraId="7E4435AC"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.19</w:t>
            </w:r>
            <w:r w:rsidRPr="001F64A9">
              <w:rPr>
                <w:rFonts w:asciiTheme="majorBidi" w:hAnsiTheme="majorBidi" w:cstheme="majorBidi"/>
                <w:sz w:val="22"/>
                <w:vertAlign w:val="superscript"/>
              </w:rPr>
              <w:t>†</w:t>
            </w:r>
          </w:p>
        </w:tc>
        <w:tc>
          <w:tcPr>
            <w:tcW w:w="532" w:type="pct"/>
            <w:tcBorders>
              <w:top w:val="nil"/>
              <w:left w:val="nil"/>
              <w:bottom w:val="nil"/>
              <w:right w:val="nil"/>
            </w:tcBorders>
            <w:vAlign w:val="center"/>
            <w:hideMark/>
          </w:tcPr>
          <w:p w14:paraId="19CC09DD"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-.11</w:t>
            </w:r>
          </w:p>
        </w:tc>
        <w:tc>
          <w:tcPr>
            <w:tcW w:w="482" w:type="pct"/>
            <w:tcBorders>
              <w:top w:val="nil"/>
              <w:left w:val="nil"/>
              <w:bottom w:val="nil"/>
              <w:right w:val="nil"/>
            </w:tcBorders>
            <w:vAlign w:val="center"/>
            <w:hideMark/>
          </w:tcPr>
          <w:p w14:paraId="43A318DC"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.02</w:t>
            </w:r>
          </w:p>
        </w:tc>
        <w:tc>
          <w:tcPr>
            <w:tcW w:w="432" w:type="pct"/>
            <w:tcBorders>
              <w:top w:val="nil"/>
              <w:left w:val="nil"/>
              <w:bottom w:val="nil"/>
              <w:right w:val="nil"/>
            </w:tcBorders>
            <w:vAlign w:val="center"/>
            <w:hideMark/>
          </w:tcPr>
          <w:p w14:paraId="62FD84E4"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-.13</w:t>
            </w:r>
          </w:p>
        </w:tc>
        <w:tc>
          <w:tcPr>
            <w:tcW w:w="336" w:type="pct"/>
            <w:tcBorders>
              <w:top w:val="nil"/>
              <w:left w:val="nil"/>
              <w:bottom w:val="nil"/>
              <w:right w:val="nil"/>
            </w:tcBorders>
            <w:vAlign w:val="center"/>
            <w:hideMark/>
          </w:tcPr>
          <w:p w14:paraId="32DFF7EB"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.06</w:t>
            </w:r>
          </w:p>
        </w:tc>
        <w:tc>
          <w:tcPr>
            <w:tcW w:w="533" w:type="pct"/>
            <w:tcBorders>
              <w:top w:val="nil"/>
              <w:left w:val="nil"/>
              <w:bottom w:val="nil"/>
              <w:right w:val="nil"/>
            </w:tcBorders>
            <w:vAlign w:val="center"/>
            <w:hideMark/>
          </w:tcPr>
          <w:p w14:paraId="5536CB16"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-.12</w:t>
            </w:r>
          </w:p>
        </w:tc>
        <w:tc>
          <w:tcPr>
            <w:tcW w:w="492" w:type="pct"/>
            <w:tcBorders>
              <w:top w:val="nil"/>
              <w:left w:val="nil"/>
              <w:bottom w:val="nil"/>
              <w:right w:val="nil"/>
            </w:tcBorders>
            <w:vAlign w:val="center"/>
            <w:hideMark/>
          </w:tcPr>
          <w:p w14:paraId="3219E73B"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-.10</w:t>
            </w:r>
          </w:p>
        </w:tc>
        <w:tc>
          <w:tcPr>
            <w:tcW w:w="532" w:type="pct"/>
            <w:tcBorders>
              <w:top w:val="nil"/>
              <w:left w:val="nil"/>
              <w:bottom w:val="nil"/>
              <w:right w:val="nil"/>
            </w:tcBorders>
            <w:vAlign w:val="center"/>
            <w:hideMark/>
          </w:tcPr>
          <w:p w14:paraId="26C88CEA"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-.10</w:t>
            </w:r>
          </w:p>
        </w:tc>
        <w:tc>
          <w:tcPr>
            <w:tcW w:w="351" w:type="pct"/>
            <w:tcBorders>
              <w:top w:val="nil"/>
              <w:left w:val="nil"/>
              <w:bottom w:val="nil"/>
              <w:right w:val="nil"/>
            </w:tcBorders>
            <w:vAlign w:val="center"/>
            <w:hideMark/>
          </w:tcPr>
          <w:p w14:paraId="76D2B59C"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.10</w:t>
            </w:r>
          </w:p>
        </w:tc>
        <w:tc>
          <w:tcPr>
            <w:tcW w:w="457" w:type="pct"/>
            <w:tcBorders>
              <w:top w:val="nil"/>
              <w:left w:val="nil"/>
              <w:bottom w:val="nil"/>
              <w:right w:val="nil"/>
            </w:tcBorders>
            <w:vAlign w:val="center"/>
            <w:hideMark/>
          </w:tcPr>
          <w:p w14:paraId="0C8E2241"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.32**</w:t>
            </w:r>
          </w:p>
        </w:tc>
      </w:tr>
      <w:tr w:rsidR="00DE4EA4" w:rsidRPr="001F64A9" w14:paraId="66F5331A" w14:textId="77777777" w:rsidTr="00DE4EA4">
        <w:trPr>
          <w:trHeight w:val="522"/>
        </w:trPr>
        <w:tc>
          <w:tcPr>
            <w:tcW w:w="452" w:type="pct"/>
            <w:tcBorders>
              <w:top w:val="nil"/>
              <w:left w:val="nil"/>
              <w:bottom w:val="single" w:sz="4" w:space="0" w:color="auto"/>
              <w:right w:val="nil"/>
            </w:tcBorders>
            <w:vAlign w:val="center"/>
            <w:hideMark/>
          </w:tcPr>
          <w:p w14:paraId="6DEF9733" w14:textId="77777777" w:rsidR="00EE5072" w:rsidRPr="001F64A9" w:rsidRDefault="00EE5072" w:rsidP="00AB3534">
            <w:pPr>
              <w:spacing w:line="240" w:lineRule="auto"/>
              <w:rPr>
                <w:rFonts w:asciiTheme="majorBidi" w:hAnsiTheme="majorBidi" w:cstheme="majorBidi"/>
                <w:sz w:val="22"/>
              </w:rPr>
            </w:pPr>
            <w:r w:rsidRPr="001F64A9">
              <w:rPr>
                <w:rFonts w:asciiTheme="majorBidi" w:hAnsiTheme="majorBidi" w:cstheme="majorBidi"/>
                <w:sz w:val="22"/>
              </w:rPr>
              <w:t>No Education</w:t>
            </w:r>
          </w:p>
        </w:tc>
        <w:tc>
          <w:tcPr>
            <w:tcW w:w="401" w:type="pct"/>
            <w:tcBorders>
              <w:top w:val="nil"/>
              <w:left w:val="nil"/>
              <w:bottom w:val="single" w:sz="4" w:space="0" w:color="auto"/>
              <w:right w:val="nil"/>
            </w:tcBorders>
            <w:vAlign w:val="center"/>
            <w:hideMark/>
          </w:tcPr>
          <w:p w14:paraId="1B8875FE"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.14</w:t>
            </w:r>
          </w:p>
        </w:tc>
        <w:tc>
          <w:tcPr>
            <w:tcW w:w="532" w:type="pct"/>
            <w:tcBorders>
              <w:top w:val="nil"/>
              <w:left w:val="nil"/>
              <w:bottom w:val="single" w:sz="4" w:space="0" w:color="auto"/>
              <w:right w:val="nil"/>
            </w:tcBorders>
            <w:vAlign w:val="center"/>
            <w:hideMark/>
          </w:tcPr>
          <w:p w14:paraId="5D234B7E"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.08</w:t>
            </w:r>
          </w:p>
        </w:tc>
        <w:tc>
          <w:tcPr>
            <w:tcW w:w="482" w:type="pct"/>
            <w:tcBorders>
              <w:top w:val="nil"/>
              <w:left w:val="nil"/>
              <w:bottom w:val="single" w:sz="4" w:space="0" w:color="auto"/>
              <w:right w:val="nil"/>
            </w:tcBorders>
            <w:vAlign w:val="center"/>
            <w:hideMark/>
          </w:tcPr>
          <w:p w14:paraId="2E13FFC9"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.10</w:t>
            </w:r>
          </w:p>
        </w:tc>
        <w:tc>
          <w:tcPr>
            <w:tcW w:w="432" w:type="pct"/>
            <w:tcBorders>
              <w:top w:val="nil"/>
              <w:left w:val="nil"/>
              <w:bottom w:val="single" w:sz="4" w:space="0" w:color="auto"/>
              <w:right w:val="nil"/>
            </w:tcBorders>
            <w:vAlign w:val="center"/>
            <w:hideMark/>
          </w:tcPr>
          <w:p w14:paraId="504881C8"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.14</w:t>
            </w:r>
          </w:p>
        </w:tc>
        <w:tc>
          <w:tcPr>
            <w:tcW w:w="336" w:type="pct"/>
            <w:tcBorders>
              <w:top w:val="nil"/>
              <w:left w:val="nil"/>
              <w:bottom w:val="single" w:sz="4" w:space="0" w:color="auto"/>
              <w:right w:val="nil"/>
            </w:tcBorders>
            <w:vAlign w:val="center"/>
            <w:hideMark/>
          </w:tcPr>
          <w:p w14:paraId="08A7C59A"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-.04</w:t>
            </w:r>
          </w:p>
        </w:tc>
        <w:tc>
          <w:tcPr>
            <w:tcW w:w="533" w:type="pct"/>
            <w:tcBorders>
              <w:top w:val="nil"/>
              <w:left w:val="nil"/>
              <w:bottom w:val="single" w:sz="4" w:space="0" w:color="auto"/>
              <w:right w:val="nil"/>
            </w:tcBorders>
            <w:vAlign w:val="center"/>
            <w:hideMark/>
          </w:tcPr>
          <w:p w14:paraId="275466A9"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.12</w:t>
            </w:r>
          </w:p>
        </w:tc>
        <w:tc>
          <w:tcPr>
            <w:tcW w:w="492" w:type="pct"/>
            <w:tcBorders>
              <w:top w:val="nil"/>
              <w:left w:val="nil"/>
              <w:bottom w:val="single" w:sz="4" w:space="0" w:color="auto"/>
              <w:right w:val="nil"/>
            </w:tcBorders>
            <w:vAlign w:val="center"/>
            <w:hideMark/>
          </w:tcPr>
          <w:p w14:paraId="6BF32055"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.11</w:t>
            </w:r>
          </w:p>
        </w:tc>
        <w:tc>
          <w:tcPr>
            <w:tcW w:w="532" w:type="pct"/>
            <w:tcBorders>
              <w:top w:val="nil"/>
              <w:left w:val="nil"/>
              <w:bottom w:val="single" w:sz="4" w:space="0" w:color="auto"/>
              <w:right w:val="nil"/>
            </w:tcBorders>
            <w:vAlign w:val="center"/>
            <w:hideMark/>
          </w:tcPr>
          <w:p w14:paraId="692C4CE5"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-.03</w:t>
            </w:r>
          </w:p>
        </w:tc>
        <w:tc>
          <w:tcPr>
            <w:tcW w:w="351" w:type="pct"/>
            <w:tcBorders>
              <w:top w:val="nil"/>
              <w:left w:val="nil"/>
              <w:bottom w:val="single" w:sz="4" w:space="0" w:color="auto"/>
              <w:right w:val="nil"/>
            </w:tcBorders>
            <w:vAlign w:val="center"/>
            <w:hideMark/>
          </w:tcPr>
          <w:p w14:paraId="638EDC4F"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.01</w:t>
            </w:r>
          </w:p>
        </w:tc>
        <w:tc>
          <w:tcPr>
            <w:tcW w:w="457" w:type="pct"/>
            <w:tcBorders>
              <w:top w:val="nil"/>
              <w:left w:val="nil"/>
              <w:bottom w:val="single" w:sz="4" w:space="0" w:color="auto"/>
              <w:right w:val="nil"/>
            </w:tcBorders>
            <w:vAlign w:val="center"/>
            <w:hideMark/>
          </w:tcPr>
          <w:p w14:paraId="7AA6AAD9"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.16</w:t>
            </w:r>
          </w:p>
        </w:tc>
      </w:tr>
      <w:tr w:rsidR="00EE5072" w:rsidRPr="001F64A9" w14:paraId="596AD0E5" w14:textId="77777777" w:rsidTr="00DE4EA4">
        <w:trPr>
          <w:trHeight w:val="512"/>
        </w:trPr>
        <w:tc>
          <w:tcPr>
            <w:tcW w:w="5000" w:type="pct"/>
            <w:gridSpan w:val="11"/>
            <w:tcBorders>
              <w:top w:val="single" w:sz="4" w:space="0" w:color="auto"/>
              <w:left w:val="nil"/>
              <w:bottom w:val="single" w:sz="4" w:space="0" w:color="auto"/>
              <w:right w:val="nil"/>
            </w:tcBorders>
            <w:vAlign w:val="center"/>
            <w:hideMark/>
          </w:tcPr>
          <w:p w14:paraId="67B6586A"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DNR Preference and End of Life Values</w:t>
            </w:r>
          </w:p>
        </w:tc>
      </w:tr>
      <w:tr w:rsidR="00DE4EA4" w:rsidRPr="001F64A9" w14:paraId="7205DB46" w14:textId="77777777" w:rsidTr="00DE4EA4">
        <w:trPr>
          <w:trHeight w:val="658"/>
        </w:trPr>
        <w:tc>
          <w:tcPr>
            <w:tcW w:w="452" w:type="pct"/>
            <w:tcBorders>
              <w:top w:val="single" w:sz="4" w:space="0" w:color="auto"/>
              <w:left w:val="nil"/>
              <w:bottom w:val="nil"/>
              <w:right w:val="nil"/>
            </w:tcBorders>
            <w:vAlign w:val="center"/>
            <w:hideMark/>
          </w:tcPr>
          <w:p w14:paraId="71DCBABA" w14:textId="77777777" w:rsidR="00EE5072" w:rsidRPr="001F64A9" w:rsidRDefault="00EE5072" w:rsidP="00AB3534">
            <w:pPr>
              <w:spacing w:line="240" w:lineRule="auto"/>
              <w:rPr>
                <w:rFonts w:asciiTheme="majorBidi" w:hAnsiTheme="majorBidi" w:cstheme="majorBidi"/>
                <w:sz w:val="22"/>
              </w:rPr>
            </w:pPr>
            <w:r w:rsidRPr="001F64A9">
              <w:rPr>
                <w:rFonts w:asciiTheme="majorBidi" w:hAnsiTheme="majorBidi" w:cstheme="majorBidi"/>
                <w:sz w:val="22"/>
              </w:rPr>
              <w:t>Positive Frame</w:t>
            </w:r>
          </w:p>
        </w:tc>
        <w:tc>
          <w:tcPr>
            <w:tcW w:w="401" w:type="pct"/>
            <w:tcBorders>
              <w:top w:val="single" w:sz="4" w:space="0" w:color="auto"/>
              <w:left w:val="nil"/>
              <w:bottom w:val="nil"/>
              <w:right w:val="nil"/>
            </w:tcBorders>
            <w:vAlign w:val="center"/>
            <w:hideMark/>
          </w:tcPr>
          <w:p w14:paraId="3BF47419"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-.09</w:t>
            </w:r>
          </w:p>
        </w:tc>
        <w:tc>
          <w:tcPr>
            <w:tcW w:w="532" w:type="pct"/>
            <w:tcBorders>
              <w:top w:val="single" w:sz="4" w:space="0" w:color="auto"/>
              <w:left w:val="nil"/>
              <w:bottom w:val="nil"/>
              <w:right w:val="nil"/>
            </w:tcBorders>
            <w:vAlign w:val="center"/>
            <w:hideMark/>
          </w:tcPr>
          <w:p w14:paraId="2C16A6BE"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.17</w:t>
            </w:r>
            <w:r w:rsidRPr="001F64A9">
              <w:rPr>
                <w:rFonts w:asciiTheme="majorBidi" w:hAnsiTheme="majorBidi" w:cstheme="majorBidi"/>
                <w:sz w:val="22"/>
                <w:vertAlign w:val="superscript"/>
              </w:rPr>
              <w:t>†</w:t>
            </w:r>
          </w:p>
        </w:tc>
        <w:tc>
          <w:tcPr>
            <w:tcW w:w="482" w:type="pct"/>
            <w:tcBorders>
              <w:top w:val="single" w:sz="4" w:space="0" w:color="auto"/>
              <w:left w:val="nil"/>
              <w:bottom w:val="nil"/>
              <w:right w:val="nil"/>
            </w:tcBorders>
            <w:vAlign w:val="center"/>
            <w:hideMark/>
          </w:tcPr>
          <w:p w14:paraId="7C07A1AF"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.07</w:t>
            </w:r>
          </w:p>
        </w:tc>
        <w:tc>
          <w:tcPr>
            <w:tcW w:w="432" w:type="pct"/>
            <w:tcBorders>
              <w:top w:val="single" w:sz="4" w:space="0" w:color="auto"/>
              <w:left w:val="nil"/>
              <w:bottom w:val="nil"/>
              <w:right w:val="nil"/>
            </w:tcBorders>
            <w:vAlign w:val="center"/>
            <w:hideMark/>
          </w:tcPr>
          <w:p w14:paraId="4BD2AE89"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.17</w:t>
            </w:r>
            <w:r w:rsidRPr="001F64A9">
              <w:rPr>
                <w:rFonts w:asciiTheme="majorBidi" w:hAnsiTheme="majorBidi" w:cstheme="majorBidi"/>
                <w:sz w:val="22"/>
                <w:vertAlign w:val="superscript"/>
              </w:rPr>
              <w:t>†</w:t>
            </w:r>
          </w:p>
        </w:tc>
        <w:tc>
          <w:tcPr>
            <w:tcW w:w="336" w:type="pct"/>
            <w:tcBorders>
              <w:top w:val="single" w:sz="4" w:space="0" w:color="auto"/>
              <w:left w:val="nil"/>
              <w:bottom w:val="nil"/>
              <w:right w:val="nil"/>
            </w:tcBorders>
            <w:vAlign w:val="center"/>
            <w:hideMark/>
          </w:tcPr>
          <w:p w14:paraId="6C7E9043"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.17</w:t>
            </w:r>
          </w:p>
        </w:tc>
        <w:tc>
          <w:tcPr>
            <w:tcW w:w="533" w:type="pct"/>
            <w:tcBorders>
              <w:top w:val="single" w:sz="4" w:space="0" w:color="auto"/>
              <w:left w:val="nil"/>
              <w:bottom w:val="nil"/>
              <w:right w:val="nil"/>
            </w:tcBorders>
            <w:vAlign w:val="center"/>
            <w:hideMark/>
          </w:tcPr>
          <w:p w14:paraId="4E715A04"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.14</w:t>
            </w:r>
          </w:p>
        </w:tc>
        <w:tc>
          <w:tcPr>
            <w:tcW w:w="492" w:type="pct"/>
            <w:tcBorders>
              <w:top w:val="single" w:sz="4" w:space="0" w:color="auto"/>
              <w:left w:val="nil"/>
              <w:bottom w:val="nil"/>
              <w:right w:val="nil"/>
            </w:tcBorders>
            <w:vAlign w:val="center"/>
            <w:hideMark/>
          </w:tcPr>
          <w:p w14:paraId="6D973912"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.18</w:t>
            </w:r>
          </w:p>
        </w:tc>
        <w:tc>
          <w:tcPr>
            <w:tcW w:w="532" w:type="pct"/>
            <w:tcBorders>
              <w:top w:val="single" w:sz="4" w:space="0" w:color="auto"/>
              <w:left w:val="nil"/>
              <w:bottom w:val="nil"/>
              <w:right w:val="nil"/>
            </w:tcBorders>
            <w:vAlign w:val="center"/>
            <w:hideMark/>
          </w:tcPr>
          <w:p w14:paraId="5D755DC6"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.02</w:t>
            </w:r>
          </w:p>
        </w:tc>
        <w:tc>
          <w:tcPr>
            <w:tcW w:w="351" w:type="pct"/>
            <w:tcBorders>
              <w:top w:val="single" w:sz="4" w:space="0" w:color="auto"/>
              <w:left w:val="nil"/>
              <w:bottom w:val="nil"/>
              <w:right w:val="nil"/>
            </w:tcBorders>
            <w:vAlign w:val="center"/>
            <w:hideMark/>
          </w:tcPr>
          <w:p w14:paraId="7A9B670B"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-.01</w:t>
            </w:r>
          </w:p>
        </w:tc>
        <w:tc>
          <w:tcPr>
            <w:tcW w:w="457" w:type="pct"/>
            <w:tcBorders>
              <w:top w:val="single" w:sz="4" w:space="0" w:color="auto"/>
              <w:left w:val="nil"/>
              <w:bottom w:val="nil"/>
              <w:right w:val="nil"/>
            </w:tcBorders>
            <w:vAlign w:val="center"/>
            <w:hideMark/>
          </w:tcPr>
          <w:p w14:paraId="36CD0356"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-.29**</w:t>
            </w:r>
          </w:p>
        </w:tc>
      </w:tr>
      <w:tr w:rsidR="00DE4EA4" w:rsidRPr="001F64A9" w14:paraId="00F4E3FA" w14:textId="77777777" w:rsidTr="00DE4EA4">
        <w:trPr>
          <w:trHeight w:val="549"/>
        </w:trPr>
        <w:tc>
          <w:tcPr>
            <w:tcW w:w="452" w:type="pct"/>
            <w:tcBorders>
              <w:top w:val="nil"/>
              <w:left w:val="nil"/>
              <w:bottom w:val="nil"/>
              <w:right w:val="nil"/>
            </w:tcBorders>
            <w:vAlign w:val="center"/>
            <w:hideMark/>
          </w:tcPr>
          <w:p w14:paraId="65B9EEE2" w14:textId="77777777" w:rsidR="00EE5072" w:rsidRPr="001F64A9" w:rsidRDefault="00EE5072" w:rsidP="00AB3534">
            <w:pPr>
              <w:spacing w:line="240" w:lineRule="auto"/>
              <w:rPr>
                <w:rFonts w:asciiTheme="majorBidi" w:hAnsiTheme="majorBidi" w:cstheme="majorBidi"/>
                <w:sz w:val="22"/>
              </w:rPr>
            </w:pPr>
            <w:r w:rsidRPr="001F64A9">
              <w:rPr>
                <w:rFonts w:asciiTheme="majorBidi" w:hAnsiTheme="majorBidi" w:cstheme="majorBidi"/>
                <w:sz w:val="22"/>
              </w:rPr>
              <w:t>Negative Frame</w:t>
            </w:r>
          </w:p>
        </w:tc>
        <w:tc>
          <w:tcPr>
            <w:tcW w:w="401" w:type="pct"/>
            <w:tcBorders>
              <w:top w:val="nil"/>
              <w:left w:val="nil"/>
              <w:bottom w:val="nil"/>
              <w:right w:val="nil"/>
            </w:tcBorders>
            <w:vAlign w:val="center"/>
            <w:hideMark/>
          </w:tcPr>
          <w:p w14:paraId="290E4804"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-.08</w:t>
            </w:r>
          </w:p>
        </w:tc>
        <w:tc>
          <w:tcPr>
            <w:tcW w:w="532" w:type="pct"/>
            <w:tcBorders>
              <w:top w:val="nil"/>
              <w:left w:val="nil"/>
              <w:bottom w:val="nil"/>
              <w:right w:val="nil"/>
            </w:tcBorders>
            <w:vAlign w:val="center"/>
            <w:hideMark/>
          </w:tcPr>
          <w:p w14:paraId="23ED9B38"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.18</w:t>
            </w:r>
            <w:r w:rsidRPr="001F64A9">
              <w:rPr>
                <w:rFonts w:asciiTheme="majorBidi" w:hAnsiTheme="majorBidi" w:cstheme="majorBidi"/>
                <w:sz w:val="22"/>
                <w:vertAlign w:val="superscript"/>
              </w:rPr>
              <w:t>†</w:t>
            </w:r>
          </w:p>
        </w:tc>
        <w:tc>
          <w:tcPr>
            <w:tcW w:w="482" w:type="pct"/>
            <w:tcBorders>
              <w:top w:val="nil"/>
              <w:left w:val="nil"/>
              <w:bottom w:val="nil"/>
              <w:right w:val="nil"/>
            </w:tcBorders>
            <w:vAlign w:val="center"/>
            <w:hideMark/>
          </w:tcPr>
          <w:p w14:paraId="6D687E0B"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-.02</w:t>
            </w:r>
          </w:p>
        </w:tc>
        <w:tc>
          <w:tcPr>
            <w:tcW w:w="432" w:type="pct"/>
            <w:tcBorders>
              <w:top w:val="nil"/>
              <w:left w:val="nil"/>
              <w:bottom w:val="nil"/>
              <w:right w:val="nil"/>
            </w:tcBorders>
            <w:vAlign w:val="center"/>
            <w:hideMark/>
          </w:tcPr>
          <w:p w14:paraId="5CB86FDE"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.18</w:t>
            </w:r>
            <w:r w:rsidRPr="001F64A9">
              <w:rPr>
                <w:rFonts w:asciiTheme="majorBidi" w:hAnsiTheme="majorBidi" w:cstheme="majorBidi"/>
                <w:sz w:val="22"/>
                <w:vertAlign w:val="superscript"/>
              </w:rPr>
              <w:t>†</w:t>
            </w:r>
          </w:p>
        </w:tc>
        <w:tc>
          <w:tcPr>
            <w:tcW w:w="336" w:type="pct"/>
            <w:tcBorders>
              <w:top w:val="nil"/>
              <w:left w:val="nil"/>
              <w:bottom w:val="nil"/>
              <w:right w:val="nil"/>
            </w:tcBorders>
            <w:vAlign w:val="center"/>
            <w:hideMark/>
          </w:tcPr>
          <w:p w14:paraId="2AA88BDD"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.03</w:t>
            </w:r>
          </w:p>
        </w:tc>
        <w:tc>
          <w:tcPr>
            <w:tcW w:w="533" w:type="pct"/>
            <w:tcBorders>
              <w:top w:val="nil"/>
              <w:left w:val="nil"/>
              <w:bottom w:val="nil"/>
              <w:right w:val="nil"/>
            </w:tcBorders>
            <w:vAlign w:val="center"/>
            <w:hideMark/>
          </w:tcPr>
          <w:p w14:paraId="1F0A6C90"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.11</w:t>
            </w:r>
          </w:p>
        </w:tc>
        <w:tc>
          <w:tcPr>
            <w:tcW w:w="492" w:type="pct"/>
            <w:tcBorders>
              <w:top w:val="nil"/>
              <w:left w:val="nil"/>
              <w:bottom w:val="nil"/>
              <w:right w:val="nil"/>
            </w:tcBorders>
            <w:vAlign w:val="center"/>
            <w:hideMark/>
          </w:tcPr>
          <w:p w14:paraId="6DF38A88"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.11</w:t>
            </w:r>
          </w:p>
        </w:tc>
        <w:tc>
          <w:tcPr>
            <w:tcW w:w="532" w:type="pct"/>
            <w:tcBorders>
              <w:top w:val="nil"/>
              <w:left w:val="nil"/>
              <w:bottom w:val="nil"/>
              <w:right w:val="nil"/>
            </w:tcBorders>
            <w:vAlign w:val="center"/>
            <w:hideMark/>
          </w:tcPr>
          <w:p w14:paraId="3316626B"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.28**</w:t>
            </w:r>
          </w:p>
        </w:tc>
        <w:tc>
          <w:tcPr>
            <w:tcW w:w="351" w:type="pct"/>
            <w:tcBorders>
              <w:top w:val="nil"/>
              <w:left w:val="nil"/>
              <w:bottom w:val="nil"/>
              <w:right w:val="nil"/>
            </w:tcBorders>
            <w:vAlign w:val="center"/>
            <w:hideMark/>
          </w:tcPr>
          <w:p w14:paraId="7CCA62A2"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.04</w:t>
            </w:r>
          </w:p>
        </w:tc>
        <w:tc>
          <w:tcPr>
            <w:tcW w:w="457" w:type="pct"/>
            <w:tcBorders>
              <w:top w:val="nil"/>
              <w:left w:val="nil"/>
              <w:bottom w:val="nil"/>
              <w:right w:val="nil"/>
            </w:tcBorders>
            <w:vAlign w:val="center"/>
            <w:hideMark/>
          </w:tcPr>
          <w:p w14:paraId="7B36D0CB"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-.18</w:t>
            </w:r>
            <w:r w:rsidRPr="001F64A9">
              <w:rPr>
                <w:rFonts w:asciiTheme="majorBidi" w:hAnsiTheme="majorBidi" w:cstheme="majorBidi"/>
                <w:sz w:val="22"/>
                <w:vertAlign w:val="superscript"/>
              </w:rPr>
              <w:t>†</w:t>
            </w:r>
          </w:p>
        </w:tc>
      </w:tr>
      <w:tr w:rsidR="00DE4EA4" w:rsidRPr="001F64A9" w14:paraId="484F9981" w14:textId="77777777" w:rsidTr="00DE4EA4">
        <w:trPr>
          <w:trHeight w:val="476"/>
        </w:trPr>
        <w:tc>
          <w:tcPr>
            <w:tcW w:w="452" w:type="pct"/>
            <w:tcBorders>
              <w:top w:val="nil"/>
              <w:left w:val="nil"/>
              <w:bottom w:val="nil"/>
              <w:right w:val="nil"/>
            </w:tcBorders>
            <w:vAlign w:val="center"/>
            <w:hideMark/>
          </w:tcPr>
          <w:p w14:paraId="4DDA9468" w14:textId="77777777" w:rsidR="00EE5072" w:rsidRPr="001F64A9" w:rsidRDefault="00EE5072" w:rsidP="00AB3534">
            <w:pPr>
              <w:spacing w:line="240" w:lineRule="auto"/>
              <w:rPr>
                <w:rFonts w:asciiTheme="majorBidi" w:hAnsiTheme="majorBidi" w:cstheme="majorBidi"/>
                <w:sz w:val="22"/>
              </w:rPr>
            </w:pPr>
            <w:r w:rsidRPr="001F64A9">
              <w:rPr>
                <w:rFonts w:asciiTheme="majorBidi" w:hAnsiTheme="majorBidi" w:cstheme="majorBidi"/>
                <w:sz w:val="22"/>
              </w:rPr>
              <w:t>Education</w:t>
            </w:r>
          </w:p>
        </w:tc>
        <w:tc>
          <w:tcPr>
            <w:tcW w:w="401" w:type="pct"/>
            <w:tcBorders>
              <w:top w:val="nil"/>
              <w:left w:val="nil"/>
              <w:bottom w:val="nil"/>
              <w:right w:val="nil"/>
            </w:tcBorders>
            <w:vAlign w:val="center"/>
            <w:hideMark/>
          </w:tcPr>
          <w:p w14:paraId="557C4887"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-.08</w:t>
            </w:r>
          </w:p>
        </w:tc>
        <w:tc>
          <w:tcPr>
            <w:tcW w:w="532" w:type="pct"/>
            <w:tcBorders>
              <w:top w:val="nil"/>
              <w:left w:val="nil"/>
              <w:bottom w:val="nil"/>
              <w:right w:val="nil"/>
            </w:tcBorders>
            <w:vAlign w:val="center"/>
            <w:hideMark/>
          </w:tcPr>
          <w:p w14:paraId="1BF733D1"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.24*</w:t>
            </w:r>
          </w:p>
        </w:tc>
        <w:tc>
          <w:tcPr>
            <w:tcW w:w="482" w:type="pct"/>
            <w:tcBorders>
              <w:top w:val="nil"/>
              <w:left w:val="nil"/>
              <w:bottom w:val="nil"/>
              <w:right w:val="nil"/>
            </w:tcBorders>
            <w:vAlign w:val="center"/>
            <w:hideMark/>
          </w:tcPr>
          <w:p w14:paraId="758BAB6B"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-.03</w:t>
            </w:r>
          </w:p>
        </w:tc>
        <w:tc>
          <w:tcPr>
            <w:tcW w:w="432" w:type="pct"/>
            <w:tcBorders>
              <w:top w:val="nil"/>
              <w:left w:val="nil"/>
              <w:bottom w:val="nil"/>
              <w:right w:val="nil"/>
            </w:tcBorders>
            <w:vAlign w:val="center"/>
            <w:hideMark/>
          </w:tcPr>
          <w:p w14:paraId="0A3C278D"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.17</w:t>
            </w:r>
          </w:p>
        </w:tc>
        <w:tc>
          <w:tcPr>
            <w:tcW w:w="336" w:type="pct"/>
            <w:tcBorders>
              <w:top w:val="nil"/>
              <w:left w:val="nil"/>
              <w:bottom w:val="nil"/>
              <w:right w:val="nil"/>
            </w:tcBorders>
            <w:vAlign w:val="center"/>
            <w:hideMark/>
          </w:tcPr>
          <w:p w14:paraId="40C6137B"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.12</w:t>
            </w:r>
          </w:p>
        </w:tc>
        <w:tc>
          <w:tcPr>
            <w:tcW w:w="533" w:type="pct"/>
            <w:tcBorders>
              <w:top w:val="nil"/>
              <w:left w:val="nil"/>
              <w:bottom w:val="nil"/>
              <w:right w:val="nil"/>
            </w:tcBorders>
            <w:vAlign w:val="center"/>
            <w:hideMark/>
          </w:tcPr>
          <w:p w14:paraId="09E62590"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.20</w:t>
            </w:r>
          </w:p>
        </w:tc>
        <w:tc>
          <w:tcPr>
            <w:tcW w:w="492" w:type="pct"/>
            <w:tcBorders>
              <w:top w:val="nil"/>
              <w:left w:val="nil"/>
              <w:bottom w:val="nil"/>
              <w:right w:val="nil"/>
            </w:tcBorders>
            <w:vAlign w:val="center"/>
            <w:hideMark/>
          </w:tcPr>
          <w:p w14:paraId="5D3BAA8D"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.21*</w:t>
            </w:r>
          </w:p>
        </w:tc>
        <w:tc>
          <w:tcPr>
            <w:tcW w:w="532" w:type="pct"/>
            <w:tcBorders>
              <w:top w:val="nil"/>
              <w:left w:val="nil"/>
              <w:bottom w:val="nil"/>
              <w:right w:val="nil"/>
            </w:tcBorders>
            <w:vAlign w:val="center"/>
            <w:hideMark/>
          </w:tcPr>
          <w:p w14:paraId="550AC7A0"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.17</w:t>
            </w:r>
            <w:r w:rsidRPr="001F64A9">
              <w:rPr>
                <w:rFonts w:asciiTheme="majorBidi" w:hAnsiTheme="majorBidi" w:cstheme="majorBidi"/>
                <w:sz w:val="22"/>
                <w:vertAlign w:val="superscript"/>
              </w:rPr>
              <w:t>†</w:t>
            </w:r>
          </w:p>
        </w:tc>
        <w:tc>
          <w:tcPr>
            <w:tcW w:w="351" w:type="pct"/>
            <w:tcBorders>
              <w:top w:val="nil"/>
              <w:left w:val="nil"/>
              <w:bottom w:val="nil"/>
              <w:right w:val="nil"/>
            </w:tcBorders>
            <w:vAlign w:val="center"/>
            <w:hideMark/>
          </w:tcPr>
          <w:p w14:paraId="19992E41"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.02</w:t>
            </w:r>
          </w:p>
        </w:tc>
        <w:tc>
          <w:tcPr>
            <w:tcW w:w="457" w:type="pct"/>
            <w:tcBorders>
              <w:top w:val="nil"/>
              <w:left w:val="nil"/>
              <w:bottom w:val="nil"/>
              <w:right w:val="nil"/>
            </w:tcBorders>
            <w:vAlign w:val="center"/>
            <w:hideMark/>
          </w:tcPr>
          <w:p w14:paraId="24902106"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-.16</w:t>
            </w:r>
          </w:p>
        </w:tc>
      </w:tr>
      <w:tr w:rsidR="00DE4EA4" w:rsidRPr="001F64A9" w14:paraId="553CD954" w14:textId="77777777" w:rsidTr="00DE4EA4">
        <w:trPr>
          <w:trHeight w:val="623"/>
        </w:trPr>
        <w:tc>
          <w:tcPr>
            <w:tcW w:w="452" w:type="pct"/>
            <w:tcBorders>
              <w:top w:val="nil"/>
              <w:left w:val="nil"/>
              <w:bottom w:val="single" w:sz="4" w:space="0" w:color="auto"/>
              <w:right w:val="nil"/>
            </w:tcBorders>
            <w:vAlign w:val="center"/>
            <w:hideMark/>
          </w:tcPr>
          <w:p w14:paraId="30C0B7CA" w14:textId="77777777" w:rsidR="00EE5072" w:rsidRPr="001F64A9" w:rsidRDefault="00EE5072" w:rsidP="00AB3534">
            <w:pPr>
              <w:spacing w:line="240" w:lineRule="auto"/>
              <w:rPr>
                <w:rFonts w:asciiTheme="majorBidi" w:hAnsiTheme="majorBidi" w:cstheme="majorBidi"/>
                <w:sz w:val="22"/>
              </w:rPr>
            </w:pPr>
            <w:r w:rsidRPr="001F64A9">
              <w:rPr>
                <w:rFonts w:asciiTheme="majorBidi" w:hAnsiTheme="majorBidi" w:cstheme="majorBidi"/>
                <w:sz w:val="22"/>
              </w:rPr>
              <w:t>No Education</w:t>
            </w:r>
          </w:p>
        </w:tc>
        <w:tc>
          <w:tcPr>
            <w:tcW w:w="401" w:type="pct"/>
            <w:tcBorders>
              <w:top w:val="nil"/>
              <w:left w:val="nil"/>
              <w:bottom w:val="single" w:sz="4" w:space="0" w:color="auto"/>
              <w:right w:val="nil"/>
            </w:tcBorders>
            <w:vAlign w:val="center"/>
            <w:hideMark/>
          </w:tcPr>
          <w:p w14:paraId="6C57969F"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-.11</w:t>
            </w:r>
          </w:p>
        </w:tc>
        <w:tc>
          <w:tcPr>
            <w:tcW w:w="532" w:type="pct"/>
            <w:tcBorders>
              <w:top w:val="nil"/>
              <w:left w:val="nil"/>
              <w:bottom w:val="single" w:sz="4" w:space="0" w:color="auto"/>
              <w:right w:val="nil"/>
            </w:tcBorders>
            <w:vAlign w:val="center"/>
            <w:hideMark/>
          </w:tcPr>
          <w:p w14:paraId="773A5495"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.04</w:t>
            </w:r>
          </w:p>
        </w:tc>
        <w:tc>
          <w:tcPr>
            <w:tcW w:w="482" w:type="pct"/>
            <w:tcBorders>
              <w:top w:val="nil"/>
              <w:left w:val="nil"/>
              <w:bottom w:val="single" w:sz="4" w:space="0" w:color="auto"/>
              <w:right w:val="nil"/>
            </w:tcBorders>
            <w:vAlign w:val="center"/>
            <w:hideMark/>
          </w:tcPr>
          <w:p w14:paraId="13CBDE07"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-.10</w:t>
            </w:r>
          </w:p>
        </w:tc>
        <w:tc>
          <w:tcPr>
            <w:tcW w:w="432" w:type="pct"/>
            <w:tcBorders>
              <w:top w:val="nil"/>
              <w:left w:val="nil"/>
              <w:bottom w:val="single" w:sz="4" w:space="0" w:color="auto"/>
              <w:right w:val="nil"/>
            </w:tcBorders>
            <w:vAlign w:val="center"/>
            <w:hideMark/>
          </w:tcPr>
          <w:p w14:paraId="0F117CCD"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-.08</w:t>
            </w:r>
          </w:p>
        </w:tc>
        <w:tc>
          <w:tcPr>
            <w:tcW w:w="336" w:type="pct"/>
            <w:tcBorders>
              <w:top w:val="nil"/>
              <w:left w:val="nil"/>
              <w:bottom w:val="single" w:sz="4" w:space="0" w:color="auto"/>
              <w:right w:val="nil"/>
            </w:tcBorders>
            <w:vAlign w:val="center"/>
            <w:hideMark/>
          </w:tcPr>
          <w:p w14:paraId="2CED782D"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.08</w:t>
            </w:r>
          </w:p>
        </w:tc>
        <w:tc>
          <w:tcPr>
            <w:tcW w:w="533" w:type="pct"/>
            <w:tcBorders>
              <w:top w:val="nil"/>
              <w:left w:val="nil"/>
              <w:bottom w:val="single" w:sz="4" w:space="0" w:color="auto"/>
              <w:right w:val="nil"/>
            </w:tcBorders>
            <w:vAlign w:val="center"/>
            <w:hideMark/>
          </w:tcPr>
          <w:p w14:paraId="2D281690"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.05</w:t>
            </w:r>
          </w:p>
        </w:tc>
        <w:tc>
          <w:tcPr>
            <w:tcW w:w="492" w:type="pct"/>
            <w:tcBorders>
              <w:top w:val="nil"/>
              <w:left w:val="nil"/>
              <w:bottom w:val="single" w:sz="4" w:space="0" w:color="auto"/>
              <w:right w:val="nil"/>
            </w:tcBorders>
            <w:vAlign w:val="center"/>
            <w:hideMark/>
          </w:tcPr>
          <w:p w14:paraId="75F65F56"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.03</w:t>
            </w:r>
          </w:p>
        </w:tc>
        <w:tc>
          <w:tcPr>
            <w:tcW w:w="532" w:type="pct"/>
            <w:tcBorders>
              <w:top w:val="nil"/>
              <w:left w:val="nil"/>
              <w:bottom w:val="single" w:sz="4" w:space="0" w:color="auto"/>
              <w:right w:val="nil"/>
            </w:tcBorders>
            <w:vAlign w:val="center"/>
            <w:hideMark/>
          </w:tcPr>
          <w:p w14:paraId="07B45BF5"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.08</w:t>
            </w:r>
          </w:p>
        </w:tc>
        <w:tc>
          <w:tcPr>
            <w:tcW w:w="351" w:type="pct"/>
            <w:tcBorders>
              <w:top w:val="nil"/>
              <w:left w:val="nil"/>
              <w:bottom w:val="single" w:sz="4" w:space="0" w:color="auto"/>
              <w:right w:val="nil"/>
            </w:tcBorders>
            <w:vAlign w:val="center"/>
            <w:hideMark/>
          </w:tcPr>
          <w:p w14:paraId="2D388745"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.03</w:t>
            </w:r>
          </w:p>
        </w:tc>
        <w:tc>
          <w:tcPr>
            <w:tcW w:w="457" w:type="pct"/>
            <w:tcBorders>
              <w:top w:val="nil"/>
              <w:left w:val="nil"/>
              <w:bottom w:val="single" w:sz="4" w:space="0" w:color="auto"/>
              <w:right w:val="nil"/>
            </w:tcBorders>
            <w:vAlign w:val="center"/>
            <w:hideMark/>
          </w:tcPr>
          <w:p w14:paraId="6CAA1D8F" w14:textId="77777777" w:rsidR="00EE5072" w:rsidRPr="001F64A9" w:rsidRDefault="00EE5072" w:rsidP="00AB3534">
            <w:pPr>
              <w:spacing w:line="240" w:lineRule="auto"/>
              <w:jc w:val="center"/>
              <w:rPr>
                <w:rFonts w:asciiTheme="majorBidi" w:hAnsiTheme="majorBidi" w:cstheme="majorBidi"/>
                <w:sz w:val="22"/>
              </w:rPr>
            </w:pPr>
            <w:r w:rsidRPr="001F64A9">
              <w:rPr>
                <w:rFonts w:asciiTheme="majorBidi" w:hAnsiTheme="majorBidi" w:cstheme="majorBidi"/>
                <w:sz w:val="22"/>
              </w:rPr>
              <w:t>-.13</w:t>
            </w:r>
          </w:p>
        </w:tc>
      </w:tr>
    </w:tbl>
    <w:p w14:paraId="237B5818" w14:textId="37E2C09F" w:rsidR="00EE5072" w:rsidRPr="001F64A9" w:rsidRDefault="00EE5072" w:rsidP="00DE4EA4">
      <w:pPr>
        <w:rPr>
          <w:rFonts w:asciiTheme="majorBidi" w:eastAsia="Times New Roman" w:hAnsiTheme="majorBidi" w:cstheme="majorBidi"/>
          <w:bCs/>
          <w:sz w:val="20"/>
          <w:szCs w:val="20"/>
        </w:rPr>
      </w:pPr>
      <w:r w:rsidRPr="001F64A9">
        <w:rPr>
          <w:rFonts w:asciiTheme="majorBidi" w:eastAsia="Times New Roman" w:hAnsiTheme="majorBidi" w:cstheme="majorBidi"/>
          <w:bCs/>
          <w:i/>
          <w:iCs/>
          <w:sz w:val="20"/>
          <w:szCs w:val="20"/>
        </w:rPr>
        <w:t>Note.</w:t>
      </w:r>
      <w:r w:rsidRPr="001F64A9">
        <w:rPr>
          <w:rFonts w:asciiTheme="majorBidi" w:eastAsia="Times New Roman" w:hAnsiTheme="majorBidi" w:cstheme="majorBidi"/>
          <w:bCs/>
          <w:sz w:val="20"/>
          <w:szCs w:val="20"/>
        </w:rPr>
        <w:t xml:space="preserve"> </w:t>
      </w:r>
      <w:r w:rsidRPr="001F64A9">
        <w:rPr>
          <w:rFonts w:asciiTheme="majorBidi" w:hAnsiTheme="majorBidi" w:cstheme="majorBidi"/>
          <w:sz w:val="20"/>
          <w:szCs w:val="20"/>
          <w:vertAlign w:val="superscript"/>
        </w:rPr>
        <w:t>†</w:t>
      </w:r>
      <w:r w:rsidRPr="001F64A9">
        <w:rPr>
          <w:rFonts w:asciiTheme="majorBidi" w:eastAsia="Times New Roman" w:hAnsiTheme="majorBidi" w:cstheme="majorBidi"/>
          <w:bCs/>
          <w:i/>
          <w:iCs/>
          <w:sz w:val="20"/>
          <w:szCs w:val="20"/>
        </w:rPr>
        <w:t>p</w:t>
      </w:r>
      <w:r w:rsidRPr="001F64A9">
        <w:rPr>
          <w:rFonts w:asciiTheme="majorBidi" w:eastAsia="Times New Roman" w:hAnsiTheme="majorBidi" w:cstheme="majorBidi"/>
          <w:bCs/>
          <w:sz w:val="20"/>
          <w:szCs w:val="20"/>
        </w:rPr>
        <w:t xml:space="preserve"> &lt; .10, *</w:t>
      </w:r>
      <w:r w:rsidRPr="001F64A9">
        <w:rPr>
          <w:rFonts w:asciiTheme="majorBidi" w:eastAsia="Times New Roman" w:hAnsiTheme="majorBidi" w:cstheme="majorBidi"/>
          <w:bCs/>
          <w:i/>
          <w:iCs/>
          <w:sz w:val="20"/>
          <w:szCs w:val="20"/>
        </w:rPr>
        <w:t>p</w:t>
      </w:r>
      <w:r w:rsidRPr="001F64A9">
        <w:rPr>
          <w:rFonts w:asciiTheme="majorBidi" w:eastAsia="Times New Roman" w:hAnsiTheme="majorBidi" w:cstheme="majorBidi"/>
          <w:bCs/>
          <w:sz w:val="20"/>
          <w:szCs w:val="20"/>
        </w:rPr>
        <w:t xml:space="preserve"> &lt; .05, **</w:t>
      </w:r>
      <w:r w:rsidRPr="001F64A9">
        <w:rPr>
          <w:rFonts w:asciiTheme="majorBidi" w:eastAsia="Times New Roman" w:hAnsiTheme="majorBidi" w:cstheme="majorBidi"/>
          <w:bCs/>
          <w:i/>
          <w:iCs/>
          <w:sz w:val="20"/>
          <w:szCs w:val="20"/>
        </w:rPr>
        <w:t>p</w:t>
      </w:r>
      <w:r w:rsidRPr="001F64A9">
        <w:rPr>
          <w:rFonts w:asciiTheme="majorBidi" w:eastAsia="Times New Roman" w:hAnsiTheme="majorBidi" w:cstheme="majorBidi"/>
          <w:bCs/>
          <w:sz w:val="20"/>
          <w:szCs w:val="20"/>
        </w:rPr>
        <w:t xml:space="preserve"> &lt; .01. Life Oriented Values = Religiosity, Family Wishes, and Longevity; Pain and Dependence Oriented Values = </w:t>
      </w:r>
      <w:r w:rsidRPr="001F64A9">
        <w:rPr>
          <w:rFonts w:asciiTheme="majorBidi" w:hAnsiTheme="majorBidi" w:cstheme="majorBidi"/>
          <w:bCs/>
          <w:sz w:val="20"/>
          <w:szCs w:val="20"/>
        </w:rPr>
        <w:t>Dignified Death</w:t>
      </w:r>
      <w:r w:rsidRPr="001F64A9">
        <w:rPr>
          <w:rFonts w:asciiTheme="majorBidi" w:eastAsia="Times New Roman" w:hAnsiTheme="majorBidi" w:cstheme="majorBidi"/>
          <w:bCs/>
          <w:sz w:val="20"/>
          <w:szCs w:val="20"/>
        </w:rPr>
        <w:t xml:space="preserve">, </w:t>
      </w:r>
      <w:r w:rsidRPr="001F64A9">
        <w:rPr>
          <w:rFonts w:asciiTheme="majorBidi" w:hAnsiTheme="majorBidi" w:cstheme="majorBidi"/>
          <w:bCs/>
          <w:sz w:val="20"/>
          <w:szCs w:val="20"/>
        </w:rPr>
        <w:t>Spared Pain</w:t>
      </w:r>
      <w:r w:rsidRPr="001F64A9">
        <w:rPr>
          <w:rFonts w:asciiTheme="majorBidi" w:eastAsia="Times New Roman" w:hAnsiTheme="majorBidi" w:cstheme="majorBidi"/>
          <w:bCs/>
          <w:sz w:val="20"/>
          <w:szCs w:val="20"/>
        </w:rPr>
        <w:t xml:space="preserve">, </w:t>
      </w:r>
      <w:r w:rsidRPr="001F64A9">
        <w:rPr>
          <w:rFonts w:asciiTheme="majorBidi" w:hAnsiTheme="majorBidi" w:cstheme="majorBidi"/>
          <w:bCs/>
          <w:sz w:val="20"/>
          <w:szCs w:val="20"/>
        </w:rPr>
        <w:t>Burdening Emotionally</w:t>
      </w:r>
      <w:r w:rsidRPr="001F64A9">
        <w:rPr>
          <w:rFonts w:asciiTheme="majorBidi" w:eastAsia="Times New Roman" w:hAnsiTheme="majorBidi" w:cstheme="majorBidi"/>
          <w:bCs/>
          <w:sz w:val="20"/>
          <w:szCs w:val="20"/>
        </w:rPr>
        <w:t xml:space="preserve">, </w:t>
      </w:r>
      <w:r w:rsidRPr="001F64A9">
        <w:rPr>
          <w:rFonts w:asciiTheme="majorBidi" w:hAnsiTheme="majorBidi" w:cstheme="majorBidi"/>
          <w:bCs/>
          <w:sz w:val="20"/>
          <w:szCs w:val="20"/>
        </w:rPr>
        <w:t>Burdening Financially</w:t>
      </w:r>
      <w:r w:rsidRPr="001F64A9">
        <w:rPr>
          <w:rFonts w:asciiTheme="majorBidi" w:eastAsia="Times New Roman" w:hAnsiTheme="majorBidi" w:cstheme="majorBidi"/>
          <w:bCs/>
          <w:sz w:val="20"/>
          <w:szCs w:val="20"/>
        </w:rPr>
        <w:t>, Dependence.</w:t>
      </w:r>
    </w:p>
    <w:p w14:paraId="5F690167" w14:textId="77777777" w:rsidR="00DE4EA4" w:rsidRPr="001F64A9" w:rsidRDefault="00DE4EA4">
      <w:pPr>
        <w:spacing w:line="259" w:lineRule="auto"/>
        <w:rPr>
          <w:rFonts w:asciiTheme="majorBidi" w:eastAsia="Times New Roman" w:hAnsiTheme="majorBidi" w:cstheme="majorBidi"/>
          <w:bCs/>
          <w:sz w:val="20"/>
          <w:szCs w:val="20"/>
        </w:rPr>
        <w:sectPr w:rsidR="00DE4EA4" w:rsidRPr="001F64A9" w:rsidSect="00DE4EA4">
          <w:pgSz w:w="15840" w:h="12240" w:orient="landscape"/>
          <w:pgMar w:top="1440" w:right="1440" w:bottom="1440" w:left="1440" w:header="720" w:footer="720" w:gutter="0"/>
          <w:cols w:space="720"/>
          <w:docGrid w:linePitch="360"/>
        </w:sectPr>
      </w:pPr>
    </w:p>
    <w:p w14:paraId="39627F5D" w14:textId="57368E91" w:rsidR="00EE5072" w:rsidRPr="001F64A9" w:rsidRDefault="00EE5072" w:rsidP="00DE4EA4">
      <w:pPr>
        <w:spacing w:line="259" w:lineRule="auto"/>
        <w:rPr>
          <w:rFonts w:asciiTheme="majorBidi" w:eastAsia="Times New Roman" w:hAnsiTheme="majorBidi" w:cstheme="majorBidi"/>
          <w:bCs/>
          <w:sz w:val="20"/>
          <w:szCs w:val="20"/>
        </w:rPr>
      </w:pPr>
      <w:r w:rsidRPr="001F64A9">
        <w:rPr>
          <w:rFonts w:asciiTheme="majorBidi" w:eastAsia="Times New Roman" w:hAnsiTheme="majorBidi" w:cstheme="majorBidi"/>
          <w:b/>
          <w:bCs/>
          <w:sz w:val="24"/>
          <w:szCs w:val="24"/>
        </w:rPr>
        <w:lastRenderedPageBreak/>
        <w:t>Table 11</w:t>
      </w:r>
    </w:p>
    <w:p w14:paraId="12BCE2A9" w14:textId="77777777" w:rsidR="00EE5072" w:rsidRPr="001F64A9" w:rsidRDefault="00EE5072" w:rsidP="00EE5072">
      <w:pPr>
        <w:spacing w:line="480" w:lineRule="auto"/>
        <w:jc w:val="both"/>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Descriptive Statistics of Pre-Post Knowledge, Groups, and their Interaction in Experiment 2</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2335"/>
        <w:gridCol w:w="2324"/>
        <w:gridCol w:w="2305"/>
      </w:tblGrid>
      <w:tr w:rsidR="00EE5072" w:rsidRPr="001F64A9" w14:paraId="4BA7C293" w14:textId="77777777" w:rsidTr="00DE4EA4">
        <w:trPr>
          <w:trHeight w:val="412"/>
        </w:trPr>
        <w:tc>
          <w:tcPr>
            <w:tcW w:w="2333" w:type="dxa"/>
            <w:tcBorders>
              <w:top w:val="single" w:sz="4" w:space="0" w:color="auto"/>
              <w:left w:val="nil"/>
              <w:bottom w:val="single" w:sz="4" w:space="0" w:color="auto"/>
              <w:right w:val="nil"/>
            </w:tcBorders>
            <w:vAlign w:val="center"/>
          </w:tcPr>
          <w:p w14:paraId="735038FF" w14:textId="77777777" w:rsidR="00EE5072" w:rsidRPr="001F64A9" w:rsidRDefault="00EE5072" w:rsidP="00AB3534">
            <w:pPr>
              <w:spacing w:line="360" w:lineRule="auto"/>
              <w:rPr>
                <w:rFonts w:asciiTheme="majorBidi" w:eastAsia="Times New Roman" w:hAnsiTheme="majorBidi" w:cstheme="majorBidi"/>
                <w:szCs w:val="24"/>
              </w:rPr>
            </w:pPr>
          </w:p>
        </w:tc>
        <w:tc>
          <w:tcPr>
            <w:tcW w:w="2335" w:type="dxa"/>
            <w:tcBorders>
              <w:top w:val="single" w:sz="4" w:space="0" w:color="auto"/>
              <w:left w:val="nil"/>
              <w:bottom w:val="single" w:sz="4" w:space="0" w:color="auto"/>
              <w:right w:val="nil"/>
            </w:tcBorders>
            <w:vAlign w:val="center"/>
            <w:hideMark/>
          </w:tcPr>
          <w:p w14:paraId="67A7730A"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Pre-Post Knowledge</w:t>
            </w:r>
          </w:p>
        </w:tc>
        <w:tc>
          <w:tcPr>
            <w:tcW w:w="2324" w:type="dxa"/>
            <w:tcBorders>
              <w:top w:val="single" w:sz="4" w:space="0" w:color="auto"/>
              <w:left w:val="nil"/>
              <w:bottom w:val="single" w:sz="4" w:space="0" w:color="auto"/>
              <w:right w:val="nil"/>
            </w:tcBorders>
            <w:vAlign w:val="center"/>
            <w:hideMark/>
          </w:tcPr>
          <w:p w14:paraId="1DF52FC2"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Marginal M</w:t>
            </w:r>
          </w:p>
        </w:tc>
        <w:tc>
          <w:tcPr>
            <w:tcW w:w="2305" w:type="dxa"/>
            <w:tcBorders>
              <w:top w:val="single" w:sz="4" w:space="0" w:color="auto"/>
              <w:left w:val="nil"/>
              <w:bottom w:val="single" w:sz="4" w:space="0" w:color="auto"/>
              <w:right w:val="nil"/>
            </w:tcBorders>
            <w:vAlign w:val="center"/>
            <w:hideMark/>
          </w:tcPr>
          <w:p w14:paraId="6235F93F"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SE</w:t>
            </w:r>
          </w:p>
        </w:tc>
      </w:tr>
      <w:tr w:rsidR="00EE5072" w:rsidRPr="001F64A9" w14:paraId="50556489" w14:textId="77777777" w:rsidTr="00DE4EA4">
        <w:trPr>
          <w:trHeight w:val="424"/>
        </w:trPr>
        <w:tc>
          <w:tcPr>
            <w:tcW w:w="2333" w:type="dxa"/>
            <w:tcBorders>
              <w:top w:val="single" w:sz="4" w:space="0" w:color="auto"/>
              <w:left w:val="nil"/>
              <w:bottom w:val="nil"/>
              <w:right w:val="nil"/>
            </w:tcBorders>
            <w:vAlign w:val="center"/>
          </w:tcPr>
          <w:p w14:paraId="7DE04F53" w14:textId="77777777" w:rsidR="00EE5072" w:rsidRPr="001F64A9" w:rsidRDefault="00EE5072" w:rsidP="00AB3534">
            <w:pPr>
              <w:spacing w:line="360" w:lineRule="auto"/>
              <w:rPr>
                <w:rFonts w:asciiTheme="majorBidi" w:eastAsia="Times New Roman" w:hAnsiTheme="majorBidi" w:cstheme="majorBidi"/>
                <w:szCs w:val="24"/>
              </w:rPr>
            </w:pPr>
          </w:p>
        </w:tc>
        <w:tc>
          <w:tcPr>
            <w:tcW w:w="2335" w:type="dxa"/>
            <w:tcBorders>
              <w:top w:val="single" w:sz="4" w:space="0" w:color="auto"/>
              <w:left w:val="nil"/>
              <w:bottom w:val="nil"/>
              <w:right w:val="nil"/>
            </w:tcBorders>
            <w:vAlign w:val="center"/>
            <w:hideMark/>
          </w:tcPr>
          <w:p w14:paraId="21501FC3"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Pre DNR Knowledge</w:t>
            </w:r>
          </w:p>
        </w:tc>
        <w:tc>
          <w:tcPr>
            <w:tcW w:w="2324" w:type="dxa"/>
            <w:tcBorders>
              <w:top w:val="single" w:sz="4" w:space="0" w:color="auto"/>
              <w:left w:val="nil"/>
              <w:bottom w:val="nil"/>
              <w:right w:val="nil"/>
            </w:tcBorders>
            <w:vAlign w:val="center"/>
            <w:hideMark/>
          </w:tcPr>
          <w:p w14:paraId="19DF320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10.37</w:t>
            </w:r>
          </w:p>
        </w:tc>
        <w:tc>
          <w:tcPr>
            <w:tcW w:w="2305" w:type="dxa"/>
            <w:tcBorders>
              <w:top w:val="single" w:sz="4" w:space="0" w:color="auto"/>
              <w:left w:val="nil"/>
              <w:bottom w:val="nil"/>
              <w:right w:val="nil"/>
            </w:tcBorders>
            <w:vAlign w:val="center"/>
            <w:hideMark/>
          </w:tcPr>
          <w:p w14:paraId="228E837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.16</w:t>
            </w:r>
          </w:p>
        </w:tc>
      </w:tr>
      <w:tr w:rsidR="00EE5072" w:rsidRPr="001F64A9" w14:paraId="76D3C92B" w14:textId="77777777" w:rsidTr="00DE4EA4">
        <w:trPr>
          <w:trHeight w:val="836"/>
        </w:trPr>
        <w:tc>
          <w:tcPr>
            <w:tcW w:w="2333" w:type="dxa"/>
            <w:tcBorders>
              <w:top w:val="nil"/>
              <w:left w:val="nil"/>
              <w:bottom w:val="single" w:sz="4" w:space="0" w:color="auto"/>
              <w:right w:val="nil"/>
            </w:tcBorders>
            <w:vAlign w:val="center"/>
          </w:tcPr>
          <w:p w14:paraId="76FEB77B" w14:textId="77777777" w:rsidR="00EE5072" w:rsidRPr="001F64A9" w:rsidRDefault="00EE5072" w:rsidP="00AB3534">
            <w:pPr>
              <w:spacing w:line="360" w:lineRule="auto"/>
              <w:rPr>
                <w:rFonts w:asciiTheme="majorBidi" w:eastAsia="Times New Roman" w:hAnsiTheme="majorBidi" w:cstheme="majorBidi"/>
                <w:szCs w:val="24"/>
              </w:rPr>
            </w:pPr>
          </w:p>
        </w:tc>
        <w:tc>
          <w:tcPr>
            <w:tcW w:w="2335" w:type="dxa"/>
            <w:tcBorders>
              <w:top w:val="nil"/>
              <w:left w:val="nil"/>
              <w:bottom w:val="single" w:sz="4" w:space="0" w:color="auto"/>
              <w:right w:val="nil"/>
            </w:tcBorders>
            <w:vAlign w:val="center"/>
            <w:hideMark/>
          </w:tcPr>
          <w:p w14:paraId="24D1D01D"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Post DNR Knowledge</w:t>
            </w:r>
          </w:p>
        </w:tc>
        <w:tc>
          <w:tcPr>
            <w:tcW w:w="2324" w:type="dxa"/>
            <w:tcBorders>
              <w:top w:val="nil"/>
              <w:left w:val="nil"/>
              <w:bottom w:val="single" w:sz="4" w:space="0" w:color="auto"/>
              <w:right w:val="nil"/>
            </w:tcBorders>
            <w:vAlign w:val="center"/>
            <w:hideMark/>
          </w:tcPr>
          <w:p w14:paraId="2029A7B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10.65</w:t>
            </w:r>
          </w:p>
        </w:tc>
        <w:tc>
          <w:tcPr>
            <w:tcW w:w="2305" w:type="dxa"/>
            <w:tcBorders>
              <w:top w:val="nil"/>
              <w:left w:val="nil"/>
              <w:bottom w:val="single" w:sz="4" w:space="0" w:color="auto"/>
              <w:right w:val="nil"/>
            </w:tcBorders>
            <w:vAlign w:val="center"/>
            <w:hideMark/>
          </w:tcPr>
          <w:p w14:paraId="79135C9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.16</w:t>
            </w:r>
          </w:p>
        </w:tc>
      </w:tr>
      <w:tr w:rsidR="00EE5072" w:rsidRPr="001F64A9" w14:paraId="18796E3B" w14:textId="77777777" w:rsidTr="00DE4EA4">
        <w:trPr>
          <w:trHeight w:val="412"/>
        </w:trPr>
        <w:tc>
          <w:tcPr>
            <w:tcW w:w="2333" w:type="dxa"/>
            <w:tcBorders>
              <w:top w:val="single" w:sz="4" w:space="0" w:color="auto"/>
              <w:left w:val="nil"/>
              <w:bottom w:val="single" w:sz="4" w:space="0" w:color="auto"/>
              <w:right w:val="nil"/>
            </w:tcBorders>
            <w:vAlign w:val="center"/>
          </w:tcPr>
          <w:p w14:paraId="35D97F5E" w14:textId="77777777" w:rsidR="00EE5072" w:rsidRPr="001F64A9" w:rsidRDefault="00EE5072" w:rsidP="00AB3534">
            <w:pPr>
              <w:spacing w:line="360" w:lineRule="auto"/>
              <w:rPr>
                <w:rFonts w:asciiTheme="majorBidi" w:eastAsia="Times New Roman" w:hAnsiTheme="majorBidi" w:cstheme="majorBidi"/>
                <w:szCs w:val="24"/>
              </w:rPr>
            </w:pPr>
          </w:p>
        </w:tc>
        <w:tc>
          <w:tcPr>
            <w:tcW w:w="2335" w:type="dxa"/>
            <w:tcBorders>
              <w:top w:val="single" w:sz="4" w:space="0" w:color="auto"/>
              <w:left w:val="nil"/>
              <w:bottom w:val="single" w:sz="4" w:space="0" w:color="auto"/>
              <w:right w:val="nil"/>
            </w:tcBorders>
            <w:vAlign w:val="center"/>
            <w:hideMark/>
          </w:tcPr>
          <w:p w14:paraId="73F7FFA7"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Groups</w:t>
            </w:r>
          </w:p>
        </w:tc>
        <w:tc>
          <w:tcPr>
            <w:tcW w:w="2324" w:type="dxa"/>
            <w:tcBorders>
              <w:top w:val="single" w:sz="4" w:space="0" w:color="auto"/>
              <w:left w:val="nil"/>
              <w:bottom w:val="single" w:sz="4" w:space="0" w:color="auto"/>
              <w:right w:val="nil"/>
            </w:tcBorders>
            <w:vAlign w:val="center"/>
            <w:hideMark/>
          </w:tcPr>
          <w:p w14:paraId="0C17A6F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i/>
                <w:iCs/>
                <w:szCs w:val="24"/>
              </w:rPr>
              <w:t>Marginal M</w:t>
            </w:r>
          </w:p>
        </w:tc>
        <w:tc>
          <w:tcPr>
            <w:tcW w:w="2305" w:type="dxa"/>
            <w:tcBorders>
              <w:top w:val="single" w:sz="4" w:space="0" w:color="auto"/>
              <w:left w:val="nil"/>
              <w:bottom w:val="single" w:sz="4" w:space="0" w:color="auto"/>
              <w:right w:val="nil"/>
            </w:tcBorders>
            <w:vAlign w:val="center"/>
            <w:hideMark/>
          </w:tcPr>
          <w:p w14:paraId="026C86B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i/>
                <w:iCs/>
                <w:szCs w:val="24"/>
              </w:rPr>
              <w:t>SE</w:t>
            </w:r>
          </w:p>
        </w:tc>
      </w:tr>
      <w:tr w:rsidR="00EE5072" w:rsidRPr="001F64A9" w14:paraId="50EDC3F3" w14:textId="77777777" w:rsidTr="00DE4EA4">
        <w:trPr>
          <w:trHeight w:val="412"/>
        </w:trPr>
        <w:tc>
          <w:tcPr>
            <w:tcW w:w="2333" w:type="dxa"/>
            <w:tcBorders>
              <w:top w:val="single" w:sz="4" w:space="0" w:color="auto"/>
              <w:left w:val="nil"/>
              <w:bottom w:val="nil"/>
              <w:right w:val="nil"/>
            </w:tcBorders>
            <w:vAlign w:val="center"/>
          </w:tcPr>
          <w:p w14:paraId="05868D0E" w14:textId="77777777" w:rsidR="00EE5072" w:rsidRPr="001F64A9" w:rsidRDefault="00EE5072" w:rsidP="00AB3534">
            <w:pPr>
              <w:spacing w:line="360" w:lineRule="auto"/>
              <w:rPr>
                <w:rFonts w:asciiTheme="majorBidi" w:eastAsia="Times New Roman" w:hAnsiTheme="majorBidi" w:cstheme="majorBidi"/>
                <w:szCs w:val="24"/>
              </w:rPr>
            </w:pPr>
          </w:p>
        </w:tc>
        <w:tc>
          <w:tcPr>
            <w:tcW w:w="2335" w:type="dxa"/>
            <w:tcBorders>
              <w:top w:val="single" w:sz="4" w:space="0" w:color="auto"/>
              <w:left w:val="nil"/>
              <w:bottom w:val="nil"/>
              <w:right w:val="nil"/>
            </w:tcBorders>
            <w:vAlign w:val="center"/>
            <w:hideMark/>
          </w:tcPr>
          <w:p w14:paraId="15DDFE5F"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Frame</w:t>
            </w:r>
          </w:p>
        </w:tc>
        <w:tc>
          <w:tcPr>
            <w:tcW w:w="2324" w:type="dxa"/>
            <w:tcBorders>
              <w:top w:val="single" w:sz="4" w:space="0" w:color="auto"/>
              <w:left w:val="nil"/>
              <w:bottom w:val="nil"/>
              <w:right w:val="nil"/>
            </w:tcBorders>
            <w:vAlign w:val="center"/>
            <w:hideMark/>
          </w:tcPr>
          <w:p w14:paraId="0074436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10.36</w:t>
            </w:r>
          </w:p>
        </w:tc>
        <w:tc>
          <w:tcPr>
            <w:tcW w:w="2305" w:type="dxa"/>
            <w:tcBorders>
              <w:top w:val="single" w:sz="4" w:space="0" w:color="auto"/>
              <w:left w:val="nil"/>
              <w:bottom w:val="nil"/>
              <w:right w:val="nil"/>
            </w:tcBorders>
            <w:vAlign w:val="center"/>
            <w:hideMark/>
          </w:tcPr>
          <w:p w14:paraId="074A857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.29</w:t>
            </w:r>
          </w:p>
        </w:tc>
      </w:tr>
      <w:tr w:rsidR="00EE5072" w:rsidRPr="001F64A9" w14:paraId="7AAEE2A2" w14:textId="77777777" w:rsidTr="00DE4EA4">
        <w:trPr>
          <w:trHeight w:val="424"/>
        </w:trPr>
        <w:tc>
          <w:tcPr>
            <w:tcW w:w="2333" w:type="dxa"/>
            <w:tcBorders>
              <w:top w:val="nil"/>
              <w:left w:val="nil"/>
              <w:bottom w:val="nil"/>
              <w:right w:val="nil"/>
            </w:tcBorders>
            <w:vAlign w:val="center"/>
          </w:tcPr>
          <w:p w14:paraId="4C831156" w14:textId="77777777" w:rsidR="00EE5072" w:rsidRPr="001F64A9" w:rsidRDefault="00EE5072" w:rsidP="00AB3534">
            <w:pPr>
              <w:spacing w:line="360" w:lineRule="auto"/>
              <w:rPr>
                <w:rFonts w:asciiTheme="majorBidi" w:eastAsia="Times New Roman" w:hAnsiTheme="majorBidi" w:cstheme="majorBidi"/>
                <w:szCs w:val="24"/>
              </w:rPr>
            </w:pPr>
          </w:p>
        </w:tc>
        <w:tc>
          <w:tcPr>
            <w:tcW w:w="2335" w:type="dxa"/>
            <w:tcBorders>
              <w:top w:val="nil"/>
              <w:left w:val="nil"/>
              <w:bottom w:val="nil"/>
              <w:right w:val="nil"/>
            </w:tcBorders>
            <w:vAlign w:val="center"/>
            <w:hideMark/>
          </w:tcPr>
          <w:p w14:paraId="5B3D007C"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Frame</w:t>
            </w:r>
          </w:p>
        </w:tc>
        <w:tc>
          <w:tcPr>
            <w:tcW w:w="2324" w:type="dxa"/>
            <w:tcBorders>
              <w:top w:val="nil"/>
              <w:left w:val="nil"/>
              <w:bottom w:val="nil"/>
              <w:right w:val="nil"/>
            </w:tcBorders>
            <w:vAlign w:val="center"/>
            <w:hideMark/>
          </w:tcPr>
          <w:p w14:paraId="4E4872A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10.74</w:t>
            </w:r>
          </w:p>
        </w:tc>
        <w:tc>
          <w:tcPr>
            <w:tcW w:w="2305" w:type="dxa"/>
            <w:tcBorders>
              <w:top w:val="nil"/>
              <w:left w:val="nil"/>
              <w:bottom w:val="nil"/>
              <w:right w:val="nil"/>
            </w:tcBorders>
            <w:vAlign w:val="center"/>
            <w:hideMark/>
          </w:tcPr>
          <w:p w14:paraId="4C6285A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.29</w:t>
            </w:r>
          </w:p>
        </w:tc>
      </w:tr>
      <w:tr w:rsidR="00EE5072" w:rsidRPr="001F64A9" w14:paraId="1C41B997" w14:textId="77777777" w:rsidTr="00DE4EA4">
        <w:trPr>
          <w:trHeight w:val="412"/>
        </w:trPr>
        <w:tc>
          <w:tcPr>
            <w:tcW w:w="2333" w:type="dxa"/>
            <w:tcBorders>
              <w:top w:val="nil"/>
              <w:left w:val="nil"/>
              <w:bottom w:val="nil"/>
              <w:right w:val="nil"/>
            </w:tcBorders>
            <w:vAlign w:val="center"/>
          </w:tcPr>
          <w:p w14:paraId="2239682D" w14:textId="77777777" w:rsidR="00EE5072" w:rsidRPr="001F64A9" w:rsidRDefault="00EE5072" w:rsidP="00AB3534">
            <w:pPr>
              <w:spacing w:line="360" w:lineRule="auto"/>
              <w:rPr>
                <w:rFonts w:asciiTheme="majorBidi" w:eastAsia="Times New Roman" w:hAnsiTheme="majorBidi" w:cstheme="majorBidi"/>
                <w:szCs w:val="24"/>
              </w:rPr>
            </w:pPr>
          </w:p>
        </w:tc>
        <w:tc>
          <w:tcPr>
            <w:tcW w:w="2335" w:type="dxa"/>
            <w:tcBorders>
              <w:top w:val="nil"/>
              <w:left w:val="nil"/>
              <w:bottom w:val="nil"/>
              <w:right w:val="nil"/>
            </w:tcBorders>
            <w:vAlign w:val="center"/>
            <w:hideMark/>
          </w:tcPr>
          <w:p w14:paraId="0F5E3BA0"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Educational Video</w:t>
            </w:r>
          </w:p>
        </w:tc>
        <w:tc>
          <w:tcPr>
            <w:tcW w:w="2324" w:type="dxa"/>
            <w:tcBorders>
              <w:top w:val="nil"/>
              <w:left w:val="nil"/>
              <w:bottom w:val="nil"/>
              <w:right w:val="nil"/>
            </w:tcBorders>
            <w:vAlign w:val="center"/>
            <w:hideMark/>
          </w:tcPr>
          <w:p w14:paraId="2D22223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10.91</w:t>
            </w:r>
          </w:p>
        </w:tc>
        <w:tc>
          <w:tcPr>
            <w:tcW w:w="2305" w:type="dxa"/>
            <w:tcBorders>
              <w:top w:val="nil"/>
              <w:left w:val="nil"/>
              <w:bottom w:val="nil"/>
              <w:right w:val="nil"/>
            </w:tcBorders>
            <w:vAlign w:val="center"/>
            <w:hideMark/>
          </w:tcPr>
          <w:p w14:paraId="1187A7E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.30</w:t>
            </w:r>
          </w:p>
        </w:tc>
      </w:tr>
      <w:tr w:rsidR="00EE5072" w:rsidRPr="001F64A9" w14:paraId="092A9538" w14:textId="77777777" w:rsidTr="00DE4EA4">
        <w:trPr>
          <w:trHeight w:val="424"/>
        </w:trPr>
        <w:tc>
          <w:tcPr>
            <w:tcW w:w="2333" w:type="dxa"/>
            <w:tcBorders>
              <w:top w:val="nil"/>
              <w:left w:val="nil"/>
              <w:bottom w:val="single" w:sz="4" w:space="0" w:color="auto"/>
              <w:right w:val="nil"/>
            </w:tcBorders>
            <w:vAlign w:val="center"/>
          </w:tcPr>
          <w:p w14:paraId="207999D1" w14:textId="77777777" w:rsidR="00EE5072" w:rsidRPr="001F64A9" w:rsidRDefault="00EE5072" w:rsidP="00AB3534">
            <w:pPr>
              <w:spacing w:line="360" w:lineRule="auto"/>
              <w:rPr>
                <w:rFonts w:asciiTheme="majorBidi" w:eastAsia="Times New Roman" w:hAnsiTheme="majorBidi" w:cstheme="majorBidi"/>
                <w:szCs w:val="24"/>
              </w:rPr>
            </w:pPr>
          </w:p>
        </w:tc>
        <w:tc>
          <w:tcPr>
            <w:tcW w:w="2335" w:type="dxa"/>
            <w:tcBorders>
              <w:top w:val="nil"/>
              <w:left w:val="nil"/>
              <w:bottom w:val="single" w:sz="4" w:space="0" w:color="auto"/>
              <w:right w:val="nil"/>
            </w:tcBorders>
            <w:vAlign w:val="center"/>
            <w:hideMark/>
          </w:tcPr>
          <w:p w14:paraId="740EB719"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Video</w:t>
            </w:r>
          </w:p>
        </w:tc>
        <w:tc>
          <w:tcPr>
            <w:tcW w:w="2324" w:type="dxa"/>
            <w:tcBorders>
              <w:top w:val="nil"/>
              <w:left w:val="nil"/>
              <w:bottom w:val="single" w:sz="4" w:space="0" w:color="auto"/>
              <w:right w:val="nil"/>
            </w:tcBorders>
            <w:vAlign w:val="center"/>
            <w:hideMark/>
          </w:tcPr>
          <w:p w14:paraId="7393218E"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10.03</w:t>
            </w:r>
          </w:p>
        </w:tc>
        <w:tc>
          <w:tcPr>
            <w:tcW w:w="2305" w:type="dxa"/>
            <w:tcBorders>
              <w:top w:val="nil"/>
              <w:left w:val="nil"/>
              <w:bottom w:val="single" w:sz="4" w:space="0" w:color="auto"/>
              <w:right w:val="nil"/>
            </w:tcBorders>
            <w:vAlign w:val="center"/>
            <w:hideMark/>
          </w:tcPr>
          <w:p w14:paraId="6E7B3EF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.30</w:t>
            </w:r>
          </w:p>
        </w:tc>
      </w:tr>
      <w:tr w:rsidR="00EE5072" w:rsidRPr="001F64A9" w14:paraId="21676E34" w14:textId="77777777" w:rsidTr="00DE4EA4">
        <w:trPr>
          <w:trHeight w:val="412"/>
        </w:trPr>
        <w:tc>
          <w:tcPr>
            <w:tcW w:w="2333" w:type="dxa"/>
            <w:tcBorders>
              <w:top w:val="single" w:sz="4" w:space="0" w:color="auto"/>
              <w:left w:val="nil"/>
              <w:bottom w:val="single" w:sz="4" w:space="0" w:color="auto"/>
              <w:right w:val="nil"/>
            </w:tcBorders>
            <w:vAlign w:val="center"/>
            <w:hideMark/>
          </w:tcPr>
          <w:p w14:paraId="41AB4DF3"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Pre-Post Knowledge</w:t>
            </w:r>
          </w:p>
        </w:tc>
        <w:tc>
          <w:tcPr>
            <w:tcW w:w="2335" w:type="dxa"/>
            <w:tcBorders>
              <w:top w:val="single" w:sz="4" w:space="0" w:color="auto"/>
              <w:left w:val="nil"/>
              <w:bottom w:val="single" w:sz="4" w:space="0" w:color="auto"/>
              <w:right w:val="nil"/>
            </w:tcBorders>
            <w:vAlign w:val="center"/>
            <w:hideMark/>
          </w:tcPr>
          <w:p w14:paraId="63DA3D7D"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Groups</w:t>
            </w:r>
          </w:p>
        </w:tc>
        <w:tc>
          <w:tcPr>
            <w:tcW w:w="2324" w:type="dxa"/>
            <w:tcBorders>
              <w:top w:val="single" w:sz="4" w:space="0" w:color="auto"/>
              <w:left w:val="nil"/>
              <w:bottom w:val="single" w:sz="4" w:space="0" w:color="auto"/>
              <w:right w:val="nil"/>
            </w:tcBorders>
            <w:vAlign w:val="center"/>
            <w:hideMark/>
          </w:tcPr>
          <w:p w14:paraId="4675D8E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i/>
                <w:iCs/>
                <w:szCs w:val="24"/>
              </w:rPr>
              <w:t>M</w:t>
            </w:r>
          </w:p>
        </w:tc>
        <w:tc>
          <w:tcPr>
            <w:tcW w:w="2305" w:type="dxa"/>
            <w:tcBorders>
              <w:top w:val="single" w:sz="4" w:space="0" w:color="auto"/>
              <w:left w:val="nil"/>
              <w:bottom w:val="single" w:sz="4" w:space="0" w:color="auto"/>
              <w:right w:val="nil"/>
            </w:tcBorders>
            <w:vAlign w:val="center"/>
            <w:hideMark/>
          </w:tcPr>
          <w:p w14:paraId="320FC0E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i/>
                <w:iCs/>
                <w:szCs w:val="24"/>
              </w:rPr>
              <w:t>SD</w:t>
            </w:r>
          </w:p>
        </w:tc>
      </w:tr>
      <w:tr w:rsidR="00EE5072" w:rsidRPr="001F64A9" w14:paraId="391B0148" w14:textId="77777777" w:rsidTr="00DE4EA4">
        <w:trPr>
          <w:trHeight w:val="412"/>
        </w:trPr>
        <w:tc>
          <w:tcPr>
            <w:tcW w:w="2333" w:type="dxa"/>
            <w:tcBorders>
              <w:top w:val="single" w:sz="4" w:space="0" w:color="auto"/>
              <w:left w:val="nil"/>
              <w:bottom w:val="nil"/>
              <w:right w:val="nil"/>
            </w:tcBorders>
            <w:vAlign w:val="center"/>
            <w:hideMark/>
          </w:tcPr>
          <w:p w14:paraId="17FB7B0A"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Pre DNR Knowledge</w:t>
            </w:r>
          </w:p>
        </w:tc>
        <w:tc>
          <w:tcPr>
            <w:tcW w:w="2335" w:type="dxa"/>
            <w:tcBorders>
              <w:top w:val="single" w:sz="4" w:space="0" w:color="auto"/>
              <w:left w:val="nil"/>
              <w:bottom w:val="nil"/>
              <w:right w:val="nil"/>
            </w:tcBorders>
            <w:vAlign w:val="center"/>
            <w:hideMark/>
          </w:tcPr>
          <w:p w14:paraId="25ABE050"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Frame</w:t>
            </w:r>
          </w:p>
        </w:tc>
        <w:tc>
          <w:tcPr>
            <w:tcW w:w="2324" w:type="dxa"/>
            <w:tcBorders>
              <w:top w:val="single" w:sz="4" w:space="0" w:color="auto"/>
              <w:left w:val="nil"/>
              <w:bottom w:val="nil"/>
              <w:right w:val="nil"/>
            </w:tcBorders>
            <w:vAlign w:val="center"/>
            <w:hideMark/>
          </w:tcPr>
          <w:p w14:paraId="4DC920F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10.35</w:t>
            </w:r>
          </w:p>
        </w:tc>
        <w:tc>
          <w:tcPr>
            <w:tcW w:w="2305" w:type="dxa"/>
            <w:tcBorders>
              <w:top w:val="single" w:sz="4" w:space="0" w:color="auto"/>
              <w:left w:val="nil"/>
              <w:bottom w:val="nil"/>
              <w:right w:val="nil"/>
            </w:tcBorders>
            <w:vAlign w:val="center"/>
            <w:hideMark/>
          </w:tcPr>
          <w:p w14:paraId="3801D37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3.17</w:t>
            </w:r>
          </w:p>
        </w:tc>
      </w:tr>
      <w:tr w:rsidR="00EE5072" w:rsidRPr="001F64A9" w14:paraId="5CF4ECC1" w14:textId="77777777" w:rsidTr="00DE4EA4">
        <w:trPr>
          <w:trHeight w:val="424"/>
        </w:trPr>
        <w:tc>
          <w:tcPr>
            <w:tcW w:w="2333" w:type="dxa"/>
            <w:tcBorders>
              <w:top w:val="nil"/>
              <w:left w:val="nil"/>
              <w:bottom w:val="nil"/>
              <w:right w:val="nil"/>
            </w:tcBorders>
            <w:vAlign w:val="center"/>
          </w:tcPr>
          <w:p w14:paraId="5C0CFAB3" w14:textId="77777777" w:rsidR="00EE5072" w:rsidRPr="001F64A9" w:rsidRDefault="00EE5072" w:rsidP="00AB3534">
            <w:pPr>
              <w:spacing w:line="360" w:lineRule="auto"/>
              <w:rPr>
                <w:rFonts w:asciiTheme="majorBidi" w:eastAsia="Times New Roman" w:hAnsiTheme="majorBidi" w:cstheme="majorBidi"/>
                <w:szCs w:val="24"/>
              </w:rPr>
            </w:pPr>
          </w:p>
        </w:tc>
        <w:tc>
          <w:tcPr>
            <w:tcW w:w="2335" w:type="dxa"/>
            <w:tcBorders>
              <w:top w:val="nil"/>
              <w:left w:val="nil"/>
              <w:bottom w:val="nil"/>
              <w:right w:val="nil"/>
            </w:tcBorders>
            <w:vAlign w:val="center"/>
            <w:hideMark/>
          </w:tcPr>
          <w:p w14:paraId="78FA932B"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Frame</w:t>
            </w:r>
          </w:p>
        </w:tc>
        <w:tc>
          <w:tcPr>
            <w:tcW w:w="2324" w:type="dxa"/>
            <w:tcBorders>
              <w:top w:val="nil"/>
              <w:left w:val="nil"/>
              <w:bottom w:val="nil"/>
              <w:right w:val="nil"/>
            </w:tcBorders>
            <w:vAlign w:val="center"/>
            <w:hideMark/>
          </w:tcPr>
          <w:p w14:paraId="3FECD94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10.74</w:t>
            </w:r>
          </w:p>
        </w:tc>
        <w:tc>
          <w:tcPr>
            <w:tcW w:w="2305" w:type="dxa"/>
            <w:tcBorders>
              <w:top w:val="nil"/>
              <w:left w:val="nil"/>
              <w:bottom w:val="nil"/>
              <w:right w:val="nil"/>
            </w:tcBorders>
            <w:vAlign w:val="center"/>
            <w:hideMark/>
          </w:tcPr>
          <w:p w14:paraId="7C58279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2.79</w:t>
            </w:r>
          </w:p>
        </w:tc>
      </w:tr>
      <w:tr w:rsidR="00EE5072" w:rsidRPr="001F64A9" w14:paraId="2139E169" w14:textId="77777777" w:rsidTr="00DE4EA4">
        <w:trPr>
          <w:trHeight w:val="412"/>
        </w:trPr>
        <w:tc>
          <w:tcPr>
            <w:tcW w:w="2333" w:type="dxa"/>
            <w:tcBorders>
              <w:top w:val="nil"/>
              <w:left w:val="nil"/>
              <w:bottom w:val="nil"/>
              <w:right w:val="nil"/>
            </w:tcBorders>
            <w:vAlign w:val="center"/>
          </w:tcPr>
          <w:p w14:paraId="3B2B9AD4" w14:textId="77777777" w:rsidR="00EE5072" w:rsidRPr="001F64A9" w:rsidRDefault="00EE5072" w:rsidP="00AB3534">
            <w:pPr>
              <w:spacing w:line="360" w:lineRule="auto"/>
              <w:rPr>
                <w:rFonts w:asciiTheme="majorBidi" w:eastAsia="Times New Roman" w:hAnsiTheme="majorBidi" w:cstheme="majorBidi"/>
                <w:szCs w:val="24"/>
              </w:rPr>
            </w:pPr>
          </w:p>
        </w:tc>
        <w:tc>
          <w:tcPr>
            <w:tcW w:w="2335" w:type="dxa"/>
            <w:tcBorders>
              <w:top w:val="nil"/>
              <w:left w:val="nil"/>
              <w:bottom w:val="nil"/>
              <w:right w:val="nil"/>
            </w:tcBorders>
            <w:vAlign w:val="center"/>
            <w:hideMark/>
          </w:tcPr>
          <w:p w14:paraId="12DF9461"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Educational Video</w:t>
            </w:r>
          </w:p>
        </w:tc>
        <w:tc>
          <w:tcPr>
            <w:tcW w:w="2324" w:type="dxa"/>
            <w:tcBorders>
              <w:top w:val="nil"/>
              <w:left w:val="nil"/>
              <w:bottom w:val="nil"/>
              <w:right w:val="nil"/>
            </w:tcBorders>
            <w:vAlign w:val="center"/>
            <w:hideMark/>
          </w:tcPr>
          <w:p w14:paraId="264C0D2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10.02</w:t>
            </w:r>
          </w:p>
        </w:tc>
        <w:tc>
          <w:tcPr>
            <w:tcW w:w="2305" w:type="dxa"/>
            <w:tcBorders>
              <w:top w:val="nil"/>
              <w:left w:val="nil"/>
              <w:bottom w:val="nil"/>
              <w:right w:val="nil"/>
            </w:tcBorders>
            <w:vAlign w:val="center"/>
            <w:hideMark/>
          </w:tcPr>
          <w:p w14:paraId="4EA168A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3.23</w:t>
            </w:r>
          </w:p>
        </w:tc>
      </w:tr>
      <w:tr w:rsidR="00EE5072" w:rsidRPr="001F64A9" w14:paraId="490ED6A7" w14:textId="77777777" w:rsidTr="00DE4EA4">
        <w:trPr>
          <w:trHeight w:val="424"/>
        </w:trPr>
        <w:tc>
          <w:tcPr>
            <w:tcW w:w="2333" w:type="dxa"/>
            <w:tcBorders>
              <w:top w:val="nil"/>
              <w:left w:val="nil"/>
              <w:bottom w:val="nil"/>
              <w:right w:val="nil"/>
            </w:tcBorders>
            <w:vAlign w:val="center"/>
          </w:tcPr>
          <w:p w14:paraId="448938D5" w14:textId="77777777" w:rsidR="00EE5072" w:rsidRPr="001F64A9" w:rsidRDefault="00EE5072" w:rsidP="00AB3534">
            <w:pPr>
              <w:spacing w:line="360" w:lineRule="auto"/>
              <w:rPr>
                <w:rFonts w:asciiTheme="majorBidi" w:eastAsia="Times New Roman" w:hAnsiTheme="majorBidi" w:cstheme="majorBidi"/>
                <w:szCs w:val="24"/>
              </w:rPr>
            </w:pPr>
          </w:p>
        </w:tc>
        <w:tc>
          <w:tcPr>
            <w:tcW w:w="2335" w:type="dxa"/>
            <w:tcBorders>
              <w:top w:val="nil"/>
              <w:left w:val="nil"/>
              <w:bottom w:val="nil"/>
              <w:right w:val="nil"/>
            </w:tcBorders>
            <w:vAlign w:val="center"/>
            <w:hideMark/>
          </w:tcPr>
          <w:p w14:paraId="5F562C5A"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Video</w:t>
            </w:r>
          </w:p>
        </w:tc>
        <w:tc>
          <w:tcPr>
            <w:tcW w:w="2324" w:type="dxa"/>
            <w:tcBorders>
              <w:top w:val="nil"/>
              <w:left w:val="nil"/>
              <w:bottom w:val="nil"/>
              <w:right w:val="nil"/>
            </w:tcBorders>
            <w:vAlign w:val="center"/>
            <w:hideMark/>
          </w:tcPr>
          <w:p w14:paraId="07F064E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10.38</w:t>
            </w:r>
          </w:p>
        </w:tc>
        <w:tc>
          <w:tcPr>
            <w:tcW w:w="2305" w:type="dxa"/>
            <w:tcBorders>
              <w:top w:val="nil"/>
              <w:left w:val="nil"/>
              <w:bottom w:val="nil"/>
              <w:right w:val="nil"/>
            </w:tcBorders>
            <w:vAlign w:val="center"/>
            <w:hideMark/>
          </w:tcPr>
          <w:p w14:paraId="2C5B63C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2.97</w:t>
            </w:r>
          </w:p>
        </w:tc>
      </w:tr>
      <w:tr w:rsidR="00EE5072" w:rsidRPr="001F64A9" w14:paraId="359FB7CE" w14:textId="77777777" w:rsidTr="00DE4EA4">
        <w:trPr>
          <w:trHeight w:val="836"/>
        </w:trPr>
        <w:tc>
          <w:tcPr>
            <w:tcW w:w="2333" w:type="dxa"/>
            <w:tcBorders>
              <w:top w:val="nil"/>
              <w:left w:val="nil"/>
              <w:bottom w:val="nil"/>
              <w:right w:val="nil"/>
            </w:tcBorders>
            <w:vAlign w:val="center"/>
            <w:hideMark/>
          </w:tcPr>
          <w:p w14:paraId="594DA1F4"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Post DNR Knowledge</w:t>
            </w:r>
          </w:p>
        </w:tc>
        <w:tc>
          <w:tcPr>
            <w:tcW w:w="2335" w:type="dxa"/>
            <w:tcBorders>
              <w:top w:val="nil"/>
              <w:left w:val="nil"/>
              <w:bottom w:val="nil"/>
              <w:right w:val="nil"/>
            </w:tcBorders>
            <w:vAlign w:val="center"/>
            <w:hideMark/>
          </w:tcPr>
          <w:p w14:paraId="124AECF4"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Frame</w:t>
            </w:r>
          </w:p>
        </w:tc>
        <w:tc>
          <w:tcPr>
            <w:tcW w:w="2324" w:type="dxa"/>
            <w:tcBorders>
              <w:top w:val="nil"/>
              <w:left w:val="nil"/>
              <w:bottom w:val="nil"/>
              <w:right w:val="nil"/>
            </w:tcBorders>
            <w:vAlign w:val="center"/>
            <w:hideMark/>
          </w:tcPr>
          <w:p w14:paraId="5F7101E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11.47</w:t>
            </w:r>
          </w:p>
        </w:tc>
        <w:tc>
          <w:tcPr>
            <w:tcW w:w="2305" w:type="dxa"/>
            <w:tcBorders>
              <w:top w:val="nil"/>
              <w:left w:val="nil"/>
              <w:bottom w:val="nil"/>
              <w:right w:val="nil"/>
            </w:tcBorders>
            <w:vAlign w:val="center"/>
            <w:hideMark/>
          </w:tcPr>
          <w:p w14:paraId="0D634D7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2.64</w:t>
            </w:r>
          </w:p>
        </w:tc>
      </w:tr>
      <w:tr w:rsidR="00EE5072" w:rsidRPr="001F64A9" w14:paraId="73B6A805" w14:textId="77777777" w:rsidTr="00DE4EA4">
        <w:trPr>
          <w:trHeight w:val="412"/>
        </w:trPr>
        <w:tc>
          <w:tcPr>
            <w:tcW w:w="2333" w:type="dxa"/>
            <w:tcBorders>
              <w:top w:val="nil"/>
              <w:left w:val="nil"/>
              <w:bottom w:val="nil"/>
              <w:right w:val="nil"/>
            </w:tcBorders>
            <w:vAlign w:val="center"/>
          </w:tcPr>
          <w:p w14:paraId="4B5B310D" w14:textId="77777777" w:rsidR="00EE5072" w:rsidRPr="001F64A9" w:rsidRDefault="00EE5072" w:rsidP="00AB3534">
            <w:pPr>
              <w:spacing w:line="360" w:lineRule="auto"/>
              <w:rPr>
                <w:rFonts w:asciiTheme="majorBidi" w:eastAsia="Times New Roman" w:hAnsiTheme="majorBidi" w:cstheme="majorBidi"/>
                <w:szCs w:val="24"/>
              </w:rPr>
            </w:pPr>
          </w:p>
        </w:tc>
        <w:tc>
          <w:tcPr>
            <w:tcW w:w="2335" w:type="dxa"/>
            <w:tcBorders>
              <w:top w:val="nil"/>
              <w:left w:val="nil"/>
              <w:bottom w:val="nil"/>
              <w:right w:val="nil"/>
            </w:tcBorders>
            <w:vAlign w:val="center"/>
            <w:hideMark/>
          </w:tcPr>
          <w:p w14:paraId="0475AA0D"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Frame</w:t>
            </w:r>
          </w:p>
        </w:tc>
        <w:tc>
          <w:tcPr>
            <w:tcW w:w="2324" w:type="dxa"/>
            <w:tcBorders>
              <w:top w:val="nil"/>
              <w:left w:val="nil"/>
              <w:bottom w:val="nil"/>
              <w:right w:val="nil"/>
            </w:tcBorders>
            <w:vAlign w:val="center"/>
            <w:hideMark/>
          </w:tcPr>
          <w:p w14:paraId="31095E8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10.74</w:t>
            </w:r>
          </w:p>
        </w:tc>
        <w:tc>
          <w:tcPr>
            <w:tcW w:w="2305" w:type="dxa"/>
            <w:tcBorders>
              <w:top w:val="nil"/>
              <w:left w:val="nil"/>
              <w:bottom w:val="nil"/>
              <w:right w:val="nil"/>
            </w:tcBorders>
            <w:vAlign w:val="center"/>
            <w:hideMark/>
          </w:tcPr>
          <w:p w14:paraId="4F7C6EE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2.92</w:t>
            </w:r>
          </w:p>
        </w:tc>
      </w:tr>
      <w:tr w:rsidR="00EE5072" w:rsidRPr="001F64A9" w14:paraId="3BC3BAB7" w14:textId="77777777" w:rsidTr="00DE4EA4">
        <w:trPr>
          <w:trHeight w:val="424"/>
        </w:trPr>
        <w:tc>
          <w:tcPr>
            <w:tcW w:w="2333" w:type="dxa"/>
            <w:tcBorders>
              <w:top w:val="nil"/>
              <w:left w:val="nil"/>
              <w:bottom w:val="nil"/>
              <w:right w:val="nil"/>
            </w:tcBorders>
            <w:vAlign w:val="center"/>
          </w:tcPr>
          <w:p w14:paraId="4158B271" w14:textId="77777777" w:rsidR="00EE5072" w:rsidRPr="001F64A9" w:rsidRDefault="00EE5072" w:rsidP="00AB3534">
            <w:pPr>
              <w:spacing w:line="360" w:lineRule="auto"/>
              <w:rPr>
                <w:rFonts w:asciiTheme="majorBidi" w:eastAsia="Times New Roman" w:hAnsiTheme="majorBidi" w:cstheme="majorBidi"/>
                <w:szCs w:val="24"/>
              </w:rPr>
            </w:pPr>
          </w:p>
        </w:tc>
        <w:tc>
          <w:tcPr>
            <w:tcW w:w="2335" w:type="dxa"/>
            <w:tcBorders>
              <w:top w:val="nil"/>
              <w:left w:val="nil"/>
              <w:bottom w:val="nil"/>
              <w:right w:val="nil"/>
            </w:tcBorders>
            <w:vAlign w:val="center"/>
            <w:hideMark/>
          </w:tcPr>
          <w:p w14:paraId="02C25ED0"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Educational Video</w:t>
            </w:r>
          </w:p>
        </w:tc>
        <w:tc>
          <w:tcPr>
            <w:tcW w:w="2324" w:type="dxa"/>
            <w:tcBorders>
              <w:top w:val="nil"/>
              <w:left w:val="nil"/>
              <w:bottom w:val="nil"/>
              <w:right w:val="nil"/>
            </w:tcBorders>
            <w:vAlign w:val="center"/>
            <w:hideMark/>
          </w:tcPr>
          <w:p w14:paraId="75BC092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10.05</w:t>
            </w:r>
          </w:p>
        </w:tc>
        <w:tc>
          <w:tcPr>
            <w:tcW w:w="2305" w:type="dxa"/>
            <w:tcBorders>
              <w:top w:val="nil"/>
              <w:left w:val="nil"/>
              <w:bottom w:val="nil"/>
              <w:right w:val="nil"/>
            </w:tcBorders>
            <w:vAlign w:val="center"/>
            <w:hideMark/>
          </w:tcPr>
          <w:p w14:paraId="49B83B3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3.33</w:t>
            </w:r>
          </w:p>
        </w:tc>
      </w:tr>
      <w:tr w:rsidR="00EE5072" w:rsidRPr="001F64A9" w14:paraId="19EB1047" w14:textId="77777777" w:rsidTr="00DE4EA4">
        <w:trPr>
          <w:trHeight w:val="412"/>
        </w:trPr>
        <w:tc>
          <w:tcPr>
            <w:tcW w:w="2333" w:type="dxa"/>
            <w:tcBorders>
              <w:top w:val="nil"/>
              <w:left w:val="nil"/>
              <w:bottom w:val="single" w:sz="4" w:space="0" w:color="auto"/>
              <w:right w:val="nil"/>
            </w:tcBorders>
            <w:vAlign w:val="center"/>
          </w:tcPr>
          <w:p w14:paraId="5EDED83E" w14:textId="77777777" w:rsidR="00EE5072" w:rsidRPr="001F64A9" w:rsidRDefault="00EE5072" w:rsidP="00AB3534">
            <w:pPr>
              <w:spacing w:line="360" w:lineRule="auto"/>
              <w:rPr>
                <w:rFonts w:asciiTheme="majorBidi" w:eastAsia="Times New Roman" w:hAnsiTheme="majorBidi" w:cstheme="majorBidi"/>
                <w:szCs w:val="24"/>
              </w:rPr>
            </w:pPr>
          </w:p>
        </w:tc>
        <w:tc>
          <w:tcPr>
            <w:tcW w:w="2335" w:type="dxa"/>
            <w:tcBorders>
              <w:top w:val="nil"/>
              <w:left w:val="nil"/>
              <w:bottom w:val="single" w:sz="4" w:space="0" w:color="auto"/>
              <w:right w:val="nil"/>
            </w:tcBorders>
            <w:vAlign w:val="center"/>
            <w:hideMark/>
          </w:tcPr>
          <w:p w14:paraId="261AB398"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Video</w:t>
            </w:r>
          </w:p>
        </w:tc>
        <w:tc>
          <w:tcPr>
            <w:tcW w:w="2324" w:type="dxa"/>
            <w:tcBorders>
              <w:top w:val="nil"/>
              <w:left w:val="nil"/>
              <w:bottom w:val="single" w:sz="4" w:space="0" w:color="auto"/>
              <w:right w:val="nil"/>
            </w:tcBorders>
            <w:vAlign w:val="center"/>
            <w:hideMark/>
          </w:tcPr>
          <w:p w14:paraId="6968855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10.34</w:t>
            </w:r>
          </w:p>
        </w:tc>
        <w:tc>
          <w:tcPr>
            <w:tcW w:w="2305" w:type="dxa"/>
            <w:tcBorders>
              <w:top w:val="nil"/>
              <w:left w:val="nil"/>
              <w:bottom w:val="single" w:sz="4" w:space="0" w:color="auto"/>
              <w:right w:val="nil"/>
            </w:tcBorders>
            <w:vAlign w:val="center"/>
            <w:hideMark/>
          </w:tcPr>
          <w:p w14:paraId="69D134F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3.02</w:t>
            </w:r>
          </w:p>
        </w:tc>
      </w:tr>
    </w:tbl>
    <w:p w14:paraId="69DC2E03" w14:textId="77777777" w:rsidR="00EE5072" w:rsidRPr="001F64A9" w:rsidRDefault="00EE5072" w:rsidP="00EE5072">
      <w:pPr>
        <w:spacing w:line="480" w:lineRule="auto"/>
        <w:jc w:val="both"/>
        <w:rPr>
          <w:rFonts w:asciiTheme="majorBidi" w:eastAsia="Times New Roman" w:hAnsiTheme="majorBidi" w:cstheme="majorBidi"/>
          <w:sz w:val="24"/>
          <w:szCs w:val="24"/>
        </w:rPr>
      </w:pPr>
    </w:p>
    <w:p w14:paraId="40425715" w14:textId="3CE3AC7F" w:rsidR="00EE5072" w:rsidRPr="001F64A9" w:rsidRDefault="00EE5072">
      <w:pPr>
        <w:spacing w:line="259" w:lineRule="auto"/>
        <w:rPr>
          <w:rFonts w:asciiTheme="majorBidi" w:hAnsiTheme="majorBidi" w:cstheme="majorBidi"/>
        </w:rPr>
      </w:pPr>
      <w:r w:rsidRPr="001F64A9">
        <w:rPr>
          <w:rFonts w:asciiTheme="majorBidi" w:hAnsiTheme="majorBidi" w:cstheme="majorBidi"/>
        </w:rPr>
        <w:br w:type="page"/>
      </w:r>
    </w:p>
    <w:p w14:paraId="31729CF3" w14:textId="77777777" w:rsidR="00EE5072" w:rsidRPr="001F64A9" w:rsidRDefault="00EE5072" w:rsidP="00EE5072">
      <w:pPr>
        <w:spacing w:line="480" w:lineRule="auto"/>
        <w:jc w:val="both"/>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Table 12</w:t>
      </w:r>
    </w:p>
    <w:p w14:paraId="14FBDBD0" w14:textId="77777777" w:rsidR="00EE5072" w:rsidRPr="001F64A9" w:rsidRDefault="00EE5072" w:rsidP="00EE5072">
      <w:pPr>
        <w:spacing w:line="480" w:lineRule="auto"/>
        <w:jc w:val="both"/>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Turkey Post-Hoc Comparison for Pre-Post DNR Knowledge in Experiment 2</w:t>
      </w:r>
    </w:p>
    <w:tbl>
      <w:tblPr>
        <w:tblStyle w:val="TableGrid"/>
        <w:tblW w:w="4960" w:type="pct"/>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2827"/>
        <w:gridCol w:w="2944"/>
        <w:gridCol w:w="1191"/>
        <w:gridCol w:w="643"/>
        <w:gridCol w:w="891"/>
        <w:gridCol w:w="789"/>
      </w:tblGrid>
      <w:tr w:rsidR="00EE5072" w:rsidRPr="001F64A9" w14:paraId="48247164" w14:textId="77777777" w:rsidTr="00DE4EA4">
        <w:trPr>
          <w:trHeight w:val="599"/>
        </w:trPr>
        <w:tc>
          <w:tcPr>
            <w:tcW w:w="3107" w:type="pct"/>
            <w:gridSpan w:val="2"/>
            <w:tcBorders>
              <w:top w:val="single" w:sz="4" w:space="0" w:color="auto"/>
              <w:left w:val="nil"/>
              <w:bottom w:val="single" w:sz="4" w:space="0" w:color="auto"/>
              <w:right w:val="nil"/>
            </w:tcBorders>
            <w:vAlign w:val="center"/>
            <w:hideMark/>
          </w:tcPr>
          <w:p w14:paraId="1D2C839F" w14:textId="77777777" w:rsidR="00EE5072" w:rsidRPr="001F64A9" w:rsidRDefault="00EE5072" w:rsidP="00AB3534">
            <w:pPr>
              <w:spacing w:line="480" w:lineRule="auto"/>
              <w:rPr>
                <w:rFonts w:asciiTheme="majorBidi" w:eastAsia="Times New Roman" w:hAnsiTheme="majorBidi" w:cstheme="majorBidi"/>
                <w:szCs w:val="24"/>
              </w:rPr>
            </w:pPr>
            <w:r w:rsidRPr="001F64A9">
              <w:rPr>
                <w:rFonts w:asciiTheme="majorBidi" w:eastAsia="Times New Roman" w:hAnsiTheme="majorBidi" w:cstheme="majorBidi"/>
                <w:szCs w:val="24"/>
              </w:rPr>
              <w:t>Pre-Post DNR Knowledge</w:t>
            </w:r>
          </w:p>
        </w:tc>
        <w:tc>
          <w:tcPr>
            <w:tcW w:w="641" w:type="pct"/>
            <w:tcBorders>
              <w:top w:val="single" w:sz="4" w:space="0" w:color="auto"/>
              <w:left w:val="nil"/>
              <w:bottom w:val="single" w:sz="4" w:space="0" w:color="auto"/>
              <w:right w:val="nil"/>
            </w:tcBorders>
            <w:hideMark/>
          </w:tcPr>
          <w:p w14:paraId="4FC2220F" w14:textId="77777777" w:rsidR="00EE5072" w:rsidRPr="001F64A9" w:rsidRDefault="00EE5072" w:rsidP="00AB3534">
            <w:pPr>
              <w:spacing w:line="48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MD</w:t>
            </w:r>
          </w:p>
        </w:tc>
        <w:tc>
          <w:tcPr>
            <w:tcW w:w="346" w:type="pct"/>
            <w:tcBorders>
              <w:top w:val="single" w:sz="4" w:space="0" w:color="auto"/>
              <w:left w:val="nil"/>
              <w:bottom w:val="single" w:sz="4" w:space="0" w:color="auto"/>
              <w:right w:val="nil"/>
            </w:tcBorders>
            <w:hideMark/>
          </w:tcPr>
          <w:p w14:paraId="65A1753C" w14:textId="77777777" w:rsidR="00EE5072" w:rsidRPr="001F64A9" w:rsidRDefault="00EE5072" w:rsidP="00AB3534">
            <w:pPr>
              <w:spacing w:line="48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SE</w:t>
            </w:r>
          </w:p>
        </w:tc>
        <w:tc>
          <w:tcPr>
            <w:tcW w:w="480" w:type="pct"/>
            <w:tcBorders>
              <w:top w:val="single" w:sz="4" w:space="0" w:color="auto"/>
              <w:left w:val="nil"/>
              <w:bottom w:val="single" w:sz="4" w:space="0" w:color="auto"/>
              <w:right w:val="nil"/>
            </w:tcBorders>
            <w:hideMark/>
          </w:tcPr>
          <w:p w14:paraId="7E1B6C30" w14:textId="77777777" w:rsidR="00EE5072" w:rsidRPr="001F64A9" w:rsidRDefault="00EE5072" w:rsidP="00AB3534">
            <w:pPr>
              <w:spacing w:line="48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t</w:t>
            </w:r>
          </w:p>
        </w:tc>
        <w:tc>
          <w:tcPr>
            <w:tcW w:w="425" w:type="pct"/>
            <w:tcBorders>
              <w:top w:val="single" w:sz="4" w:space="0" w:color="auto"/>
              <w:left w:val="nil"/>
              <w:bottom w:val="single" w:sz="4" w:space="0" w:color="auto"/>
              <w:right w:val="nil"/>
            </w:tcBorders>
            <w:hideMark/>
          </w:tcPr>
          <w:p w14:paraId="7D127521" w14:textId="77777777" w:rsidR="00EE5072" w:rsidRPr="001F64A9" w:rsidRDefault="00EE5072" w:rsidP="00AB3534">
            <w:pPr>
              <w:spacing w:line="48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p</w:t>
            </w:r>
          </w:p>
        </w:tc>
      </w:tr>
      <w:tr w:rsidR="00EE5072" w:rsidRPr="001F64A9" w14:paraId="6AE299A0" w14:textId="77777777" w:rsidTr="00DE4EA4">
        <w:trPr>
          <w:trHeight w:val="586"/>
        </w:trPr>
        <w:tc>
          <w:tcPr>
            <w:tcW w:w="1522" w:type="pct"/>
            <w:tcBorders>
              <w:top w:val="single" w:sz="4" w:space="0" w:color="auto"/>
              <w:left w:val="nil"/>
              <w:bottom w:val="single" w:sz="4" w:space="0" w:color="auto"/>
              <w:right w:val="nil"/>
            </w:tcBorders>
            <w:hideMark/>
          </w:tcPr>
          <w:p w14:paraId="391EF3A7" w14:textId="77777777" w:rsidR="00EE5072" w:rsidRPr="001F64A9" w:rsidRDefault="00EE5072" w:rsidP="00AB3534">
            <w:pPr>
              <w:spacing w:line="480" w:lineRule="auto"/>
              <w:rPr>
                <w:rFonts w:asciiTheme="majorBidi" w:eastAsia="Times New Roman" w:hAnsiTheme="majorBidi" w:cstheme="majorBidi"/>
                <w:szCs w:val="24"/>
              </w:rPr>
            </w:pPr>
            <w:r w:rsidRPr="001F64A9">
              <w:rPr>
                <w:rFonts w:asciiTheme="majorBidi" w:eastAsia="Times New Roman" w:hAnsiTheme="majorBidi" w:cstheme="majorBidi"/>
                <w:szCs w:val="24"/>
              </w:rPr>
              <w:t>Pre DNR Knowledge</w:t>
            </w:r>
          </w:p>
        </w:tc>
        <w:tc>
          <w:tcPr>
            <w:tcW w:w="1585" w:type="pct"/>
            <w:tcBorders>
              <w:top w:val="single" w:sz="4" w:space="0" w:color="auto"/>
              <w:left w:val="nil"/>
              <w:bottom w:val="single" w:sz="4" w:space="0" w:color="auto"/>
              <w:right w:val="nil"/>
            </w:tcBorders>
            <w:hideMark/>
          </w:tcPr>
          <w:p w14:paraId="73761DD7" w14:textId="77777777" w:rsidR="00EE5072" w:rsidRPr="001F64A9" w:rsidRDefault="00EE5072" w:rsidP="00AB3534">
            <w:pPr>
              <w:spacing w:line="480" w:lineRule="auto"/>
              <w:rPr>
                <w:rFonts w:asciiTheme="majorBidi" w:eastAsia="Times New Roman" w:hAnsiTheme="majorBidi" w:cstheme="majorBidi"/>
                <w:szCs w:val="24"/>
              </w:rPr>
            </w:pPr>
            <w:r w:rsidRPr="001F64A9">
              <w:rPr>
                <w:rFonts w:asciiTheme="majorBidi" w:eastAsia="Times New Roman" w:hAnsiTheme="majorBidi" w:cstheme="majorBidi"/>
                <w:szCs w:val="24"/>
              </w:rPr>
              <w:t>Post DNR Knowledge</w:t>
            </w:r>
          </w:p>
        </w:tc>
        <w:tc>
          <w:tcPr>
            <w:tcW w:w="641" w:type="pct"/>
            <w:tcBorders>
              <w:top w:val="single" w:sz="4" w:space="0" w:color="auto"/>
              <w:left w:val="nil"/>
              <w:bottom w:val="single" w:sz="4" w:space="0" w:color="auto"/>
              <w:right w:val="nil"/>
            </w:tcBorders>
            <w:hideMark/>
          </w:tcPr>
          <w:p w14:paraId="1563A896" w14:textId="77777777" w:rsidR="00EE5072" w:rsidRPr="001F64A9" w:rsidRDefault="00EE5072" w:rsidP="00AB3534">
            <w:pPr>
              <w:spacing w:line="48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-.28***</w:t>
            </w:r>
          </w:p>
        </w:tc>
        <w:tc>
          <w:tcPr>
            <w:tcW w:w="346" w:type="pct"/>
            <w:tcBorders>
              <w:top w:val="single" w:sz="4" w:space="0" w:color="auto"/>
              <w:left w:val="nil"/>
              <w:bottom w:val="single" w:sz="4" w:space="0" w:color="auto"/>
              <w:right w:val="nil"/>
            </w:tcBorders>
            <w:hideMark/>
          </w:tcPr>
          <w:p w14:paraId="2B473020" w14:textId="77777777" w:rsidR="00EE5072" w:rsidRPr="001F64A9" w:rsidRDefault="00EE5072" w:rsidP="00AB3534">
            <w:pPr>
              <w:spacing w:line="48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.09</w:t>
            </w:r>
          </w:p>
        </w:tc>
        <w:tc>
          <w:tcPr>
            <w:tcW w:w="480" w:type="pct"/>
            <w:tcBorders>
              <w:top w:val="single" w:sz="4" w:space="0" w:color="auto"/>
              <w:left w:val="nil"/>
              <w:bottom w:val="single" w:sz="4" w:space="0" w:color="auto"/>
              <w:right w:val="nil"/>
            </w:tcBorders>
            <w:hideMark/>
          </w:tcPr>
          <w:p w14:paraId="650E06DA" w14:textId="77777777" w:rsidR="00EE5072" w:rsidRPr="001F64A9" w:rsidRDefault="00EE5072" w:rsidP="00AB3534">
            <w:pPr>
              <w:spacing w:line="48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-3.04</w:t>
            </w:r>
          </w:p>
        </w:tc>
        <w:tc>
          <w:tcPr>
            <w:tcW w:w="425" w:type="pct"/>
            <w:tcBorders>
              <w:top w:val="single" w:sz="4" w:space="0" w:color="auto"/>
              <w:left w:val="nil"/>
              <w:bottom w:val="single" w:sz="4" w:space="0" w:color="auto"/>
              <w:right w:val="nil"/>
            </w:tcBorders>
            <w:hideMark/>
          </w:tcPr>
          <w:p w14:paraId="6629C11E" w14:textId="77777777" w:rsidR="00EE5072" w:rsidRPr="001F64A9" w:rsidRDefault="00EE5072" w:rsidP="00AB3534">
            <w:pPr>
              <w:spacing w:line="48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.003</w:t>
            </w:r>
          </w:p>
        </w:tc>
      </w:tr>
    </w:tbl>
    <w:p w14:paraId="055D548A" w14:textId="2BB1664E" w:rsidR="00EE5072" w:rsidRPr="001F64A9" w:rsidRDefault="00EE5072">
      <w:pPr>
        <w:rPr>
          <w:rFonts w:asciiTheme="majorBidi" w:eastAsia="Times New Roman" w:hAnsiTheme="majorBidi" w:cstheme="majorBidi"/>
          <w:bCs/>
          <w:sz w:val="20"/>
          <w:szCs w:val="20"/>
        </w:rPr>
      </w:pPr>
      <w:r w:rsidRPr="001F64A9">
        <w:rPr>
          <w:rFonts w:asciiTheme="majorBidi" w:hAnsiTheme="majorBidi" w:cstheme="majorBidi"/>
          <w:i/>
          <w:iCs/>
          <w:sz w:val="20"/>
          <w:szCs w:val="20"/>
        </w:rPr>
        <w:t xml:space="preserve">Note. </w:t>
      </w:r>
      <w:r w:rsidRPr="001F64A9">
        <w:rPr>
          <w:rFonts w:asciiTheme="majorBidi" w:eastAsia="Times New Roman" w:hAnsiTheme="majorBidi" w:cstheme="majorBidi"/>
          <w:bCs/>
          <w:sz w:val="20"/>
          <w:szCs w:val="20"/>
        </w:rPr>
        <w:t>**</w:t>
      </w:r>
      <w:r w:rsidRPr="001F64A9">
        <w:rPr>
          <w:rFonts w:asciiTheme="majorBidi" w:eastAsia="Times New Roman" w:hAnsiTheme="majorBidi" w:cstheme="majorBidi"/>
          <w:bCs/>
          <w:i/>
          <w:iCs/>
          <w:sz w:val="20"/>
          <w:szCs w:val="20"/>
        </w:rPr>
        <w:t>p</w:t>
      </w:r>
      <w:r w:rsidRPr="001F64A9">
        <w:rPr>
          <w:rFonts w:asciiTheme="majorBidi" w:eastAsia="Times New Roman" w:hAnsiTheme="majorBidi" w:cstheme="majorBidi"/>
          <w:bCs/>
          <w:sz w:val="20"/>
          <w:szCs w:val="20"/>
        </w:rPr>
        <w:t xml:space="preserve"> &lt; .01</w:t>
      </w:r>
      <w:r w:rsidRPr="001F64A9">
        <w:rPr>
          <w:rFonts w:asciiTheme="majorBidi" w:eastAsia="Times New Roman" w:hAnsiTheme="majorBidi" w:cstheme="majorBidi"/>
          <w:bCs/>
          <w:sz w:val="20"/>
          <w:szCs w:val="20"/>
        </w:rPr>
        <w:t>.</w:t>
      </w:r>
    </w:p>
    <w:p w14:paraId="75B5232D" w14:textId="4113642B" w:rsidR="00EE5072" w:rsidRPr="001F64A9" w:rsidRDefault="00EE5072">
      <w:pPr>
        <w:spacing w:line="259" w:lineRule="auto"/>
        <w:rPr>
          <w:rFonts w:asciiTheme="majorBidi" w:eastAsia="Times New Roman" w:hAnsiTheme="majorBidi" w:cstheme="majorBidi"/>
          <w:bCs/>
          <w:sz w:val="20"/>
          <w:szCs w:val="20"/>
        </w:rPr>
      </w:pPr>
      <w:r w:rsidRPr="001F64A9">
        <w:rPr>
          <w:rFonts w:asciiTheme="majorBidi" w:eastAsia="Times New Roman" w:hAnsiTheme="majorBidi" w:cstheme="majorBidi"/>
          <w:bCs/>
          <w:sz w:val="20"/>
          <w:szCs w:val="20"/>
        </w:rPr>
        <w:br w:type="page"/>
      </w:r>
    </w:p>
    <w:p w14:paraId="7EAB3499" w14:textId="77777777" w:rsidR="00EE5072" w:rsidRPr="001F64A9" w:rsidRDefault="00EE5072" w:rsidP="00EE5072">
      <w:pPr>
        <w:spacing w:line="480" w:lineRule="auto"/>
        <w:jc w:val="both"/>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Table 13</w:t>
      </w:r>
    </w:p>
    <w:p w14:paraId="090DC2E1" w14:textId="77777777" w:rsidR="00EE5072" w:rsidRPr="001F64A9" w:rsidRDefault="00EE5072" w:rsidP="00EE5072">
      <w:pPr>
        <w:spacing w:line="480" w:lineRule="auto"/>
        <w:jc w:val="both"/>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Turkey Post-Hoc Comparisons for Groups*Pre-Post DNR Knowledge in Experiment 2</w:t>
      </w:r>
    </w:p>
    <w:tbl>
      <w:tblPr>
        <w:tblStyle w:val="TableGrid"/>
        <w:tblW w:w="5012"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8"/>
        <w:gridCol w:w="3139"/>
        <w:gridCol w:w="1137"/>
        <w:gridCol w:w="542"/>
        <w:gridCol w:w="754"/>
        <w:gridCol w:w="792"/>
      </w:tblGrid>
      <w:tr w:rsidR="00DE4EA4" w:rsidRPr="001F64A9" w14:paraId="4B84168B" w14:textId="77777777" w:rsidTr="009B79D4">
        <w:trPr>
          <w:trHeight w:val="420"/>
        </w:trPr>
        <w:tc>
          <w:tcPr>
            <w:tcW w:w="3281" w:type="pct"/>
            <w:gridSpan w:val="2"/>
            <w:tcBorders>
              <w:top w:val="single" w:sz="4" w:space="0" w:color="auto"/>
              <w:left w:val="nil"/>
              <w:bottom w:val="single" w:sz="4" w:space="0" w:color="auto"/>
              <w:right w:val="nil"/>
            </w:tcBorders>
            <w:hideMark/>
          </w:tcPr>
          <w:p w14:paraId="6FF9D76D"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Groups * Pre-Post DNR Knowledge</w:t>
            </w:r>
          </w:p>
        </w:tc>
        <w:tc>
          <w:tcPr>
            <w:tcW w:w="606" w:type="pct"/>
            <w:tcBorders>
              <w:top w:val="single" w:sz="4" w:space="0" w:color="auto"/>
              <w:left w:val="nil"/>
              <w:bottom w:val="single" w:sz="4" w:space="0" w:color="auto"/>
              <w:right w:val="nil"/>
            </w:tcBorders>
            <w:vAlign w:val="center"/>
            <w:hideMark/>
          </w:tcPr>
          <w:p w14:paraId="5ECA5872"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MD</w:t>
            </w:r>
          </w:p>
        </w:tc>
        <w:tc>
          <w:tcPr>
            <w:tcW w:w="289" w:type="pct"/>
            <w:tcBorders>
              <w:top w:val="single" w:sz="4" w:space="0" w:color="auto"/>
              <w:left w:val="nil"/>
              <w:bottom w:val="single" w:sz="4" w:space="0" w:color="auto"/>
              <w:right w:val="nil"/>
            </w:tcBorders>
            <w:vAlign w:val="center"/>
            <w:hideMark/>
          </w:tcPr>
          <w:p w14:paraId="13B00454"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SE</w:t>
            </w:r>
          </w:p>
        </w:tc>
        <w:tc>
          <w:tcPr>
            <w:tcW w:w="402" w:type="pct"/>
            <w:tcBorders>
              <w:top w:val="single" w:sz="4" w:space="0" w:color="auto"/>
              <w:left w:val="nil"/>
              <w:bottom w:val="single" w:sz="4" w:space="0" w:color="auto"/>
              <w:right w:val="nil"/>
            </w:tcBorders>
            <w:vAlign w:val="center"/>
            <w:hideMark/>
          </w:tcPr>
          <w:p w14:paraId="62A2C81B"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t</w:t>
            </w:r>
          </w:p>
        </w:tc>
        <w:tc>
          <w:tcPr>
            <w:tcW w:w="423" w:type="pct"/>
            <w:tcBorders>
              <w:top w:val="single" w:sz="4" w:space="0" w:color="auto"/>
              <w:left w:val="nil"/>
              <w:bottom w:val="single" w:sz="4" w:space="0" w:color="auto"/>
              <w:right w:val="nil"/>
            </w:tcBorders>
            <w:vAlign w:val="center"/>
            <w:hideMark/>
          </w:tcPr>
          <w:p w14:paraId="19E3997D"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p</w:t>
            </w:r>
          </w:p>
        </w:tc>
      </w:tr>
      <w:tr w:rsidR="00DE4EA4" w:rsidRPr="001F64A9" w14:paraId="19DE4931" w14:textId="77777777" w:rsidTr="009B79D4">
        <w:trPr>
          <w:trHeight w:val="432"/>
        </w:trPr>
        <w:tc>
          <w:tcPr>
            <w:tcW w:w="1608" w:type="pct"/>
            <w:tcBorders>
              <w:top w:val="single" w:sz="4" w:space="0" w:color="auto"/>
              <w:left w:val="nil"/>
              <w:bottom w:val="nil"/>
              <w:right w:val="nil"/>
            </w:tcBorders>
            <w:hideMark/>
          </w:tcPr>
          <w:p w14:paraId="2561ACF0"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Positive - Pre Knowledge</w:t>
            </w:r>
          </w:p>
        </w:tc>
        <w:tc>
          <w:tcPr>
            <w:tcW w:w="1673" w:type="pct"/>
            <w:tcBorders>
              <w:top w:val="single" w:sz="4" w:space="0" w:color="auto"/>
              <w:left w:val="nil"/>
              <w:bottom w:val="nil"/>
              <w:right w:val="nil"/>
            </w:tcBorders>
            <w:hideMark/>
          </w:tcPr>
          <w:p w14:paraId="2F342FE1"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Negative - Pre Knowledge</w:t>
            </w:r>
          </w:p>
        </w:tc>
        <w:tc>
          <w:tcPr>
            <w:tcW w:w="606" w:type="pct"/>
            <w:tcBorders>
              <w:top w:val="single" w:sz="4" w:space="0" w:color="auto"/>
              <w:left w:val="nil"/>
              <w:bottom w:val="nil"/>
              <w:right w:val="nil"/>
            </w:tcBorders>
            <w:vAlign w:val="center"/>
            <w:hideMark/>
          </w:tcPr>
          <w:p w14:paraId="001DA98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-.36</w:t>
            </w:r>
          </w:p>
        </w:tc>
        <w:tc>
          <w:tcPr>
            <w:tcW w:w="289" w:type="pct"/>
            <w:tcBorders>
              <w:top w:val="single" w:sz="4" w:space="0" w:color="auto"/>
              <w:left w:val="nil"/>
              <w:bottom w:val="nil"/>
              <w:right w:val="nil"/>
            </w:tcBorders>
            <w:vAlign w:val="center"/>
            <w:hideMark/>
          </w:tcPr>
          <w:p w14:paraId="0CFD4AE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.43</w:t>
            </w:r>
          </w:p>
        </w:tc>
        <w:tc>
          <w:tcPr>
            <w:tcW w:w="402" w:type="pct"/>
            <w:tcBorders>
              <w:top w:val="single" w:sz="4" w:space="0" w:color="auto"/>
              <w:left w:val="nil"/>
              <w:bottom w:val="nil"/>
              <w:right w:val="nil"/>
            </w:tcBorders>
            <w:vAlign w:val="center"/>
            <w:hideMark/>
          </w:tcPr>
          <w:p w14:paraId="6C2F55D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-.83</w:t>
            </w:r>
          </w:p>
        </w:tc>
        <w:tc>
          <w:tcPr>
            <w:tcW w:w="423" w:type="pct"/>
            <w:tcBorders>
              <w:top w:val="single" w:sz="4" w:space="0" w:color="auto"/>
              <w:left w:val="nil"/>
              <w:bottom w:val="nil"/>
              <w:right w:val="nil"/>
            </w:tcBorders>
            <w:vAlign w:val="center"/>
            <w:hideMark/>
          </w:tcPr>
          <w:p w14:paraId="6EFDCE3F" w14:textId="6851D4E6"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6636534F" w14:textId="77777777" w:rsidTr="009B79D4">
        <w:trPr>
          <w:trHeight w:val="420"/>
        </w:trPr>
        <w:tc>
          <w:tcPr>
            <w:tcW w:w="1608" w:type="pct"/>
            <w:tcBorders>
              <w:top w:val="nil"/>
              <w:left w:val="nil"/>
              <w:bottom w:val="nil"/>
              <w:right w:val="nil"/>
            </w:tcBorders>
          </w:tcPr>
          <w:p w14:paraId="7FAA8B7A"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4CB5CDBE"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Education - Pre Knowledge</w:t>
            </w:r>
          </w:p>
        </w:tc>
        <w:tc>
          <w:tcPr>
            <w:tcW w:w="606" w:type="pct"/>
            <w:tcBorders>
              <w:top w:val="nil"/>
              <w:left w:val="nil"/>
              <w:bottom w:val="nil"/>
              <w:right w:val="nil"/>
            </w:tcBorders>
            <w:vAlign w:val="center"/>
            <w:hideMark/>
          </w:tcPr>
          <w:p w14:paraId="75A2C6C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.03</w:t>
            </w:r>
          </w:p>
        </w:tc>
        <w:tc>
          <w:tcPr>
            <w:tcW w:w="289" w:type="pct"/>
            <w:tcBorders>
              <w:top w:val="nil"/>
              <w:left w:val="nil"/>
              <w:bottom w:val="nil"/>
              <w:right w:val="nil"/>
            </w:tcBorders>
            <w:vAlign w:val="center"/>
            <w:hideMark/>
          </w:tcPr>
          <w:p w14:paraId="00B037C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0357A5F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.08</w:t>
            </w:r>
          </w:p>
        </w:tc>
        <w:tc>
          <w:tcPr>
            <w:tcW w:w="423" w:type="pct"/>
            <w:tcBorders>
              <w:top w:val="nil"/>
              <w:left w:val="nil"/>
              <w:bottom w:val="nil"/>
              <w:right w:val="nil"/>
            </w:tcBorders>
            <w:vAlign w:val="center"/>
            <w:hideMark/>
          </w:tcPr>
          <w:p w14:paraId="548750DF" w14:textId="26617B9C"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1E98919C" w14:textId="77777777" w:rsidTr="009B79D4">
        <w:trPr>
          <w:trHeight w:val="432"/>
        </w:trPr>
        <w:tc>
          <w:tcPr>
            <w:tcW w:w="1608" w:type="pct"/>
            <w:tcBorders>
              <w:top w:val="nil"/>
              <w:left w:val="nil"/>
              <w:bottom w:val="nil"/>
              <w:right w:val="nil"/>
            </w:tcBorders>
          </w:tcPr>
          <w:p w14:paraId="4D26E58D"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6841229E"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Irrelevant – Pre Knowledge</w:t>
            </w:r>
          </w:p>
        </w:tc>
        <w:tc>
          <w:tcPr>
            <w:tcW w:w="606" w:type="pct"/>
            <w:tcBorders>
              <w:top w:val="nil"/>
              <w:left w:val="nil"/>
              <w:bottom w:val="nil"/>
              <w:right w:val="nil"/>
            </w:tcBorders>
            <w:vAlign w:val="center"/>
            <w:hideMark/>
          </w:tcPr>
          <w:p w14:paraId="25DA03C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.36</w:t>
            </w:r>
          </w:p>
        </w:tc>
        <w:tc>
          <w:tcPr>
            <w:tcW w:w="289" w:type="pct"/>
            <w:tcBorders>
              <w:top w:val="nil"/>
              <w:left w:val="nil"/>
              <w:bottom w:val="nil"/>
              <w:right w:val="nil"/>
            </w:tcBorders>
            <w:vAlign w:val="center"/>
            <w:hideMark/>
          </w:tcPr>
          <w:p w14:paraId="37CFD73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3B801E5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.83</w:t>
            </w:r>
          </w:p>
        </w:tc>
        <w:tc>
          <w:tcPr>
            <w:tcW w:w="423" w:type="pct"/>
            <w:tcBorders>
              <w:top w:val="nil"/>
              <w:left w:val="nil"/>
              <w:bottom w:val="nil"/>
              <w:right w:val="nil"/>
            </w:tcBorders>
            <w:vAlign w:val="center"/>
            <w:hideMark/>
          </w:tcPr>
          <w:p w14:paraId="3D19B744" w14:textId="04CFD369"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2B04C76E" w14:textId="77777777" w:rsidTr="009B79D4">
        <w:trPr>
          <w:trHeight w:val="420"/>
        </w:trPr>
        <w:tc>
          <w:tcPr>
            <w:tcW w:w="1608" w:type="pct"/>
            <w:tcBorders>
              <w:top w:val="nil"/>
              <w:left w:val="nil"/>
              <w:bottom w:val="nil"/>
              <w:right w:val="nil"/>
            </w:tcBorders>
          </w:tcPr>
          <w:p w14:paraId="5E16C258"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2A2A9E69"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Positive – Post Knowledge</w:t>
            </w:r>
          </w:p>
        </w:tc>
        <w:tc>
          <w:tcPr>
            <w:tcW w:w="606" w:type="pct"/>
            <w:tcBorders>
              <w:top w:val="nil"/>
              <w:left w:val="nil"/>
              <w:bottom w:val="nil"/>
              <w:right w:val="nil"/>
            </w:tcBorders>
            <w:vAlign w:val="center"/>
            <w:hideMark/>
          </w:tcPr>
          <w:p w14:paraId="400BDFF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.04</w:t>
            </w:r>
          </w:p>
        </w:tc>
        <w:tc>
          <w:tcPr>
            <w:tcW w:w="289" w:type="pct"/>
            <w:tcBorders>
              <w:top w:val="nil"/>
              <w:left w:val="nil"/>
              <w:bottom w:val="nil"/>
              <w:right w:val="nil"/>
            </w:tcBorders>
            <w:vAlign w:val="center"/>
            <w:hideMark/>
          </w:tcPr>
          <w:p w14:paraId="229BB49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.18</w:t>
            </w:r>
          </w:p>
        </w:tc>
        <w:tc>
          <w:tcPr>
            <w:tcW w:w="402" w:type="pct"/>
            <w:tcBorders>
              <w:top w:val="nil"/>
              <w:left w:val="nil"/>
              <w:bottom w:val="nil"/>
              <w:right w:val="nil"/>
            </w:tcBorders>
            <w:vAlign w:val="center"/>
            <w:hideMark/>
          </w:tcPr>
          <w:p w14:paraId="4A6BBEA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.23</w:t>
            </w:r>
          </w:p>
        </w:tc>
        <w:tc>
          <w:tcPr>
            <w:tcW w:w="423" w:type="pct"/>
            <w:tcBorders>
              <w:top w:val="nil"/>
              <w:left w:val="nil"/>
              <w:bottom w:val="nil"/>
              <w:right w:val="nil"/>
            </w:tcBorders>
            <w:vAlign w:val="center"/>
            <w:hideMark/>
          </w:tcPr>
          <w:p w14:paraId="227CDBB1" w14:textId="33EE1E6A"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39DD9144" w14:textId="77777777" w:rsidTr="009B79D4">
        <w:trPr>
          <w:trHeight w:val="432"/>
        </w:trPr>
        <w:tc>
          <w:tcPr>
            <w:tcW w:w="1608" w:type="pct"/>
            <w:tcBorders>
              <w:top w:val="nil"/>
              <w:left w:val="nil"/>
              <w:bottom w:val="nil"/>
              <w:right w:val="nil"/>
            </w:tcBorders>
          </w:tcPr>
          <w:p w14:paraId="71638E4A"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1356AA17"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Negative – Post Knowledge</w:t>
            </w:r>
          </w:p>
        </w:tc>
        <w:tc>
          <w:tcPr>
            <w:tcW w:w="606" w:type="pct"/>
            <w:tcBorders>
              <w:top w:val="nil"/>
              <w:left w:val="nil"/>
              <w:bottom w:val="nil"/>
              <w:right w:val="nil"/>
            </w:tcBorders>
            <w:vAlign w:val="center"/>
            <w:hideMark/>
          </w:tcPr>
          <w:p w14:paraId="7EC7FBE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-.36</w:t>
            </w:r>
          </w:p>
        </w:tc>
        <w:tc>
          <w:tcPr>
            <w:tcW w:w="289" w:type="pct"/>
            <w:tcBorders>
              <w:top w:val="nil"/>
              <w:left w:val="nil"/>
              <w:bottom w:val="nil"/>
              <w:right w:val="nil"/>
            </w:tcBorders>
            <w:vAlign w:val="center"/>
            <w:hideMark/>
          </w:tcPr>
          <w:p w14:paraId="5918056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.43</w:t>
            </w:r>
          </w:p>
        </w:tc>
        <w:tc>
          <w:tcPr>
            <w:tcW w:w="402" w:type="pct"/>
            <w:tcBorders>
              <w:top w:val="nil"/>
              <w:left w:val="nil"/>
              <w:bottom w:val="nil"/>
              <w:right w:val="nil"/>
            </w:tcBorders>
            <w:vAlign w:val="center"/>
            <w:hideMark/>
          </w:tcPr>
          <w:p w14:paraId="0993AEF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-.83</w:t>
            </w:r>
          </w:p>
        </w:tc>
        <w:tc>
          <w:tcPr>
            <w:tcW w:w="423" w:type="pct"/>
            <w:tcBorders>
              <w:top w:val="nil"/>
              <w:left w:val="nil"/>
              <w:bottom w:val="nil"/>
              <w:right w:val="nil"/>
            </w:tcBorders>
            <w:vAlign w:val="center"/>
            <w:hideMark/>
          </w:tcPr>
          <w:p w14:paraId="01ABE0D9" w14:textId="511195FC"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0C81AA44" w14:textId="77777777" w:rsidTr="009B79D4">
        <w:trPr>
          <w:trHeight w:val="420"/>
        </w:trPr>
        <w:tc>
          <w:tcPr>
            <w:tcW w:w="1608" w:type="pct"/>
            <w:tcBorders>
              <w:top w:val="nil"/>
              <w:left w:val="nil"/>
              <w:bottom w:val="nil"/>
              <w:right w:val="nil"/>
            </w:tcBorders>
          </w:tcPr>
          <w:p w14:paraId="041AAC89"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0E59AB2F"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Education - Post Knowledge</w:t>
            </w:r>
          </w:p>
        </w:tc>
        <w:tc>
          <w:tcPr>
            <w:tcW w:w="606" w:type="pct"/>
            <w:tcBorders>
              <w:top w:val="nil"/>
              <w:left w:val="nil"/>
              <w:bottom w:val="nil"/>
              <w:right w:val="nil"/>
            </w:tcBorders>
            <w:vAlign w:val="center"/>
            <w:hideMark/>
          </w:tcPr>
          <w:p w14:paraId="2108F26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-1.09</w:t>
            </w:r>
          </w:p>
        </w:tc>
        <w:tc>
          <w:tcPr>
            <w:tcW w:w="289" w:type="pct"/>
            <w:tcBorders>
              <w:top w:val="nil"/>
              <w:left w:val="nil"/>
              <w:bottom w:val="nil"/>
              <w:right w:val="nil"/>
            </w:tcBorders>
            <w:vAlign w:val="center"/>
            <w:hideMark/>
          </w:tcPr>
          <w:p w14:paraId="6F4757F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1F05973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-2.47</w:t>
            </w:r>
          </w:p>
        </w:tc>
        <w:tc>
          <w:tcPr>
            <w:tcW w:w="423" w:type="pct"/>
            <w:tcBorders>
              <w:top w:val="nil"/>
              <w:left w:val="nil"/>
              <w:bottom w:val="nil"/>
              <w:right w:val="nil"/>
            </w:tcBorders>
            <w:vAlign w:val="center"/>
            <w:hideMark/>
          </w:tcPr>
          <w:p w14:paraId="3485CFCD" w14:textId="2AB3B758"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.33</w:t>
            </w:r>
          </w:p>
        </w:tc>
      </w:tr>
      <w:tr w:rsidR="00DE4EA4" w:rsidRPr="001F64A9" w14:paraId="0B5E33BB" w14:textId="77777777" w:rsidTr="009B79D4">
        <w:trPr>
          <w:trHeight w:val="432"/>
        </w:trPr>
        <w:tc>
          <w:tcPr>
            <w:tcW w:w="1608" w:type="pct"/>
            <w:tcBorders>
              <w:top w:val="nil"/>
              <w:left w:val="nil"/>
              <w:bottom w:val="nil"/>
              <w:right w:val="nil"/>
            </w:tcBorders>
          </w:tcPr>
          <w:p w14:paraId="656DAE6B"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3BC93628"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Irrelevant – Post Knowledge</w:t>
            </w:r>
          </w:p>
        </w:tc>
        <w:tc>
          <w:tcPr>
            <w:tcW w:w="606" w:type="pct"/>
            <w:tcBorders>
              <w:top w:val="nil"/>
              <w:left w:val="nil"/>
              <w:bottom w:val="nil"/>
              <w:right w:val="nil"/>
            </w:tcBorders>
            <w:vAlign w:val="center"/>
            <w:hideMark/>
          </w:tcPr>
          <w:p w14:paraId="312F7CF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.33</w:t>
            </w:r>
          </w:p>
        </w:tc>
        <w:tc>
          <w:tcPr>
            <w:tcW w:w="289" w:type="pct"/>
            <w:tcBorders>
              <w:top w:val="nil"/>
              <w:left w:val="nil"/>
              <w:bottom w:val="nil"/>
              <w:right w:val="nil"/>
            </w:tcBorders>
            <w:vAlign w:val="center"/>
            <w:hideMark/>
          </w:tcPr>
          <w:p w14:paraId="05D9E0C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129206D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.76</w:t>
            </w:r>
          </w:p>
        </w:tc>
        <w:tc>
          <w:tcPr>
            <w:tcW w:w="423" w:type="pct"/>
            <w:tcBorders>
              <w:top w:val="nil"/>
              <w:left w:val="nil"/>
              <w:bottom w:val="nil"/>
              <w:right w:val="nil"/>
            </w:tcBorders>
            <w:hideMark/>
          </w:tcPr>
          <w:p w14:paraId="071D554E" w14:textId="4B8D79CB"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3DF7BFBE" w14:textId="77777777" w:rsidTr="009B79D4">
        <w:trPr>
          <w:trHeight w:val="420"/>
        </w:trPr>
        <w:tc>
          <w:tcPr>
            <w:tcW w:w="1608" w:type="pct"/>
            <w:tcBorders>
              <w:top w:val="nil"/>
              <w:left w:val="nil"/>
              <w:bottom w:val="nil"/>
              <w:right w:val="nil"/>
            </w:tcBorders>
            <w:hideMark/>
          </w:tcPr>
          <w:p w14:paraId="37F34EB9"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Negative-Pre Knowledge</w:t>
            </w:r>
          </w:p>
        </w:tc>
        <w:tc>
          <w:tcPr>
            <w:tcW w:w="1673" w:type="pct"/>
            <w:tcBorders>
              <w:top w:val="nil"/>
              <w:left w:val="nil"/>
              <w:bottom w:val="nil"/>
              <w:right w:val="nil"/>
            </w:tcBorders>
            <w:hideMark/>
          </w:tcPr>
          <w:p w14:paraId="0C1FD51E"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Education - Pre Knowledge</w:t>
            </w:r>
          </w:p>
        </w:tc>
        <w:tc>
          <w:tcPr>
            <w:tcW w:w="606" w:type="pct"/>
            <w:tcBorders>
              <w:top w:val="nil"/>
              <w:left w:val="nil"/>
              <w:bottom w:val="nil"/>
              <w:right w:val="nil"/>
            </w:tcBorders>
            <w:vAlign w:val="center"/>
            <w:hideMark/>
          </w:tcPr>
          <w:p w14:paraId="3C3FA56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.39</w:t>
            </w:r>
          </w:p>
        </w:tc>
        <w:tc>
          <w:tcPr>
            <w:tcW w:w="289" w:type="pct"/>
            <w:tcBorders>
              <w:top w:val="nil"/>
              <w:left w:val="nil"/>
              <w:bottom w:val="nil"/>
              <w:right w:val="nil"/>
            </w:tcBorders>
            <w:vAlign w:val="center"/>
            <w:hideMark/>
          </w:tcPr>
          <w:p w14:paraId="70BA5C6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3876D2E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.90</w:t>
            </w:r>
          </w:p>
        </w:tc>
        <w:tc>
          <w:tcPr>
            <w:tcW w:w="423" w:type="pct"/>
            <w:tcBorders>
              <w:top w:val="nil"/>
              <w:left w:val="nil"/>
              <w:bottom w:val="nil"/>
              <w:right w:val="nil"/>
            </w:tcBorders>
            <w:hideMark/>
          </w:tcPr>
          <w:p w14:paraId="41859D7E" w14:textId="0D863DE3"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4974D948" w14:textId="77777777" w:rsidTr="009B79D4">
        <w:trPr>
          <w:trHeight w:val="432"/>
        </w:trPr>
        <w:tc>
          <w:tcPr>
            <w:tcW w:w="1608" w:type="pct"/>
            <w:tcBorders>
              <w:top w:val="nil"/>
              <w:left w:val="nil"/>
              <w:bottom w:val="nil"/>
              <w:right w:val="nil"/>
            </w:tcBorders>
          </w:tcPr>
          <w:p w14:paraId="6483B51C"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2BC7F240"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Irrelevant – Pre Knowledge</w:t>
            </w:r>
          </w:p>
        </w:tc>
        <w:tc>
          <w:tcPr>
            <w:tcW w:w="606" w:type="pct"/>
            <w:tcBorders>
              <w:top w:val="nil"/>
              <w:left w:val="nil"/>
              <w:bottom w:val="nil"/>
              <w:right w:val="nil"/>
            </w:tcBorders>
            <w:vAlign w:val="center"/>
            <w:hideMark/>
          </w:tcPr>
          <w:p w14:paraId="30A55D7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.72</w:t>
            </w:r>
          </w:p>
        </w:tc>
        <w:tc>
          <w:tcPr>
            <w:tcW w:w="289" w:type="pct"/>
            <w:tcBorders>
              <w:top w:val="nil"/>
              <w:left w:val="nil"/>
              <w:bottom w:val="nil"/>
              <w:right w:val="nil"/>
            </w:tcBorders>
            <w:vAlign w:val="center"/>
            <w:hideMark/>
          </w:tcPr>
          <w:p w14:paraId="53004EE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4DDF496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1.66</w:t>
            </w:r>
          </w:p>
        </w:tc>
        <w:tc>
          <w:tcPr>
            <w:tcW w:w="423" w:type="pct"/>
            <w:tcBorders>
              <w:top w:val="nil"/>
              <w:left w:val="nil"/>
              <w:bottom w:val="nil"/>
              <w:right w:val="nil"/>
            </w:tcBorders>
            <w:hideMark/>
          </w:tcPr>
          <w:p w14:paraId="0A11018B" w14:textId="7200D879"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0168D6DF" w14:textId="77777777" w:rsidTr="009B79D4">
        <w:trPr>
          <w:trHeight w:val="420"/>
        </w:trPr>
        <w:tc>
          <w:tcPr>
            <w:tcW w:w="1608" w:type="pct"/>
            <w:tcBorders>
              <w:top w:val="nil"/>
              <w:left w:val="nil"/>
              <w:bottom w:val="nil"/>
              <w:right w:val="nil"/>
            </w:tcBorders>
          </w:tcPr>
          <w:p w14:paraId="22C08A4E"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4F86A26F"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Positive – Post Knowledge</w:t>
            </w:r>
          </w:p>
        </w:tc>
        <w:tc>
          <w:tcPr>
            <w:tcW w:w="606" w:type="pct"/>
            <w:tcBorders>
              <w:top w:val="nil"/>
              <w:left w:val="nil"/>
              <w:bottom w:val="nil"/>
              <w:right w:val="nil"/>
            </w:tcBorders>
            <w:vAlign w:val="center"/>
            <w:hideMark/>
          </w:tcPr>
          <w:p w14:paraId="7B125CD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.40</w:t>
            </w:r>
          </w:p>
        </w:tc>
        <w:tc>
          <w:tcPr>
            <w:tcW w:w="289" w:type="pct"/>
            <w:tcBorders>
              <w:top w:val="nil"/>
              <w:left w:val="nil"/>
              <w:bottom w:val="nil"/>
              <w:right w:val="nil"/>
            </w:tcBorders>
            <w:vAlign w:val="center"/>
            <w:hideMark/>
          </w:tcPr>
          <w:p w14:paraId="0A802F6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.43</w:t>
            </w:r>
          </w:p>
        </w:tc>
        <w:tc>
          <w:tcPr>
            <w:tcW w:w="402" w:type="pct"/>
            <w:tcBorders>
              <w:top w:val="nil"/>
              <w:left w:val="nil"/>
              <w:bottom w:val="nil"/>
              <w:right w:val="nil"/>
            </w:tcBorders>
            <w:vAlign w:val="center"/>
            <w:hideMark/>
          </w:tcPr>
          <w:p w14:paraId="72A8063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.93</w:t>
            </w:r>
          </w:p>
        </w:tc>
        <w:tc>
          <w:tcPr>
            <w:tcW w:w="423" w:type="pct"/>
            <w:tcBorders>
              <w:top w:val="nil"/>
              <w:left w:val="nil"/>
              <w:bottom w:val="nil"/>
              <w:right w:val="nil"/>
            </w:tcBorders>
            <w:hideMark/>
          </w:tcPr>
          <w:p w14:paraId="33027C57" w14:textId="257D7DD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6371BC38" w14:textId="77777777" w:rsidTr="009B79D4">
        <w:trPr>
          <w:trHeight w:val="432"/>
        </w:trPr>
        <w:tc>
          <w:tcPr>
            <w:tcW w:w="1608" w:type="pct"/>
            <w:tcBorders>
              <w:top w:val="nil"/>
              <w:left w:val="nil"/>
              <w:bottom w:val="nil"/>
              <w:right w:val="nil"/>
            </w:tcBorders>
          </w:tcPr>
          <w:p w14:paraId="2E07E482"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7FD60B3E"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Negative – Post Knowledge</w:t>
            </w:r>
          </w:p>
        </w:tc>
        <w:tc>
          <w:tcPr>
            <w:tcW w:w="606" w:type="pct"/>
            <w:tcBorders>
              <w:top w:val="nil"/>
              <w:left w:val="nil"/>
              <w:bottom w:val="nil"/>
              <w:right w:val="nil"/>
            </w:tcBorders>
            <w:vAlign w:val="center"/>
            <w:hideMark/>
          </w:tcPr>
          <w:p w14:paraId="517A41D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-.01</w:t>
            </w:r>
          </w:p>
        </w:tc>
        <w:tc>
          <w:tcPr>
            <w:tcW w:w="289" w:type="pct"/>
            <w:tcBorders>
              <w:top w:val="nil"/>
              <w:left w:val="nil"/>
              <w:bottom w:val="nil"/>
              <w:right w:val="nil"/>
            </w:tcBorders>
            <w:vAlign w:val="center"/>
            <w:hideMark/>
          </w:tcPr>
          <w:p w14:paraId="5A3BF3E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.18</w:t>
            </w:r>
          </w:p>
        </w:tc>
        <w:tc>
          <w:tcPr>
            <w:tcW w:w="402" w:type="pct"/>
            <w:tcBorders>
              <w:top w:val="nil"/>
              <w:left w:val="nil"/>
              <w:bottom w:val="nil"/>
              <w:right w:val="nil"/>
            </w:tcBorders>
            <w:vAlign w:val="center"/>
            <w:hideMark/>
          </w:tcPr>
          <w:p w14:paraId="49098E6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-.01</w:t>
            </w:r>
          </w:p>
        </w:tc>
        <w:tc>
          <w:tcPr>
            <w:tcW w:w="423" w:type="pct"/>
            <w:tcBorders>
              <w:top w:val="nil"/>
              <w:left w:val="nil"/>
              <w:bottom w:val="nil"/>
              <w:right w:val="nil"/>
            </w:tcBorders>
            <w:hideMark/>
          </w:tcPr>
          <w:p w14:paraId="0EA823CA" w14:textId="5A515986"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1435ACDC" w14:textId="77777777" w:rsidTr="009B79D4">
        <w:trPr>
          <w:trHeight w:val="420"/>
        </w:trPr>
        <w:tc>
          <w:tcPr>
            <w:tcW w:w="1608" w:type="pct"/>
            <w:tcBorders>
              <w:top w:val="nil"/>
              <w:left w:val="nil"/>
              <w:bottom w:val="nil"/>
              <w:right w:val="nil"/>
            </w:tcBorders>
          </w:tcPr>
          <w:p w14:paraId="1D4EA742"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6D734C91"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Education - Post Knowledge</w:t>
            </w:r>
          </w:p>
        </w:tc>
        <w:tc>
          <w:tcPr>
            <w:tcW w:w="606" w:type="pct"/>
            <w:tcBorders>
              <w:top w:val="nil"/>
              <w:left w:val="nil"/>
              <w:bottom w:val="nil"/>
              <w:right w:val="nil"/>
            </w:tcBorders>
            <w:vAlign w:val="center"/>
            <w:hideMark/>
          </w:tcPr>
          <w:p w14:paraId="7B4D3C5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-.73</w:t>
            </w:r>
          </w:p>
        </w:tc>
        <w:tc>
          <w:tcPr>
            <w:tcW w:w="289" w:type="pct"/>
            <w:tcBorders>
              <w:top w:val="nil"/>
              <w:left w:val="nil"/>
              <w:bottom w:val="nil"/>
              <w:right w:val="nil"/>
            </w:tcBorders>
            <w:vAlign w:val="center"/>
            <w:hideMark/>
          </w:tcPr>
          <w:p w14:paraId="5D11354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7835532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-1.65</w:t>
            </w:r>
          </w:p>
        </w:tc>
        <w:tc>
          <w:tcPr>
            <w:tcW w:w="423" w:type="pct"/>
            <w:tcBorders>
              <w:top w:val="nil"/>
              <w:left w:val="nil"/>
              <w:bottom w:val="nil"/>
              <w:right w:val="nil"/>
            </w:tcBorders>
            <w:hideMark/>
          </w:tcPr>
          <w:p w14:paraId="30C517FA" w14:textId="7DE46143"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28CB380A" w14:textId="77777777" w:rsidTr="009B79D4">
        <w:trPr>
          <w:trHeight w:val="432"/>
        </w:trPr>
        <w:tc>
          <w:tcPr>
            <w:tcW w:w="1608" w:type="pct"/>
            <w:tcBorders>
              <w:top w:val="nil"/>
              <w:left w:val="nil"/>
              <w:bottom w:val="nil"/>
              <w:right w:val="nil"/>
            </w:tcBorders>
          </w:tcPr>
          <w:p w14:paraId="6A3541FF"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1831B7D2"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Irrelevant – Post Knowledge</w:t>
            </w:r>
          </w:p>
        </w:tc>
        <w:tc>
          <w:tcPr>
            <w:tcW w:w="606" w:type="pct"/>
            <w:tcBorders>
              <w:top w:val="nil"/>
              <w:left w:val="nil"/>
              <w:bottom w:val="nil"/>
              <w:right w:val="nil"/>
            </w:tcBorders>
            <w:vAlign w:val="center"/>
            <w:hideMark/>
          </w:tcPr>
          <w:p w14:paraId="4665A12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.69</w:t>
            </w:r>
          </w:p>
        </w:tc>
        <w:tc>
          <w:tcPr>
            <w:tcW w:w="289" w:type="pct"/>
            <w:tcBorders>
              <w:top w:val="nil"/>
              <w:left w:val="nil"/>
              <w:bottom w:val="nil"/>
              <w:right w:val="nil"/>
            </w:tcBorders>
            <w:vAlign w:val="center"/>
            <w:hideMark/>
          </w:tcPr>
          <w:p w14:paraId="43E3E89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195E2AF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1.58</w:t>
            </w:r>
          </w:p>
        </w:tc>
        <w:tc>
          <w:tcPr>
            <w:tcW w:w="423" w:type="pct"/>
            <w:tcBorders>
              <w:top w:val="nil"/>
              <w:left w:val="nil"/>
              <w:bottom w:val="nil"/>
              <w:right w:val="nil"/>
            </w:tcBorders>
            <w:hideMark/>
          </w:tcPr>
          <w:p w14:paraId="4CA31E38" w14:textId="3D7443A5"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347EA6E2" w14:textId="77777777" w:rsidTr="009B79D4">
        <w:trPr>
          <w:trHeight w:val="420"/>
        </w:trPr>
        <w:tc>
          <w:tcPr>
            <w:tcW w:w="1608" w:type="pct"/>
            <w:tcBorders>
              <w:top w:val="nil"/>
              <w:left w:val="nil"/>
              <w:bottom w:val="nil"/>
              <w:right w:val="nil"/>
            </w:tcBorders>
            <w:hideMark/>
          </w:tcPr>
          <w:p w14:paraId="1731AE7A"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Education-Pre Knowledge</w:t>
            </w:r>
          </w:p>
        </w:tc>
        <w:tc>
          <w:tcPr>
            <w:tcW w:w="1673" w:type="pct"/>
            <w:tcBorders>
              <w:top w:val="nil"/>
              <w:left w:val="nil"/>
              <w:bottom w:val="nil"/>
              <w:right w:val="nil"/>
            </w:tcBorders>
            <w:hideMark/>
          </w:tcPr>
          <w:p w14:paraId="67FF45CD"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Irrelevant – Pre Knowledge</w:t>
            </w:r>
          </w:p>
        </w:tc>
        <w:tc>
          <w:tcPr>
            <w:tcW w:w="606" w:type="pct"/>
            <w:tcBorders>
              <w:top w:val="nil"/>
              <w:left w:val="nil"/>
              <w:bottom w:val="nil"/>
              <w:right w:val="nil"/>
            </w:tcBorders>
            <w:vAlign w:val="center"/>
            <w:hideMark/>
          </w:tcPr>
          <w:p w14:paraId="4725AE4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.33</w:t>
            </w:r>
          </w:p>
        </w:tc>
        <w:tc>
          <w:tcPr>
            <w:tcW w:w="289" w:type="pct"/>
            <w:tcBorders>
              <w:top w:val="nil"/>
              <w:left w:val="nil"/>
              <w:bottom w:val="nil"/>
              <w:right w:val="nil"/>
            </w:tcBorders>
            <w:vAlign w:val="center"/>
            <w:hideMark/>
          </w:tcPr>
          <w:p w14:paraId="0B9AB2D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48CC3AB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.74</w:t>
            </w:r>
          </w:p>
        </w:tc>
        <w:tc>
          <w:tcPr>
            <w:tcW w:w="423" w:type="pct"/>
            <w:tcBorders>
              <w:top w:val="nil"/>
              <w:left w:val="nil"/>
              <w:bottom w:val="nil"/>
              <w:right w:val="nil"/>
            </w:tcBorders>
            <w:hideMark/>
          </w:tcPr>
          <w:p w14:paraId="5DF5A9C4" w14:textId="3053F7F8"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26BF65E2" w14:textId="77777777" w:rsidTr="009B79D4">
        <w:trPr>
          <w:trHeight w:val="432"/>
        </w:trPr>
        <w:tc>
          <w:tcPr>
            <w:tcW w:w="1608" w:type="pct"/>
            <w:tcBorders>
              <w:top w:val="nil"/>
              <w:left w:val="nil"/>
              <w:bottom w:val="nil"/>
              <w:right w:val="nil"/>
            </w:tcBorders>
          </w:tcPr>
          <w:p w14:paraId="79D50E67"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7D96919B"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Positive – Post Knowledge</w:t>
            </w:r>
          </w:p>
        </w:tc>
        <w:tc>
          <w:tcPr>
            <w:tcW w:w="606" w:type="pct"/>
            <w:tcBorders>
              <w:top w:val="nil"/>
              <w:left w:val="nil"/>
              <w:bottom w:val="nil"/>
              <w:right w:val="nil"/>
            </w:tcBorders>
            <w:vAlign w:val="center"/>
            <w:hideMark/>
          </w:tcPr>
          <w:p w14:paraId="145CE1D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.01</w:t>
            </w:r>
          </w:p>
        </w:tc>
        <w:tc>
          <w:tcPr>
            <w:tcW w:w="289" w:type="pct"/>
            <w:tcBorders>
              <w:top w:val="nil"/>
              <w:left w:val="nil"/>
              <w:bottom w:val="nil"/>
              <w:right w:val="nil"/>
            </w:tcBorders>
            <w:vAlign w:val="center"/>
            <w:hideMark/>
          </w:tcPr>
          <w:p w14:paraId="4A4FE82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768A79E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.02</w:t>
            </w:r>
          </w:p>
        </w:tc>
        <w:tc>
          <w:tcPr>
            <w:tcW w:w="423" w:type="pct"/>
            <w:tcBorders>
              <w:top w:val="nil"/>
              <w:left w:val="nil"/>
              <w:bottom w:val="nil"/>
              <w:right w:val="nil"/>
            </w:tcBorders>
            <w:hideMark/>
          </w:tcPr>
          <w:p w14:paraId="3973B3A4" w14:textId="205CB592"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19C95482" w14:textId="77777777" w:rsidTr="009B79D4">
        <w:trPr>
          <w:trHeight w:val="420"/>
        </w:trPr>
        <w:tc>
          <w:tcPr>
            <w:tcW w:w="1608" w:type="pct"/>
            <w:tcBorders>
              <w:top w:val="nil"/>
              <w:left w:val="nil"/>
              <w:bottom w:val="nil"/>
              <w:right w:val="nil"/>
            </w:tcBorders>
          </w:tcPr>
          <w:p w14:paraId="17B457A3"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7C92B518"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Negative – Post Knowledge</w:t>
            </w:r>
          </w:p>
        </w:tc>
        <w:tc>
          <w:tcPr>
            <w:tcW w:w="606" w:type="pct"/>
            <w:tcBorders>
              <w:top w:val="nil"/>
              <w:left w:val="nil"/>
              <w:bottom w:val="nil"/>
              <w:right w:val="nil"/>
            </w:tcBorders>
            <w:vAlign w:val="center"/>
            <w:hideMark/>
          </w:tcPr>
          <w:p w14:paraId="233A525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-.39</w:t>
            </w:r>
          </w:p>
        </w:tc>
        <w:tc>
          <w:tcPr>
            <w:tcW w:w="289" w:type="pct"/>
            <w:tcBorders>
              <w:top w:val="nil"/>
              <w:left w:val="nil"/>
              <w:bottom w:val="nil"/>
              <w:right w:val="nil"/>
            </w:tcBorders>
            <w:vAlign w:val="center"/>
            <w:hideMark/>
          </w:tcPr>
          <w:p w14:paraId="0F76319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445A5BF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-.90</w:t>
            </w:r>
          </w:p>
        </w:tc>
        <w:tc>
          <w:tcPr>
            <w:tcW w:w="423" w:type="pct"/>
            <w:tcBorders>
              <w:top w:val="nil"/>
              <w:left w:val="nil"/>
              <w:bottom w:val="nil"/>
              <w:right w:val="nil"/>
            </w:tcBorders>
            <w:hideMark/>
          </w:tcPr>
          <w:p w14:paraId="59868C83" w14:textId="1FAE58AA"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7F0BF393" w14:textId="77777777" w:rsidTr="009B79D4">
        <w:trPr>
          <w:trHeight w:val="432"/>
        </w:trPr>
        <w:tc>
          <w:tcPr>
            <w:tcW w:w="1608" w:type="pct"/>
            <w:tcBorders>
              <w:top w:val="nil"/>
              <w:left w:val="nil"/>
              <w:bottom w:val="nil"/>
              <w:right w:val="nil"/>
            </w:tcBorders>
          </w:tcPr>
          <w:p w14:paraId="5BBBCDAD"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4ECE4681"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Education - Post Knowledge</w:t>
            </w:r>
          </w:p>
        </w:tc>
        <w:tc>
          <w:tcPr>
            <w:tcW w:w="606" w:type="pct"/>
            <w:tcBorders>
              <w:top w:val="nil"/>
              <w:left w:val="nil"/>
              <w:bottom w:val="nil"/>
              <w:right w:val="nil"/>
            </w:tcBorders>
            <w:vAlign w:val="center"/>
            <w:hideMark/>
          </w:tcPr>
          <w:p w14:paraId="5A73A8D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-1.12***</w:t>
            </w:r>
          </w:p>
        </w:tc>
        <w:tc>
          <w:tcPr>
            <w:tcW w:w="289" w:type="pct"/>
            <w:tcBorders>
              <w:top w:val="nil"/>
              <w:left w:val="nil"/>
              <w:bottom w:val="nil"/>
              <w:right w:val="nil"/>
            </w:tcBorders>
            <w:vAlign w:val="center"/>
            <w:hideMark/>
          </w:tcPr>
          <w:p w14:paraId="2221221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.19</w:t>
            </w:r>
          </w:p>
        </w:tc>
        <w:tc>
          <w:tcPr>
            <w:tcW w:w="402" w:type="pct"/>
            <w:tcBorders>
              <w:top w:val="nil"/>
              <w:left w:val="nil"/>
              <w:bottom w:val="nil"/>
              <w:right w:val="nil"/>
            </w:tcBorders>
            <w:vAlign w:val="center"/>
            <w:hideMark/>
          </w:tcPr>
          <w:p w14:paraId="6C267C7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-6.02</w:t>
            </w:r>
          </w:p>
        </w:tc>
        <w:tc>
          <w:tcPr>
            <w:tcW w:w="423" w:type="pct"/>
            <w:tcBorders>
              <w:top w:val="nil"/>
              <w:left w:val="nil"/>
              <w:bottom w:val="nil"/>
              <w:right w:val="nil"/>
            </w:tcBorders>
            <w:vAlign w:val="center"/>
            <w:hideMark/>
          </w:tcPr>
          <w:p w14:paraId="1B82ABF7" w14:textId="7E8C3531"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.00</w:t>
            </w:r>
          </w:p>
        </w:tc>
      </w:tr>
      <w:tr w:rsidR="00DE4EA4" w:rsidRPr="001F64A9" w14:paraId="05506A6D" w14:textId="77777777" w:rsidTr="009B79D4">
        <w:trPr>
          <w:trHeight w:val="420"/>
        </w:trPr>
        <w:tc>
          <w:tcPr>
            <w:tcW w:w="1608" w:type="pct"/>
            <w:tcBorders>
              <w:top w:val="nil"/>
              <w:left w:val="nil"/>
              <w:bottom w:val="nil"/>
              <w:right w:val="nil"/>
            </w:tcBorders>
          </w:tcPr>
          <w:p w14:paraId="088C4E3C"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09A202C8"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Irrelevant – Post Knowledge</w:t>
            </w:r>
          </w:p>
        </w:tc>
        <w:tc>
          <w:tcPr>
            <w:tcW w:w="606" w:type="pct"/>
            <w:tcBorders>
              <w:top w:val="nil"/>
              <w:left w:val="nil"/>
              <w:bottom w:val="nil"/>
              <w:right w:val="nil"/>
            </w:tcBorders>
            <w:vAlign w:val="center"/>
            <w:hideMark/>
          </w:tcPr>
          <w:p w14:paraId="275161D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.30</w:t>
            </w:r>
          </w:p>
        </w:tc>
        <w:tc>
          <w:tcPr>
            <w:tcW w:w="289" w:type="pct"/>
            <w:tcBorders>
              <w:top w:val="nil"/>
              <w:left w:val="nil"/>
              <w:bottom w:val="nil"/>
              <w:right w:val="nil"/>
            </w:tcBorders>
            <w:vAlign w:val="center"/>
            <w:hideMark/>
          </w:tcPr>
          <w:p w14:paraId="78241F6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1CD543CE"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.67</w:t>
            </w:r>
          </w:p>
        </w:tc>
        <w:tc>
          <w:tcPr>
            <w:tcW w:w="423" w:type="pct"/>
            <w:tcBorders>
              <w:top w:val="nil"/>
              <w:left w:val="nil"/>
              <w:bottom w:val="nil"/>
              <w:right w:val="nil"/>
            </w:tcBorders>
            <w:vAlign w:val="center"/>
            <w:hideMark/>
          </w:tcPr>
          <w:p w14:paraId="3C96EEB5" w14:textId="63E184EC"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614C74F6" w14:textId="77777777" w:rsidTr="009B79D4">
        <w:trPr>
          <w:trHeight w:val="432"/>
        </w:trPr>
        <w:tc>
          <w:tcPr>
            <w:tcW w:w="1608" w:type="pct"/>
            <w:tcBorders>
              <w:top w:val="nil"/>
              <w:left w:val="nil"/>
              <w:bottom w:val="nil"/>
              <w:right w:val="nil"/>
            </w:tcBorders>
            <w:hideMark/>
          </w:tcPr>
          <w:p w14:paraId="790F94D0"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Irrelevant-Pre Knowledge</w:t>
            </w:r>
          </w:p>
        </w:tc>
        <w:tc>
          <w:tcPr>
            <w:tcW w:w="1673" w:type="pct"/>
            <w:tcBorders>
              <w:top w:val="nil"/>
              <w:left w:val="nil"/>
              <w:bottom w:val="nil"/>
              <w:right w:val="nil"/>
            </w:tcBorders>
            <w:hideMark/>
          </w:tcPr>
          <w:p w14:paraId="65CCD8C3"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Positive – Post Knowledge</w:t>
            </w:r>
          </w:p>
        </w:tc>
        <w:tc>
          <w:tcPr>
            <w:tcW w:w="606" w:type="pct"/>
            <w:tcBorders>
              <w:top w:val="nil"/>
              <w:left w:val="nil"/>
              <w:bottom w:val="nil"/>
              <w:right w:val="nil"/>
            </w:tcBorders>
            <w:vAlign w:val="center"/>
            <w:hideMark/>
          </w:tcPr>
          <w:p w14:paraId="7EA48B9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-.32</w:t>
            </w:r>
          </w:p>
        </w:tc>
        <w:tc>
          <w:tcPr>
            <w:tcW w:w="289" w:type="pct"/>
            <w:tcBorders>
              <w:top w:val="nil"/>
              <w:left w:val="nil"/>
              <w:bottom w:val="nil"/>
              <w:right w:val="nil"/>
            </w:tcBorders>
            <w:vAlign w:val="center"/>
            <w:hideMark/>
          </w:tcPr>
          <w:p w14:paraId="098B855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4886DC5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-.73</w:t>
            </w:r>
          </w:p>
        </w:tc>
        <w:tc>
          <w:tcPr>
            <w:tcW w:w="423" w:type="pct"/>
            <w:tcBorders>
              <w:top w:val="nil"/>
              <w:left w:val="nil"/>
              <w:bottom w:val="nil"/>
              <w:right w:val="nil"/>
            </w:tcBorders>
            <w:vAlign w:val="center"/>
            <w:hideMark/>
          </w:tcPr>
          <w:p w14:paraId="78BF632C" w14:textId="5DB52FC5"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190E116A" w14:textId="77777777" w:rsidTr="009B79D4">
        <w:trPr>
          <w:trHeight w:val="420"/>
        </w:trPr>
        <w:tc>
          <w:tcPr>
            <w:tcW w:w="1608" w:type="pct"/>
            <w:tcBorders>
              <w:top w:val="nil"/>
              <w:left w:val="nil"/>
              <w:bottom w:val="nil"/>
              <w:right w:val="nil"/>
            </w:tcBorders>
          </w:tcPr>
          <w:p w14:paraId="4D2FE373"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413583B3"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Negative – Post Knowledge</w:t>
            </w:r>
          </w:p>
        </w:tc>
        <w:tc>
          <w:tcPr>
            <w:tcW w:w="606" w:type="pct"/>
            <w:tcBorders>
              <w:top w:val="nil"/>
              <w:left w:val="nil"/>
              <w:bottom w:val="nil"/>
              <w:right w:val="nil"/>
            </w:tcBorders>
            <w:vAlign w:val="center"/>
            <w:hideMark/>
          </w:tcPr>
          <w:p w14:paraId="3D0A4A7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-.72</w:t>
            </w:r>
          </w:p>
        </w:tc>
        <w:tc>
          <w:tcPr>
            <w:tcW w:w="289" w:type="pct"/>
            <w:tcBorders>
              <w:top w:val="nil"/>
              <w:left w:val="nil"/>
              <w:bottom w:val="nil"/>
              <w:right w:val="nil"/>
            </w:tcBorders>
            <w:vAlign w:val="center"/>
            <w:hideMark/>
          </w:tcPr>
          <w:p w14:paraId="4ED761F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37D5228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-1.66</w:t>
            </w:r>
          </w:p>
        </w:tc>
        <w:tc>
          <w:tcPr>
            <w:tcW w:w="423" w:type="pct"/>
            <w:tcBorders>
              <w:top w:val="nil"/>
              <w:left w:val="nil"/>
              <w:bottom w:val="nil"/>
              <w:right w:val="nil"/>
            </w:tcBorders>
            <w:vAlign w:val="center"/>
            <w:hideMark/>
          </w:tcPr>
          <w:p w14:paraId="069B90C9" w14:textId="0AF670D6"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0148305C" w14:textId="77777777" w:rsidTr="009B79D4">
        <w:trPr>
          <w:trHeight w:val="432"/>
        </w:trPr>
        <w:tc>
          <w:tcPr>
            <w:tcW w:w="1608" w:type="pct"/>
            <w:tcBorders>
              <w:top w:val="nil"/>
              <w:left w:val="nil"/>
              <w:bottom w:val="nil"/>
              <w:right w:val="nil"/>
            </w:tcBorders>
          </w:tcPr>
          <w:p w14:paraId="4BBED14B"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72701684"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Education - Post Knowledge</w:t>
            </w:r>
          </w:p>
        </w:tc>
        <w:tc>
          <w:tcPr>
            <w:tcW w:w="606" w:type="pct"/>
            <w:tcBorders>
              <w:top w:val="nil"/>
              <w:left w:val="nil"/>
              <w:bottom w:val="nil"/>
              <w:right w:val="nil"/>
            </w:tcBorders>
            <w:vAlign w:val="center"/>
            <w:hideMark/>
          </w:tcPr>
          <w:p w14:paraId="511CB1D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-1.45*</w:t>
            </w:r>
          </w:p>
        </w:tc>
        <w:tc>
          <w:tcPr>
            <w:tcW w:w="289" w:type="pct"/>
            <w:tcBorders>
              <w:top w:val="nil"/>
              <w:left w:val="nil"/>
              <w:bottom w:val="nil"/>
              <w:right w:val="nil"/>
            </w:tcBorders>
            <w:vAlign w:val="center"/>
            <w:hideMark/>
          </w:tcPr>
          <w:p w14:paraId="54DFC14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270591E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-3.28</w:t>
            </w:r>
          </w:p>
        </w:tc>
        <w:tc>
          <w:tcPr>
            <w:tcW w:w="423" w:type="pct"/>
            <w:tcBorders>
              <w:top w:val="nil"/>
              <w:left w:val="nil"/>
              <w:bottom w:val="nil"/>
              <w:right w:val="nil"/>
            </w:tcBorders>
            <w:vAlign w:val="center"/>
            <w:hideMark/>
          </w:tcPr>
          <w:p w14:paraId="1BBB736F" w14:textId="2B53742C"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.03</w:t>
            </w:r>
          </w:p>
        </w:tc>
      </w:tr>
      <w:tr w:rsidR="00DE4EA4" w:rsidRPr="001F64A9" w14:paraId="566F1AE1" w14:textId="77777777" w:rsidTr="009B79D4">
        <w:trPr>
          <w:trHeight w:val="420"/>
        </w:trPr>
        <w:tc>
          <w:tcPr>
            <w:tcW w:w="1608" w:type="pct"/>
            <w:tcBorders>
              <w:top w:val="nil"/>
              <w:left w:val="nil"/>
              <w:bottom w:val="nil"/>
              <w:right w:val="nil"/>
            </w:tcBorders>
          </w:tcPr>
          <w:p w14:paraId="4973F464"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0073784D"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Irrelevant – Post Knowledge</w:t>
            </w:r>
          </w:p>
        </w:tc>
        <w:tc>
          <w:tcPr>
            <w:tcW w:w="606" w:type="pct"/>
            <w:tcBorders>
              <w:top w:val="nil"/>
              <w:left w:val="nil"/>
              <w:bottom w:val="nil"/>
              <w:right w:val="nil"/>
            </w:tcBorders>
            <w:vAlign w:val="center"/>
            <w:hideMark/>
          </w:tcPr>
          <w:p w14:paraId="68DAC3F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-.03</w:t>
            </w:r>
          </w:p>
        </w:tc>
        <w:tc>
          <w:tcPr>
            <w:tcW w:w="289" w:type="pct"/>
            <w:tcBorders>
              <w:top w:val="nil"/>
              <w:left w:val="nil"/>
              <w:bottom w:val="nil"/>
              <w:right w:val="nil"/>
            </w:tcBorders>
            <w:vAlign w:val="center"/>
            <w:hideMark/>
          </w:tcPr>
          <w:p w14:paraId="2B9DAC9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.18</w:t>
            </w:r>
          </w:p>
        </w:tc>
        <w:tc>
          <w:tcPr>
            <w:tcW w:w="402" w:type="pct"/>
            <w:tcBorders>
              <w:top w:val="nil"/>
              <w:left w:val="nil"/>
              <w:bottom w:val="nil"/>
              <w:right w:val="nil"/>
            </w:tcBorders>
            <w:vAlign w:val="center"/>
            <w:hideMark/>
          </w:tcPr>
          <w:p w14:paraId="5AF2B61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-.17</w:t>
            </w:r>
          </w:p>
        </w:tc>
        <w:tc>
          <w:tcPr>
            <w:tcW w:w="423" w:type="pct"/>
            <w:tcBorders>
              <w:top w:val="nil"/>
              <w:left w:val="nil"/>
              <w:bottom w:val="nil"/>
              <w:right w:val="nil"/>
            </w:tcBorders>
            <w:vAlign w:val="center"/>
            <w:hideMark/>
          </w:tcPr>
          <w:p w14:paraId="2C410BD1" w14:textId="3B9C78D4"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62E6CF27" w14:textId="77777777" w:rsidTr="009B79D4">
        <w:trPr>
          <w:trHeight w:val="432"/>
        </w:trPr>
        <w:tc>
          <w:tcPr>
            <w:tcW w:w="1608" w:type="pct"/>
            <w:tcBorders>
              <w:top w:val="nil"/>
              <w:left w:val="nil"/>
              <w:bottom w:val="nil"/>
              <w:right w:val="nil"/>
            </w:tcBorders>
            <w:hideMark/>
          </w:tcPr>
          <w:p w14:paraId="7F670E4A"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Positive-Post Knowledge</w:t>
            </w:r>
          </w:p>
        </w:tc>
        <w:tc>
          <w:tcPr>
            <w:tcW w:w="1673" w:type="pct"/>
            <w:tcBorders>
              <w:top w:val="nil"/>
              <w:left w:val="nil"/>
              <w:bottom w:val="nil"/>
              <w:right w:val="nil"/>
            </w:tcBorders>
            <w:hideMark/>
          </w:tcPr>
          <w:p w14:paraId="2F9C23F2"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Negative – Post Knowledge</w:t>
            </w:r>
          </w:p>
        </w:tc>
        <w:tc>
          <w:tcPr>
            <w:tcW w:w="606" w:type="pct"/>
            <w:tcBorders>
              <w:top w:val="nil"/>
              <w:left w:val="nil"/>
              <w:bottom w:val="nil"/>
              <w:right w:val="nil"/>
            </w:tcBorders>
            <w:vAlign w:val="center"/>
            <w:hideMark/>
          </w:tcPr>
          <w:p w14:paraId="141BC68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-.40</w:t>
            </w:r>
          </w:p>
        </w:tc>
        <w:tc>
          <w:tcPr>
            <w:tcW w:w="289" w:type="pct"/>
            <w:tcBorders>
              <w:top w:val="nil"/>
              <w:left w:val="nil"/>
              <w:bottom w:val="nil"/>
              <w:right w:val="nil"/>
            </w:tcBorders>
            <w:vAlign w:val="center"/>
            <w:hideMark/>
          </w:tcPr>
          <w:p w14:paraId="089B9A5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.43</w:t>
            </w:r>
          </w:p>
        </w:tc>
        <w:tc>
          <w:tcPr>
            <w:tcW w:w="402" w:type="pct"/>
            <w:tcBorders>
              <w:top w:val="nil"/>
              <w:left w:val="nil"/>
              <w:bottom w:val="nil"/>
              <w:right w:val="nil"/>
            </w:tcBorders>
            <w:vAlign w:val="center"/>
            <w:hideMark/>
          </w:tcPr>
          <w:p w14:paraId="547D7E2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-.93</w:t>
            </w:r>
          </w:p>
        </w:tc>
        <w:tc>
          <w:tcPr>
            <w:tcW w:w="423" w:type="pct"/>
            <w:tcBorders>
              <w:top w:val="nil"/>
              <w:left w:val="nil"/>
              <w:bottom w:val="nil"/>
              <w:right w:val="nil"/>
            </w:tcBorders>
            <w:vAlign w:val="center"/>
            <w:hideMark/>
          </w:tcPr>
          <w:p w14:paraId="6D5EA4D7" w14:textId="7CD4235F"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1DD3BC1F" w14:textId="77777777" w:rsidTr="009B79D4">
        <w:trPr>
          <w:trHeight w:val="420"/>
        </w:trPr>
        <w:tc>
          <w:tcPr>
            <w:tcW w:w="1608" w:type="pct"/>
            <w:tcBorders>
              <w:top w:val="nil"/>
              <w:left w:val="nil"/>
              <w:bottom w:val="nil"/>
              <w:right w:val="nil"/>
            </w:tcBorders>
          </w:tcPr>
          <w:p w14:paraId="4BA5FF88"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3A48E19E"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Education - Post Knowledge</w:t>
            </w:r>
          </w:p>
        </w:tc>
        <w:tc>
          <w:tcPr>
            <w:tcW w:w="606" w:type="pct"/>
            <w:tcBorders>
              <w:top w:val="nil"/>
              <w:left w:val="nil"/>
              <w:bottom w:val="nil"/>
              <w:right w:val="nil"/>
            </w:tcBorders>
            <w:vAlign w:val="center"/>
            <w:hideMark/>
          </w:tcPr>
          <w:p w14:paraId="190442BE"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-1.13</w:t>
            </w:r>
          </w:p>
        </w:tc>
        <w:tc>
          <w:tcPr>
            <w:tcW w:w="289" w:type="pct"/>
            <w:tcBorders>
              <w:top w:val="nil"/>
              <w:left w:val="nil"/>
              <w:bottom w:val="nil"/>
              <w:right w:val="nil"/>
            </w:tcBorders>
            <w:vAlign w:val="center"/>
            <w:hideMark/>
          </w:tcPr>
          <w:p w14:paraId="53812C6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1D91E3F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-2.57</w:t>
            </w:r>
          </w:p>
        </w:tc>
        <w:tc>
          <w:tcPr>
            <w:tcW w:w="423" w:type="pct"/>
            <w:tcBorders>
              <w:top w:val="nil"/>
              <w:left w:val="nil"/>
              <w:bottom w:val="nil"/>
              <w:right w:val="nil"/>
            </w:tcBorders>
            <w:vAlign w:val="center"/>
            <w:hideMark/>
          </w:tcPr>
          <w:p w14:paraId="00E2F4BE" w14:textId="3232B0FA"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w:t>
            </w:r>
            <w:r w:rsidR="00DE4EA4" w:rsidRPr="001F64A9">
              <w:rPr>
                <w:rFonts w:asciiTheme="majorBidi" w:eastAsia="Times New Roman" w:hAnsiTheme="majorBidi" w:cstheme="majorBidi"/>
                <w:szCs w:val="24"/>
              </w:rPr>
              <w:t>7</w:t>
            </w:r>
          </w:p>
        </w:tc>
      </w:tr>
      <w:tr w:rsidR="00DE4EA4" w:rsidRPr="001F64A9" w14:paraId="15A196A6" w14:textId="77777777" w:rsidTr="009B79D4">
        <w:trPr>
          <w:trHeight w:val="432"/>
        </w:trPr>
        <w:tc>
          <w:tcPr>
            <w:tcW w:w="1608" w:type="pct"/>
            <w:tcBorders>
              <w:top w:val="nil"/>
              <w:left w:val="nil"/>
              <w:bottom w:val="nil"/>
              <w:right w:val="nil"/>
            </w:tcBorders>
          </w:tcPr>
          <w:p w14:paraId="5EE4B359"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06C14A9E"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Irrelevant – Post Knowledge</w:t>
            </w:r>
          </w:p>
        </w:tc>
        <w:tc>
          <w:tcPr>
            <w:tcW w:w="606" w:type="pct"/>
            <w:tcBorders>
              <w:top w:val="nil"/>
              <w:left w:val="nil"/>
              <w:bottom w:val="nil"/>
              <w:right w:val="nil"/>
            </w:tcBorders>
            <w:vAlign w:val="center"/>
            <w:hideMark/>
          </w:tcPr>
          <w:p w14:paraId="4058532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.29</w:t>
            </w:r>
          </w:p>
        </w:tc>
        <w:tc>
          <w:tcPr>
            <w:tcW w:w="289" w:type="pct"/>
            <w:tcBorders>
              <w:top w:val="nil"/>
              <w:left w:val="nil"/>
              <w:bottom w:val="nil"/>
              <w:right w:val="nil"/>
            </w:tcBorders>
            <w:vAlign w:val="center"/>
            <w:hideMark/>
          </w:tcPr>
          <w:p w14:paraId="177A20F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4350310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.66</w:t>
            </w:r>
          </w:p>
        </w:tc>
        <w:tc>
          <w:tcPr>
            <w:tcW w:w="423" w:type="pct"/>
            <w:tcBorders>
              <w:top w:val="nil"/>
              <w:left w:val="nil"/>
              <w:bottom w:val="nil"/>
              <w:right w:val="nil"/>
            </w:tcBorders>
            <w:vAlign w:val="center"/>
            <w:hideMark/>
          </w:tcPr>
          <w:p w14:paraId="767585F9" w14:textId="5DBC2C34"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59D6FA4F" w14:textId="77777777" w:rsidTr="009B79D4">
        <w:trPr>
          <w:trHeight w:val="420"/>
        </w:trPr>
        <w:tc>
          <w:tcPr>
            <w:tcW w:w="1608" w:type="pct"/>
            <w:tcBorders>
              <w:top w:val="nil"/>
              <w:left w:val="nil"/>
              <w:bottom w:val="nil"/>
              <w:right w:val="nil"/>
            </w:tcBorders>
            <w:hideMark/>
          </w:tcPr>
          <w:p w14:paraId="731D1513"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Negative-Post Knowledge</w:t>
            </w:r>
          </w:p>
        </w:tc>
        <w:tc>
          <w:tcPr>
            <w:tcW w:w="1673" w:type="pct"/>
            <w:tcBorders>
              <w:top w:val="nil"/>
              <w:left w:val="nil"/>
              <w:bottom w:val="nil"/>
              <w:right w:val="nil"/>
            </w:tcBorders>
            <w:hideMark/>
          </w:tcPr>
          <w:p w14:paraId="3DBE71A3"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Education - Post Knowledge</w:t>
            </w:r>
          </w:p>
        </w:tc>
        <w:tc>
          <w:tcPr>
            <w:tcW w:w="606" w:type="pct"/>
            <w:tcBorders>
              <w:top w:val="nil"/>
              <w:left w:val="nil"/>
              <w:bottom w:val="nil"/>
              <w:right w:val="nil"/>
            </w:tcBorders>
            <w:vAlign w:val="center"/>
            <w:hideMark/>
          </w:tcPr>
          <w:p w14:paraId="4E1A5E3E"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-.73</w:t>
            </w:r>
          </w:p>
        </w:tc>
        <w:tc>
          <w:tcPr>
            <w:tcW w:w="289" w:type="pct"/>
            <w:tcBorders>
              <w:top w:val="nil"/>
              <w:left w:val="nil"/>
              <w:bottom w:val="nil"/>
              <w:right w:val="nil"/>
            </w:tcBorders>
            <w:vAlign w:val="center"/>
            <w:hideMark/>
          </w:tcPr>
          <w:p w14:paraId="649E5D2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2A6922F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-1.65</w:t>
            </w:r>
          </w:p>
        </w:tc>
        <w:tc>
          <w:tcPr>
            <w:tcW w:w="423" w:type="pct"/>
            <w:tcBorders>
              <w:top w:val="nil"/>
              <w:left w:val="nil"/>
              <w:bottom w:val="nil"/>
              <w:right w:val="nil"/>
            </w:tcBorders>
            <w:hideMark/>
          </w:tcPr>
          <w:p w14:paraId="1E706B74" w14:textId="16F8A860"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73B65685" w14:textId="77777777" w:rsidTr="009B79D4">
        <w:trPr>
          <w:trHeight w:val="420"/>
        </w:trPr>
        <w:tc>
          <w:tcPr>
            <w:tcW w:w="1608" w:type="pct"/>
            <w:tcBorders>
              <w:top w:val="nil"/>
              <w:left w:val="nil"/>
              <w:bottom w:val="nil"/>
              <w:right w:val="nil"/>
            </w:tcBorders>
          </w:tcPr>
          <w:p w14:paraId="274D993E" w14:textId="77777777" w:rsidR="00EE5072" w:rsidRPr="001F64A9" w:rsidRDefault="00EE5072" w:rsidP="00AB3534">
            <w:pPr>
              <w:spacing w:line="360" w:lineRule="auto"/>
              <w:jc w:val="both"/>
              <w:rPr>
                <w:rFonts w:asciiTheme="majorBidi" w:eastAsia="Times New Roman" w:hAnsiTheme="majorBidi" w:cstheme="majorBidi"/>
                <w:szCs w:val="24"/>
              </w:rPr>
            </w:pPr>
          </w:p>
        </w:tc>
        <w:tc>
          <w:tcPr>
            <w:tcW w:w="1673" w:type="pct"/>
            <w:tcBorders>
              <w:top w:val="nil"/>
              <w:left w:val="nil"/>
              <w:bottom w:val="nil"/>
              <w:right w:val="nil"/>
            </w:tcBorders>
            <w:hideMark/>
          </w:tcPr>
          <w:p w14:paraId="66FCB29E"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Irrelevant – Post Knowledge</w:t>
            </w:r>
          </w:p>
        </w:tc>
        <w:tc>
          <w:tcPr>
            <w:tcW w:w="606" w:type="pct"/>
            <w:tcBorders>
              <w:top w:val="nil"/>
              <w:left w:val="nil"/>
              <w:bottom w:val="nil"/>
              <w:right w:val="nil"/>
            </w:tcBorders>
            <w:vAlign w:val="center"/>
            <w:hideMark/>
          </w:tcPr>
          <w:p w14:paraId="075D421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.69</w:t>
            </w:r>
          </w:p>
        </w:tc>
        <w:tc>
          <w:tcPr>
            <w:tcW w:w="289" w:type="pct"/>
            <w:tcBorders>
              <w:top w:val="nil"/>
              <w:left w:val="nil"/>
              <w:bottom w:val="nil"/>
              <w:right w:val="nil"/>
            </w:tcBorders>
            <w:vAlign w:val="center"/>
            <w:hideMark/>
          </w:tcPr>
          <w:p w14:paraId="1FBD85B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nil"/>
              <w:right w:val="nil"/>
            </w:tcBorders>
            <w:vAlign w:val="center"/>
            <w:hideMark/>
          </w:tcPr>
          <w:p w14:paraId="44C0502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1.58</w:t>
            </w:r>
          </w:p>
        </w:tc>
        <w:tc>
          <w:tcPr>
            <w:tcW w:w="423" w:type="pct"/>
            <w:tcBorders>
              <w:top w:val="nil"/>
              <w:left w:val="nil"/>
              <w:bottom w:val="nil"/>
              <w:right w:val="nil"/>
            </w:tcBorders>
            <w:hideMark/>
          </w:tcPr>
          <w:p w14:paraId="20D0576B" w14:textId="5C602A6A"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w:t>
            </w:r>
          </w:p>
        </w:tc>
      </w:tr>
      <w:tr w:rsidR="00DE4EA4" w:rsidRPr="001F64A9" w14:paraId="1FAC43DE" w14:textId="77777777" w:rsidTr="009B79D4">
        <w:trPr>
          <w:trHeight w:val="432"/>
        </w:trPr>
        <w:tc>
          <w:tcPr>
            <w:tcW w:w="1608" w:type="pct"/>
            <w:tcBorders>
              <w:top w:val="nil"/>
              <w:left w:val="nil"/>
              <w:bottom w:val="single" w:sz="4" w:space="0" w:color="auto"/>
              <w:right w:val="nil"/>
            </w:tcBorders>
            <w:hideMark/>
          </w:tcPr>
          <w:p w14:paraId="3522246D"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Education-Post Knowledge</w:t>
            </w:r>
          </w:p>
        </w:tc>
        <w:tc>
          <w:tcPr>
            <w:tcW w:w="1673" w:type="pct"/>
            <w:tcBorders>
              <w:top w:val="nil"/>
              <w:left w:val="nil"/>
              <w:bottom w:val="single" w:sz="4" w:space="0" w:color="auto"/>
              <w:right w:val="nil"/>
            </w:tcBorders>
            <w:hideMark/>
          </w:tcPr>
          <w:p w14:paraId="79DC4A07" w14:textId="77777777" w:rsidR="00EE5072" w:rsidRPr="001F64A9" w:rsidRDefault="00EE5072" w:rsidP="00AB3534">
            <w:pPr>
              <w:spacing w:line="360" w:lineRule="auto"/>
              <w:jc w:val="both"/>
              <w:rPr>
                <w:rFonts w:asciiTheme="majorBidi" w:eastAsia="Times New Roman" w:hAnsiTheme="majorBidi" w:cstheme="majorBidi"/>
                <w:szCs w:val="24"/>
              </w:rPr>
            </w:pPr>
            <w:r w:rsidRPr="001F64A9">
              <w:rPr>
                <w:rFonts w:asciiTheme="majorBidi" w:eastAsia="Times New Roman" w:hAnsiTheme="majorBidi" w:cstheme="majorBidi"/>
                <w:szCs w:val="24"/>
              </w:rPr>
              <w:t>Irrelevant – Post Knowledge</w:t>
            </w:r>
          </w:p>
        </w:tc>
        <w:tc>
          <w:tcPr>
            <w:tcW w:w="606" w:type="pct"/>
            <w:tcBorders>
              <w:top w:val="nil"/>
              <w:left w:val="nil"/>
              <w:bottom w:val="single" w:sz="4" w:space="0" w:color="auto"/>
              <w:right w:val="nil"/>
            </w:tcBorders>
            <w:vAlign w:val="center"/>
            <w:hideMark/>
          </w:tcPr>
          <w:p w14:paraId="1310E5F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1.42*</w:t>
            </w:r>
          </w:p>
        </w:tc>
        <w:tc>
          <w:tcPr>
            <w:tcW w:w="289" w:type="pct"/>
            <w:tcBorders>
              <w:top w:val="nil"/>
              <w:left w:val="nil"/>
              <w:bottom w:val="single" w:sz="4" w:space="0" w:color="auto"/>
              <w:right w:val="nil"/>
            </w:tcBorders>
            <w:vAlign w:val="center"/>
            <w:hideMark/>
          </w:tcPr>
          <w:p w14:paraId="0A53965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.44</w:t>
            </w:r>
          </w:p>
        </w:tc>
        <w:tc>
          <w:tcPr>
            <w:tcW w:w="402" w:type="pct"/>
            <w:tcBorders>
              <w:top w:val="nil"/>
              <w:left w:val="nil"/>
              <w:bottom w:val="single" w:sz="4" w:space="0" w:color="auto"/>
              <w:right w:val="nil"/>
            </w:tcBorders>
            <w:vAlign w:val="center"/>
            <w:hideMark/>
          </w:tcPr>
          <w:p w14:paraId="43BB5E5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hAnsiTheme="majorBidi" w:cstheme="majorBidi"/>
              </w:rPr>
              <w:t>3.21</w:t>
            </w:r>
          </w:p>
        </w:tc>
        <w:tc>
          <w:tcPr>
            <w:tcW w:w="423" w:type="pct"/>
            <w:tcBorders>
              <w:top w:val="nil"/>
              <w:left w:val="nil"/>
              <w:bottom w:val="single" w:sz="4" w:space="0" w:color="auto"/>
              <w:right w:val="nil"/>
            </w:tcBorders>
            <w:vAlign w:val="center"/>
            <w:hideMark/>
          </w:tcPr>
          <w:p w14:paraId="06204964" w14:textId="0AF09428"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w:t>
            </w:r>
            <w:r w:rsidR="00DE4EA4" w:rsidRPr="001F64A9">
              <w:rPr>
                <w:rFonts w:asciiTheme="majorBidi" w:eastAsia="Times New Roman" w:hAnsiTheme="majorBidi" w:cstheme="majorBidi"/>
                <w:szCs w:val="24"/>
              </w:rPr>
              <w:t>4</w:t>
            </w:r>
          </w:p>
        </w:tc>
      </w:tr>
    </w:tbl>
    <w:p w14:paraId="1FF691FA" w14:textId="143FD135" w:rsidR="00EE5072" w:rsidRPr="001F64A9" w:rsidRDefault="00EE5072">
      <w:pPr>
        <w:rPr>
          <w:rFonts w:asciiTheme="majorBidi" w:eastAsia="Times New Roman" w:hAnsiTheme="majorBidi" w:cstheme="majorBidi"/>
          <w:bCs/>
          <w:sz w:val="20"/>
          <w:szCs w:val="20"/>
        </w:rPr>
      </w:pPr>
      <w:r w:rsidRPr="001F64A9">
        <w:rPr>
          <w:rFonts w:asciiTheme="majorBidi" w:hAnsiTheme="majorBidi" w:cstheme="majorBidi"/>
          <w:i/>
          <w:iCs/>
          <w:sz w:val="20"/>
          <w:szCs w:val="20"/>
        </w:rPr>
        <w:t xml:space="preserve">Note. </w:t>
      </w:r>
      <w:r w:rsidRPr="001F64A9">
        <w:rPr>
          <w:rFonts w:asciiTheme="majorBidi" w:eastAsia="Times New Roman" w:hAnsiTheme="majorBidi" w:cstheme="majorBidi"/>
          <w:bCs/>
          <w:sz w:val="20"/>
          <w:szCs w:val="20"/>
        </w:rPr>
        <w:t>*</w:t>
      </w:r>
      <w:r w:rsidRPr="001F64A9">
        <w:rPr>
          <w:rFonts w:asciiTheme="majorBidi" w:eastAsia="Times New Roman" w:hAnsiTheme="majorBidi" w:cstheme="majorBidi"/>
          <w:bCs/>
          <w:i/>
          <w:iCs/>
          <w:sz w:val="20"/>
          <w:szCs w:val="20"/>
        </w:rPr>
        <w:t>p</w:t>
      </w:r>
      <w:r w:rsidRPr="001F64A9">
        <w:rPr>
          <w:rFonts w:asciiTheme="majorBidi" w:eastAsia="Times New Roman" w:hAnsiTheme="majorBidi" w:cstheme="majorBidi"/>
          <w:bCs/>
          <w:sz w:val="20"/>
          <w:szCs w:val="20"/>
        </w:rPr>
        <w:t xml:space="preserve"> &lt; .05, ***</w:t>
      </w:r>
      <w:r w:rsidRPr="001F64A9">
        <w:rPr>
          <w:rFonts w:asciiTheme="majorBidi" w:eastAsia="Times New Roman" w:hAnsiTheme="majorBidi" w:cstheme="majorBidi"/>
          <w:bCs/>
          <w:i/>
          <w:iCs/>
          <w:sz w:val="20"/>
          <w:szCs w:val="20"/>
        </w:rPr>
        <w:t>p</w:t>
      </w:r>
      <w:r w:rsidRPr="001F64A9">
        <w:rPr>
          <w:rFonts w:asciiTheme="majorBidi" w:eastAsia="Times New Roman" w:hAnsiTheme="majorBidi" w:cstheme="majorBidi"/>
          <w:bCs/>
          <w:sz w:val="20"/>
          <w:szCs w:val="20"/>
        </w:rPr>
        <w:t xml:space="preserve"> &lt; .001</w:t>
      </w:r>
      <w:r w:rsidRPr="001F64A9">
        <w:rPr>
          <w:rFonts w:asciiTheme="majorBidi" w:eastAsia="Times New Roman" w:hAnsiTheme="majorBidi" w:cstheme="majorBidi"/>
          <w:bCs/>
          <w:sz w:val="20"/>
          <w:szCs w:val="20"/>
        </w:rPr>
        <w:t>.</w:t>
      </w:r>
    </w:p>
    <w:p w14:paraId="74740416" w14:textId="21CDAF6A" w:rsidR="00EE5072" w:rsidRPr="001F64A9" w:rsidRDefault="00EE5072">
      <w:pPr>
        <w:spacing w:line="259" w:lineRule="auto"/>
        <w:rPr>
          <w:rFonts w:asciiTheme="majorBidi" w:eastAsia="Times New Roman" w:hAnsiTheme="majorBidi" w:cstheme="majorBidi"/>
          <w:bCs/>
          <w:sz w:val="20"/>
          <w:szCs w:val="20"/>
        </w:rPr>
      </w:pPr>
      <w:r w:rsidRPr="001F64A9">
        <w:rPr>
          <w:rFonts w:asciiTheme="majorBidi" w:eastAsia="Times New Roman" w:hAnsiTheme="majorBidi" w:cstheme="majorBidi"/>
          <w:bCs/>
          <w:sz w:val="20"/>
          <w:szCs w:val="20"/>
        </w:rPr>
        <w:br w:type="page"/>
      </w:r>
    </w:p>
    <w:p w14:paraId="2B20C695" w14:textId="77777777" w:rsidR="00EE5072" w:rsidRPr="001F64A9" w:rsidRDefault="00EE5072" w:rsidP="00EE5072">
      <w:pPr>
        <w:spacing w:line="480" w:lineRule="auto"/>
        <w:jc w:val="both"/>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Table 14</w:t>
      </w:r>
    </w:p>
    <w:p w14:paraId="236EFA54" w14:textId="77777777" w:rsidR="00EE5072" w:rsidRPr="001F64A9" w:rsidRDefault="00EE5072" w:rsidP="00EE5072">
      <w:pPr>
        <w:spacing w:line="480" w:lineRule="auto"/>
        <w:jc w:val="both"/>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Descriptive Statistics of Pre-Post Attitude toward DNR, Groups, and their Interaction in Experiment 2</w:t>
      </w:r>
    </w:p>
    <w:tbl>
      <w:tblPr>
        <w:tblStyle w:val="TableGrid"/>
        <w:tblW w:w="4986"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2"/>
        <w:gridCol w:w="3302"/>
        <w:gridCol w:w="1869"/>
        <w:gridCol w:w="861"/>
      </w:tblGrid>
      <w:tr w:rsidR="00EE5072" w:rsidRPr="001F64A9" w14:paraId="42FA807A" w14:textId="77777777" w:rsidTr="009B79D4">
        <w:trPr>
          <w:trHeight w:val="415"/>
        </w:trPr>
        <w:tc>
          <w:tcPr>
            <w:tcW w:w="1769" w:type="pct"/>
            <w:tcBorders>
              <w:top w:val="single" w:sz="4" w:space="0" w:color="auto"/>
              <w:left w:val="nil"/>
              <w:bottom w:val="single" w:sz="4" w:space="0" w:color="auto"/>
              <w:right w:val="nil"/>
            </w:tcBorders>
            <w:vAlign w:val="center"/>
          </w:tcPr>
          <w:p w14:paraId="738624D5" w14:textId="77777777" w:rsidR="00EE5072" w:rsidRPr="001F64A9" w:rsidRDefault="00EE5072" w:rsidP="00AB3534">
            <w:pPr>
              <w:spacing w:line="360" w:lineRule="auto"/>
              <w:rPr>
                <w:rFonts w:asciiTheme="majorBidi" w:eastAsia="Times New Roman" w:hAnsiTheme="majorBidi" w:cstheme="majorBidi"/>
                <w:szCs w:val="24"/>
              </w:rPr>
            </w:pPr>
          </w:p>
        </w:tc>
        <w:tc>
          <w:tcPr>
            <w:tcW w:w="1769" w:type="pct"/>
            <w:tcBorders>
              <w:top w:val="single" w:sz="4" w:space="0" w:color="auto"/>
              <w:left w:val="nil"/>
              <w:bottom w:val="single" w:sz="4" w:space="0" w:color="auto"/>
              <w:right w:val="nil"/>
            </w:tcBorders>
            <w:vAlign w:val="center"/>
            <w:hideMark/>
          </w:tcPr>
          <w:p w14:paraId="7C3FE1AE"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Pre-Post DNR Attitude</w:t>
            </w:r>
          </w:p>
        </w:tc>
        <w:tc>
          <w:tcPr>
            <w:tcW w:w="1001" w:type="pct"/>
            <w:tcBorders>
              <w:top w:val="single" w:sz="4" w:space="0" w:color="auto"/>
              <w:left w:val="nil"/>
              <w:bottom w:val="single" w:sz="4" w:space="0" w:color="auto"/>
              <w:right w:val="nil"/>
            </w:tcBorders>
            <w:vAlign w:val="center"/>
            <w:hideMark/>
          </w:tcPr>
          <w:p w14:paraId="39C1DC67"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Marginal M</w:t>
            </w:r>
          </w:p>
        </w:tc>
        <w:tc>
          <w:tcPr>
            <w:tcW w:w="461" w:type="pct"/>
            <w:tcBorders>
              <w:top w:val="single" w:sz="4" w:space="0" w:color="auto"/>
              <w:left w:val="nil"/>
              <w:bottom w:val="single" w:sz="4" w:space="0" w:color="auto"/>
              <w:right w:val="nil"/>
            </w:tcBorders>
            <w:vAlign w:val="center"/>
            <w:hideMark/>
          </w:tcPr>
          <w:p w14:paraId="5D312F90"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SE</w:t>
            </w:r>
          </w:p>
        </w:tc>
      </w:tr>
      <w:tr w:rsidR="00EE5072" w:rsidRPr="001F64A9" w14:paraId="7A07CFF3" w14:textId="77777777" w:rsidTr="009B79D4">
        <w:trPr>
          <w:trHeight w:val="427"/>
        </w:trPr>
        <w:tc>
          <w:tcPr>
            <w:tcW w:w="1769" w:type="pct"/>
            <w:tcBorders>
              <w:top w:val="single" w:sz="4" w:space="0" w:color="auto"/>
              <w:left w:val="nil"/>
              <w:bottom w:val="nil"/>
              <w:right w:val="nil"/>
            </w:tcBorders>
            <w:vAlign w:val="center"/>
          </w:tcPr>
          <w:p w14:paraId="1F1FA802" w14:textId="77777777" w:rsidR="00EE5072" w:rsidRPr="001F64A9" w:rsidRDefault="00EE5072" w:rsidP="00AB3534">
            <w:pPr>
              <w:spacing w:line="360" w:lineRule="auto"/>
              <w:rPr>
                <w:rFonts w:asciiTheme="majorBidi" w:eastAsia="Times New Roman" w:hAnsiTheme="majorBidi" w:cstheme="majorBidi"/>
                <w:szCs w:val="24"/>
              </w:rPr>
            </w:pPr>
          </w:p>
        </w:tc>
        <w:tc>
          <w:tcPr>
            <w:tcW w:w="1769" w:type="pct"/>
            <w:tcBorders>
              <w:top w:val="single" w:sz="4" w:space="0" w:color="auto"/>
              <w:left w:val="nil"/>
              <w:bottom w:val="nil"/>
              <w:right w:val="nil"/>
            </w:tcBorders>
            <w:vAlign w:val="center"/>
            <w:hideMark/>
          </w:tcPr>
          <w:p w14:paraId="1C7D067B"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Pre DNR Attitude</w:t>
            </w:r>
          </w:p>
        </w:tc>
        <w:tc>
          <w:tcPr>
            <w:tcW w:w="1001" w:type="pct"/>
            <w:tcBorders>
              <w:top w:val="single" w:sz="4" w:space="0" w:color="auto"/>
              <w:left w:val="nil"/>
              <w:bottom w:val="nil"/>
              <w:right w:val="nil"/>
            </w:tcBorders>
            <w:vAlign w:val="center"/>
            <w:hideMark/>
          </w:tcPr>
          <w:p w14:paraId="036E678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9.02</w:t>
            </w:r>
          </w:p>
        </w:tc>
        <w:tc>
          <w:tcPr>
            <w:tcW w:w="461" w:type="pct"/>
            <w:tcBorders>
              <w:top w:val="single" w:sz="4" w:space="0" w:color="auto"/>
              <w:left w:val="nil"/>
              <w:bottom w:val="nil"/>
              <w:right w:val="nil"/>
            </w:tcBorders>
            <w:vAlign w:val="center"/>
            <w:hideMark/>
          </w:tcPr>
          <w:p w14:paraId="3D86DE3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.19</w:t>
            </w:r>
          </w:p>
        </w:tc>
      </w:tr>
      <w:tr w:rsidR="00EE5072" w:rsidRPr="001F64A9" w14:paraId="4D5427C7" w14:textId="77777777" w:rsidTr="009B79D4">
        <w:trPr>
          <w:trHeight w:val="415"/>
        </w:trPr>
        <w:tc>
          <w:tcPr>
            <w:tcW w:w="1769" w:type="pct"/>
            <w:tcBorders>
              <w:top w:val="nil"/>
              <w:left w:val="nil"/>
              <w:bottom w:val="single" w:sz="4" w:space="0" w:color="auto"/>
              <w:right w:val="nil"/>
            </w:tcBorders>
            <w:vAlign w:val="center"/>
          </w:tcPr>
          <w:p w14:paraId="18C193AB" w14:textId="77777777" w:rsidR="00EE5072" w:rsidRPr="001F64A9" w:rsidRDefault="00EE5072" w:rsidP="00AB3534">
            <w:pPr>
              <w:spacing w:line="360" w:lineRule="auto"/>
              <w:rPr>
                <w:rFonts w:asciiTheme="majorBidi" w:eastAsia="Times New Roman" w:hAnsiTheme="majorBidi" w:cstheme="majorBidi"/>
                <w:szCs w:val="24"/>
              </w:rPr>
            </w:pPr>
          </w:p>
        </w:tc>
        <w:tc>
          <w:tcPr>
            <w:tcW w:w="1769" w:type="pct"/>
            <w:tcBorders>
              <w:top w:val="nil"/>
              <w:left w:val="nil"/>
              <w:bottom w:val="single" w:sz="4" w:space="0" w:color="auto"/>
              <w:right w:val="nil"/>
            </w:tcBorders>
            <w:vAlign w:val="center"/>
            <w:hideMark/>
          </w:tcPr>
          <w:p w14:paraId="554ABA4C"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Post DNR Attitude</w:t>
            </w:r>
          </w:p>
        </w:tc>
        <w:tc>
          <w:tcPr>
            <w:tcW w:w="1001" w:type="pct"/>
            <w:tcBorders>
              <w:top w:val="nil"/>
              <w:left w:val="nil"/>
              <w:bottom w:val="single" w:sz="4" w:space="0" w:color="auto"/>
              <w:right w:val="nil"/>
            </w:tcBorders>
            <w:vAlign w:val="center"/>
            <w:hideMark/>
          </w:tcPr>
          <w:p w14:paraId="2ED9D1C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9.70</w:t>
            </w:r>
          </w:p>
        </w:tc>
        <w:tc>
          <w:tcPr>
            <w:tcW w:w="461" w:type="pct"/>
            <w:tcBorders>
              <w:top w:val="nil"/>
              <w:left w:val="nil"/>
              <w:bottom w:val="single" w:sz="4" w:space="0" w:color="auto"/>
              <w:right w:val="nil"/>
            </w:tcBorders>
            <w:vAlign w:val="center"/>
            <w:hideMark/>
          </w:tcPr>
          <w:p w14:paraId="75515C7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.19</w:t>
            </w:r>
          </w:p>
        </w:tc>
      </w:tr>
      <w:tr w:rsidR="00EE5072" w:rsidRPr="001F64A9" w14:paraId="24389F75" w14:textId="77777777" w:rsidTr="009B79D4">
        <w:trPr>
          <w:trHeight w:val="415"/>
        </w:trPr>
        <w:tc>
          <w:tcPr>
            <w:tcW w:w="1769" w:type="pct"/>
            <w:tcBorders>
              <w:top w:val="single" w:sz="4" w:space="0" w:color="auto"/>
              <w:left w:val="nil"/>
              <w:bottom w:val="single" w:sz="4" w:space="0" w:color="auto"/>
              <w:right w:val="nil"/>
            </w:tcBorders>
            <w:vAlign w:val="center"/>
          </w:tcPr>
          <w:p w14:paraId="3086D722" w14:textId="77777777" w:rsidR="00EE5072" w:rsidRPr="001F64A9" w:rsidRDefault="00EE5072" w:rsidP="00AB3534">
            <w:pPr>
              <w:spacing w:line="360" w:lineRule="auto"/>
              <w:rPr>
                <w:rFonts w:asciiTheme="majorBidi" w:eastAsia="Times New Roman" w:hAnsiTheme="majorBidi" w:cstheme="majorBidi"/>
                <w:szCs w:val="24"/>
              </w:rPr>
            </w:pPr>
          </w:p>
        </w:tc>
        <w:tc>
          <w:tcPr>
            <w:tcW w:w="1769" w:type="pct"/>
            <w:tcBorders>
              <w:top w:val="single" w:sz="4" w:space="0" w:color="auto"/>
              <w:left w:val="nil"/>
              <w:bottom w:val="single" w:sz="4" w:space="0" w:color="auto"/>
              <w:right w:val="nil"/>
            </w:tcBorders>
            <w:vAlign w:val="center"/>
            <w:hideMark/>
          </w:tcPr>
          <w:p w14:paraId="3FF80506"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Groups</w:t>
            </w:r>
          </w:p>
        </w:tc>
        <w:tc>
          <w:tcPr>
            <w:tcW w:w="1001" w:type="pct"/>
            <w:tcBorders>
              <w:top w:val="single" w:sz="4" w:space="0" w:color="auto"/>
              <w:left w:val="nil"/>
              <w:bottom w:val="single" w:sz="4" w:space="0" w:color="auto"/>
              <w:right w:val="nil"/>
            </w:tcBorders>
            <w:vAlign w:val="center"/>
            <w:hideMark/>
          </w:tcPr>
          <w:p w14:paraId="28E5909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i/>
                <w:iCs/>
                <w:szCs w:val="24"/>
              </w:rPr>
              <w:t>Marginal M</w:t>
            </w:r>
          </w:p>
        </w:tc>
        <w:tc>
          <w:tcPr>
            <w:tcW w:w="461" w:type="pct"/>
            <w:tcBorders>
              <w:top w:val="single" w:sz="4" w:space="0" w:color="auto"/>
              <w:left w:val="nil"/>
              <w:bottom w:val="single" w:sz="4" w:space="0" w:color="auto"/>
              <w:right w:val="nil"/>
            </w:tcBorders>
            <w:vAlign w:val="center"/>
            <w:hideMark/>
          </w:tcPr>
          <w:p w14:paraId="09E7FF4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i/>
                <w:iCs/>
                <w:szCs w:val="24"/>
              </w:rPr>
              <w:t>SE</w:t>
            </w:r>
          </w:p>
        </w:tc>
      </w:tr>
      <w:tr w:rsidR="00EE5072" w:rsidRPr="001F64A9" w14:paraId="19A7905B" w14:textId="77777777" w:rsidTr="009B79D4">
        <w:trPr>
          <w:trHeight w:val="427"/>
        </w:trPr>
        <w:tc>
          <w:tcPr>
            <w:tcW w:w="1769" w:type="pct"/>
            <w:tcBorders>
              <w:top w:val="single" w:sz="4" w:space="0" w:color="auto"/>
              <w:left w:val="nil"/>
              <w:bottom w:val="nil"/>
              <w:right w:val="nil"/>
            </w:tcBorders>
            <w:vAlign w:val="center"/>
          </w:tcPr>
          <w:p w14:paraId="2B4A177C" w14:textId="77777777" w:rsidR="00EE5072" w:rsidRPr="001F64A9" w:rsidRDefault="00EE5072" w:rsidP="00AB3534">
            <w:pPr>
              <w:spacing w:line="360" w:lineRule="auto"/>
              <w:rPr>
                <w:rFonts w:asciiTheme="majorBidi" w:eastAsia="Times New Roman" w:hAnsiTheme="majorBidi" w:cstheme="majorBidi"/>
                <w:szCs w:val="24"/>
              </w:rPr>
            </w:pPr>
          </w:p>
        </w:tc>
        <w:tc>
          <w:tcPr>
            <w:tcW w:w="1769" w:type="pct"/>
            <w:tcBorders>
              <w:top w:val="single" w:sz="4" w:space="0" w:color="auto"/>
              <w:left w:val="nil"/>
              <w:bottom w:val="nil"/>
              <w:right w:val="nil"/>
            </w:tcBorders>
            <w:vAlign w:val="center"/>
            <w:hideMark/>
          </w:tcPr>
          <w:p w14:paraId="5473AA91"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Frame</w:t>
            </w:r>
          </w:p>
        </w:tc>
        <w:tc>
          <w:tcPr>
            <w:tcW w:w="1001" w:type="pct"/>
            <w:tcBorders>
              <w:top w:val="single" w:sz="4" w:space="0" w:color="auto"/>
              <w:left w:val="nil"/>
              <w:bottom w:val="nil"/>
              <w:right w:val="nil"/>
            </w:tcBorders>
            <w:vAlign w:val="center"/>
            <w:hideMark/>
          </w:tcPr>
          <w:p w14:paraId="7463513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9.16</w:t>
            </w:r>
          </w:p>
        </w:tc>
        <w:tc>
          <w:tcPr>
            <w:tcW w:w="461" w:type="pct"/>
            <w:tcBorders>
              <w:top w:val="single" w:sz="4" w:space="0" w:color="auto"/>
              <w:left w:val="nil"/>
              <w:bottom w:val="nil"/>
              <w:right w:val="nil"/>
            </w:tcBorders>
            <w:hideMark/>
          </w:tcPr>
          <w:p w14:paraId="212EC0C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.35</w:t>
            </w:r>
          </w:p>
        </w:tc>
      </w:tr>
      <w:tr w:rsidR="00EE5072" w:rsidRPr="001F64A9" w14:paraId="6AD64F99" w14:textId="77777777" w:rsidTr="009B79D4">
        <w:trPr>
          <w:trHeight w:val="415"/>
        </w:trPr>
        <w:tc>
          <w:tcPr>
            <w:tcW w:w="1769" w:type="pct"/>
            <w:tcBorders>
              <w:top w:val="nil"/>
              <w:left w:val="nil"/>
              <w:bottom w:val="nil"/>
              <w:right w:val="nil"/>
            </w:tcBorders>
            <w:vAlign w:val="center"/>
          </w:tcPr>
          <w:p w14:paraId="4C59ADA7" w14:textId="77777777" w:rsidR="00EE5072" w:rsidRPr="001F64A9" w:rsidRDefault="00EE5072" w:rsidP="00AB3534">
            <w:pPr>
              <w:spacing w:line="360" w:lineRule="auto"/>
              <w:rPr>
                <w:rFonts w:asciiTheme="majorBidi" w:eastAsia="Times New Roman" w:hAnsiTheme="majorBidi" w:cstheme="majorBidi"/>
                <w:szCs w:val="24"/>
              </w:rPr>
            </w:pPr>
          </w:p>
        </w:tc>
        <w:tc>
          <w:tcPr>
            <w:tcW w:w="1769" w:type="pct"/>
            <w:tcBorders>
              <w:top w:val="nil"/>
              <w:left w:val="nil"/>
              <w:bottom w:val="nil"/>
              <w:right w:val="nil"/>
            </w:tcBorders>
            <w:vAlign w:val="center"/>
            <w:hideMark/>
          </w:tcPr>
          <w:p w14:paraId="2767BB28"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Frame</w:t>
            </w:r>
          </w:p>
        </w:tc>
        <w:tc>
          <w:tcPr>
            <w:tcW w:w="1001" w:type="pct"/>
            <w:tcBorders>
              <w:top w:val="nil"/>
              <w:left w:val="nil"/>
              <w:bottom w:val="nil"/>
              <w:right w:val="nil"/>
            </w:tcBorders>
            <w:vAlign w:val="center"/>
            <w:hideMark/>
          </w:tcPr>
          <w:p w14:paraId="5183BF0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9.25</w:t>
            </w:r>
          </w:p>
        </w:tc>
        <w:tc>
          <w:tcPr>
            <w:tcW w:w="461" w:type="pct"/>
            <w:tcBorders>
              <w:top w:val="nil"/>
              <w:left w:val="nil"/>
              <w:bottom w:val="nil"/>
              <w:right w:val="nil"/>
            </w:tcBorders>
            <w:hideMark/>
          </w:tcPr>
          <w:p w14:paraId="4645478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.35</w:t>
            </w:r>
          </w:p>
        </w:tc>
      </w:tr>
      <w:tr w:rsidR="00EE5072" w:rsidRPr="001F64A9" w14:paraId="12462EF1" w14:textId="77777777" w:rsidTr="009B79D4">
        <w:trPr>
          <w:trHeight w:val="427"/>
        </w:trPr>
        <w:tc>
          <w:tcPr>
            <w:tcW w:w="1769" w:type="pct"/>
            <w:tcBorders>
              <w:top w:val="nil"/>
              <w:left w:val="nil"/>
              <w:bottom w:val="nil"/>
              <w:right w:val="nil"/>
            </w:tcBorders>
            <w:vAlign w:val="center"/>
          </w:tcPr>
          <w:p w14:paraId="3AB891F3" w14:textId="77777777" w:rsidR="00EE5072" w:rsidRPr="001F64A9" w:rsidRDefault="00EE5072" w:rsidP="00AB3534">
            <w:pPr>
              <w:spacing w:line="360" w:lineRule="auto"/>
              <w:rPr>
                <w:rFonts w:asciiTheme="majorBidi" w:eastAsia="Times New Roman" w:hAnsiTheme="majorBidi" w:cstheme="majorBidi"/>
                <w:szCs w:val="24"/>
              </w:rPr>
            </w:pPr>
          </w:p>
        </w:tc>
        <w:tc>
          <w:tcPr>
            <w:tcW w:w="1769" w:type="pct"/>
            <w:tcBorders>
              <w:top w:val="nil"/>
              <w:left w:val="nil"/>
              <w:bottom w:val="nil"/>
              <w:right w:val="nil"/>
            </w:tcBorders>
            <w:vAlign w:val="center"/>
            <w:hideMark/>
          </w:tcPr>
          <w:p w14:paraId="55C3EA5F"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Educational Video</w:t>
            </w:r>
          </w:p>
        </w:tc>
        <w:tc>
          <w:tcPr>
            <w:tcW w:w="1001" w:type="pct"/>
            <w:tcBorders>
              <w:top w:val="nil"/>
              <w:left w:val="nil"/>
              <w:bottom w:val="nil"/>
              <w:right w:val="nil"/>
            </w:tcBorders>
            <w:vAlign w:val="center"/>
            <w:hideMark/>
          </w:tcPr>
          <w:p w14:paraId="5803293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9.98</w:t>
            </w:r>
          </w:p>
        </w:tc>
        <w:tc>
          <w:tcPr>
            <w:tcW w:w="461" w:type="pct"/>
            <w:tcBorders>
              <w:top w:val="nil"/>
              <w:left w:val="nil"/>
              <w:bottom w:val="nil"/>
              <w:right w:val="nil"/>
            </w:tcBorders>
            <w:hideMark/>
          </w:tcPr>
          <w:p w14:paraId="0C50C94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.35</w:t>
            </w:r>
          </w:p>
        </w:tc>
      </w:tr>
      <w:tr w:rsidR="00EE5072" w:rsidRPr="001F64A9" w14:paraId="167BEE7D" w14:textId="77777777" w:rsidTr="009B79D4">
        <w:trPr>
          <w:trHeight w:val="415"/>
        </w:trPr>
        <w:tc>
          <w:tcPr>
            <w:tcW w:w="1769" w:type="pct"/>
            <w:tcBorders>
              <w:top w:val="nil"/>
              <w:left w:val="nil"/>
              <w:bottom w:val="single" w:sz="4" w:space="0" w:color="auto"/>
              <w:right w:val="nil"/>
            </w:tcBorders>
            <w:vAlign w:val="center"/>
          </w:tcPr>
          <w:p w14:paraId="298382FB" w14:textId="77777777" w:rsidR="00EE5072" w:rsidRPr="001F64A9" w:rsidRDefault="00EE5072" w:rsidP="00AB3534">
            <w:pPr>
              <w:spacing w:line="360" w:lineRule="auto"/>
              <w:rPr>
                <w:rFonts w:asciiTheme="majorBidi" w:eastAsia="Times New Roman" w:hAnsiTheme="majorBidi" w:cstheme="majorBidi"/>
                <w:szCs w:val="24"/>
              </w:rPr>
            </w:pPr>
          </w:p>
        </w:tc>
        <w:tc>
          <w:tcPr>
            <w:tcW w:w="1769" w:type="pct"/>
            <w:tcBorders>
              <w:top w:val="nil"/>
              <w:left w:val="nil"/>
              <w:bottom w:val="single" w:sz="4" w:space="0" w:color="auto"/>
              <w:right w:val="nil"/>
            </w:tcBorders>
            <w:vAlign w:val="center"/>
            <w:hideMark/>
          </w:tcPr>
          <w:p w14:paraId="3544B033"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Video</w:t>
            </w:r>
          </w:p>
        </w:tc>
        <w:tc>
          <w:tcPr>
            <w:tcW w:w="1001" w:type="pct"/>
            <w:tcBorders>
              <w:top w:val="nil"/>
              <w:left w:val="nil"/>
              <w:bottom w:val="single" w:sz="4" w:space="0" w:color="auto"/>
              <w:right w:val="nil"/>
            </w:tcBorders>
            <w:vAlign w:val="center"/>
            <w:hideMark/>
          </w:tcPr>
          <w:p w14:paraId="2728664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9.07</w:t>
            </w:r>
          </w:p>
        </w:tc>
        <w:tc>
          <w:tcPr>
            <w:tcW w:w="461" w:type="pct"/>
            <w:tcBorders>
              <w:top w:val="nil"/>
              <w:left w:val="nil"/>
              <w:bottom w:val="single" w:sz="4" w:space="0" w:color="auto"/>
              <w:right w:val="nil"/>
            </w:tcBorders>
            <w:vAlign w:val="center"/>
            <w:hideMark/>
          </w:tcPr>
          <w:p w14:paraId="53E86BC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.35</w:t>
            </w:r>
          </w:p>
        </w:tc>
      </w:tr>
      <w:tr w:rsidR="00EE5072" w:rsidRPr="001F64A9" w14:paraId="1CB3496D" w14:textId="77777777" w:rsidTr="009B79D4">
        <w:trPr>
          <w:trHeight w:val="427"/>
        </w:trPr>
        <w:tc>
          <w:tcPr>
            <w:tcW w:w="1769" w:type="pct"/>
            <w:tcBorders>
              <w:top w:val="single" w:sz="4" w:space="0" w:color="auto"/>
              <w:left w:val="nil"/>
              <w:bottom w:val="single" w:sz="4" w:space="0" w:color="auto"/>
              <w:right w:val="nil"/>
            </w:tcBorders>
            <w:vAlign w:val="center"/>
            <w:hideMark/>
          </w:tcPr>
          <w:p w14:paraId="2B78FD8A"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Pre-Post DNR Attitude</w:t>
            </w:r>
          </w:p>
        </w:tc>
        <w:tc>
          <w:tcPr>
            <w:tcW w:w="1769" w:type="pct"/>
            <w:tcBorders>
              <w:top w:val="single" w:sz="4" w:space="0" w:color="auto"/>
              <w:left w:val="nil"/>
              <w:bottom w:val="single" w:sz="4" w:space="0" w:color="auto"/>
              <w:right w:val="nil"/>
            </w:tcBorders>
            <w:vAlign w:val="center"/>
            <w:hideMark/>
          </w:tcPr>
          <w:p w14:paraId="5BA35F96"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Groups</w:t>
            </w:r>
          </w:p>
        </w:tc>
        <w:tc>
          <w:tcPr>
            <w:tcW w:w="1001" w:type="pct"/>
            <w:tcBorders>
              <w:top w:val="single" w:sz="4" w:space="0" w:color="auto"/>
              <w:left w:val="nil"/>
              <w:bottom w:val="single" w:sz="4" w:space="0" w:color="auto"/>
              <w:right w:val="nil"/>
            </w:tcBorders>
            <w:vAlign w:val="center"/>
            <w:hideMark/>
          </w:tcPr>
          <w:p w14:paraId="2596F02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i/>
                <w:iCs/>
                <w:szCs w:val="24"/>
              </w:rPr>
              <w:t>M</w:t>
            </w:r>
          </w:p>
        </w:tc>
        <w:tc>
          <w:tcPr>
            <w:tcW w:w="461" w:type="pct"/>
            <w:tcBorders>
              <w:top w:val="single" w:sz="4" w:space="0" w:color="auto"/>
              <w:left w:val="nil"/>
              <w:bottom w:val="single" w:sz="4" w:space="0" w:color="auto"/>
              <w:right w:val="nil"/>
            </w:tcBorders>
            <w:vAlign w:val="center"/>
            <w:hideMark/>
          </w:tcPr>
          <w:p w14:paraId="2A871EB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i/>
                <w:iCs/>
                <w:szCs w:val="24"/>
              </w:rPr>
              <w:t>SD</w:t>
            </w:r>
          </w:p>
        </w:tc>
      </w:tr>
      <w:tr w:rsidR="00EE5072" w:rsidRPr="001F64A9" w14:paraId="5087A7ED" w14:textId="77777777" w:rsidTr="009B79D4">
        <w:trPr>
          <w:trHeight w:val="415"/>
        </w:trPr>
        <w:tc>
          <w:tcPr>
            <w:tcW w:w="1769" w:type="pct"/>
            <w:tcBorders>
              <w:top w:val="single" w:sz="4" w:space="0" w:color="auto"/>
              <w:left w:val="nil"/>
              <w:bottom w:val="nil"/>
              <w:right w:val="nil"/>
            </w:tcBorders>
            <w:vAlign w:val="center"/>
            <w:hideMark/>
          </w:tcPr>
          <w:p w14:paraId="25148B61"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Pre DNR Attitude</w:t>
            </w:r>
          </w:p>
        </w:tc>
        <w:tc>
          <w:tcPr>
            <w:tcW w:w="1769" w:type="pct"/>
            <w:tcBorders>
              <w:top w:val="single" w:sz="4" w:space="0" w:color="auto"/>
              <w:left w:val="nil"/>
              <w:bottom w:val="nil"/>
              <w:right w:val="nil"/>
            </w:tcBorders>
            <w:vAlign w:val="center"/>
            <w:hideMark/>
          </w:tcPr>
          <w:p w14:paraId="2033C53B"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Frame</w:t>
            </w:r>
          </w:p>
        </w:tc>
        <w:tc>
          <w:tcPr>
            <w:tcW w:w="1001" w:type="pct"/>
            <w:tcBorders>
              <w:top w:val="single" w:sz="4" w:space="0" w:color="auto"/>
              <w:left w:val="nil"/>
              <w:bottom w:val="nil"/>
              <w:right w:val="nil"/>
            </w:tcBorders>
            <w:vAlign w:val="center"/>
            <w:hideMark/>
          </w:tcPr>
          <w:p w14:paraId="7D223CB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9.36 </w:t>
            </w:r>
          </w:p>
        </w:tc>
        <w:tc>
          <w:tcPr>
            <w:tcW w:w="461" w:type="pct"/>
            <w:tcBorders>
              <w:top w:val="single" w:sz="4" w:space="0" w:color="auto"/>
              <w:left w:val="nil"/>
              <w:bottom w:val="nil"/>
              <w:right w:val="nil"/>
            </w:tcBorders>
            <w:vAlign w:val="center"/>
            <w:hideMark/>
          </w:tcPr>
          <w:p w14:paraId="258092A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3.49 </w:t>
            </w:r>
          </w:p>
        </w:tc>
      </w:tr>
      <w:tr w:rsidR="00EE5072" w:rsidRPr="001F64A9" w14:paraId="44F1A4BB" w14:textId="77777777" w:rsidTr="009B79D4">
        <w:trPr>
          <w:trHeight w:val="415"/>
        </w:trPr>
        <w:tc>
          <w:tcPr>
            <w:tcW w:w="1769" w:type="pct"/>
            <w:tcBorders>
              <w:top w:val="nil"/>
              <w:left w:val="nil"/>
              <w:bottom w:val="nil"/>
              <w:right w:val="nil"/>
            </w:tcBorders>
            <w:vAlign w:val="center"/>
          </w:tcPr>
          <w:p w14:paraId="7F4207F6" w14:textId="77777777" w:rsidR="00EE5072" w:rsidRPr="001F64A9" w:rsidRDefault="00EE5072" w:rsidP="00AB3534">
            <w:pPr>
              <w:spacing w:line="360" w:lineRule="auto"/>
              <w:rPr>
                <w:rFonts w:asciiTheme="majorBidi" w:eastAsia="Times New Roman" w:hAnsiTheme="majorBidi" w:cstheme="majorBidi"/>
                <w:szCs w:val="24"/>
              </w:rPr>
            </w:pPr>
          </w:p>
        </w:tc>
        <w:tc>
          <w:tcPr>
            <w:tcW w:w="1769" w:type="pct"/>
            <w:tcBorders>
              <w:top w:val="nil"/>
              <w:left w:val="nil"/>
              <w:bottom w:val="nil"/>
              <w:right w:val="nil"/>
            </w:tcBorders>
            <w:vAlign w:val="center"/>
            <w:hideMark/>
          </w:tcPr>
          <w:p w14:paraId="2338528B"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Frame</w:t>
            </w:r>
          </w:p>
        </w:tc>
        <w:tc>
          <w:tcPr>
            <w:tcW w:w="1001" w:type="pct"/>
            <w:tcBorders>
              <w:top w:val="nil"/>
              <w:left w:val="nil"/>
              <w:bottom w:val="nil"/>
              <w:right w:val="nil"/>
            </w:tcBorders>
            <w:vAlign w:val="center"/>
            <w:hideMark/>
          </w:tcPr>
          <w:p w14:paraId="42C360C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9.13 </w:t>
            </w:r>
          </w:p>
        </w:tc>
        <w:tc>
          <w:tcPr>
            <w:tcW w:w="461" w:type="pct"/>
            <w:tcBorders>
              <w:top w:val="nil"/>
              <w:left w:val="nil"/>
              <w:bottom w:val="nil"/>
              <w:right w:val="nil"/>
            </w:tcBorders>
            <w:vAlign w:val="center"/>
            <w:hideMark/>
          </w:tcPr>
          <w:p w14:paraId="5C65B58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3.61 </w:t>
            </w:r>
          </w:p>
        </w:tc>
      </w:tr>
      <w:tr w:rsidR="00EE5072" w:rsidRPr="001F64A9" w14:paraId="05E17C9C" w14:textId="77777777" w:rsidTr="009B79D4">
        <w:trPr>
          <w:trHeight w:val="427"/>
        </w:trPr>
        <w:tc>
          <w:tcPr>
            <w:tcW w:w="1769" w:type="pct"/>
            <w:tcBorders>
              <w:top w:val="nil"/>
              <w:left w:val="nil"/>
              <w:bottom w:val="nil"/>
              <w:right w:val="nil"/>
            </w:tcBorders>
            <w:vAlign w:val="center"/>
          </w:tcPr>
          <w:p w14:paraId="0549659D" w14:textId="77777777" w:rsidR="00EE5072" w:rsidRPr="001F64A9" w:rsidRDefault="00EE5072" w:rsidP="00AB3534">
            <w:pPr>
              <w:spacing w:line="360" w:lineRule="auto"/>
              <w:rPr>
                <w:rFonts w:asciiTheme="majorBidi" w:eastAsia="Times New Roman" w:hAnsiTheme="majorBidi" w:cstheme="majorBidi"/>
                <w:szCs w:val="24"/>
              </w:rPr>
            </w:pPr>
          </w:p>
        </w:tc>
        <w:tc>
          <w:tcPr>
            <w:tcW w:w="1769" w:type="pct"/>
            <w:tcBorders>
              <w:top w:val="nil"/>
              <w:left w:val="nil"/>
              <w:bottom w:val="nil"/>
              <w:right w:val="nil"/>
            </w:tcBorders>
            <w:vAlign w:val="center"/>
            <w:hideMark/>
          </w:tcPr>
          <w:p w14:paraId="6BCBFD0B"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Educational Video</w:t>
            </w:r>
          </w:p>
        </w:tc>
        <w:tc>
          <w:tcPr>
            <w:tcW w:w="1001" w:type="pct"/>
            <w:tcBorders>
              <w:top w:val="nil"/>
              <w:left w:val="nil"/>
              <w:bottom w:val="nil"/>
              <w:right w:val="nil"/>
            </w:tcBorders>
            <w:vAlign w:val="center"/>
            <w:hideMark/>
          </w:tcPr>
          <w:p w14:paraId="0BB7740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9.00 </w:t>
            </w:r>
          </w:p>
        </w:tc>
        <w:tc>
          <w:tcPr>
            <w:tcW w:w="461" w:type="pct"/>
            <w:tcBorders>
              <w:top w:val="nil"/>
              <w:left w:val="nil"/>
              <w:bottom w:val="nil"/>
              <w:right w:val="nil"/>
            </w:tcBorders>
            <w:vAlign w:val="center"/>
            <w:hideMark/>
          </w:tcPr>
          <w:p w14:paraId="17E9F82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3.38 </w:t>
            </w:r>
          </w:p>
        </w:tc>
      </w:tr>
      <w:tr w:rsidR="00EE5072" w:rsidRPr="001F64A9" w14:paraId="4A785660" w14:textId="77777777" w:rsidTr="009B79D4">
        <w:trPr>
          <w:trHeight w:val="415"/>
        </w:trPr>
        <w:tc>
          <w:tcPr>
            <w:tcW w:w="1769" w:type="pct"/>
            <w:tcBorders>
              <w:top w:val="nil"/>
              <w:left w:val="nil"/>
              <w:bottom w:val="nil"/>
              <w:right w:val="nil"/>
            </w:tcBorders>
            <w:vAlign w:val="center"/>
          </w:tcPr>
          <w:p w14:paraId="367625FE" w14:textId="77777777" w:rsidR="00EE5072" w:rsidRPr="001F64A9" w:rsidRDefault="00EE5072" w:rsidP="00AB3534">
            <w:pPr>
              <w:spacing w:line="360" w:lineRule="auto"/>
              <w:rPr>
                <w:rFonts w:asciiTheme="majorBidi" w:eastAsia="Times New Roman" w:hAnsiTheme="majorBidi" w:cstheme="majorBidi"/>
                <w:szCs w:val="24"/>
              </w:rPr>
            </w:pPr>
          </w:p>
        </w:tc>
        <w:tc>
          <w:tcPr>
            <w:tcW w:w="1769" w:type="pct"/>
            <w:tcBorders>
              <w:top w:val="nil"/>
              <w:left w:val="nil"/>
              <w:bottom w:val="nil"/>
              <w:right w:val="nil"/>
            </w:tcBorders>
            <w:vAlign w:val="center"/>
            <w:hideMark/>
          </w:tcPr>
          <w:p w14:paraId="6D9C5963"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Video</w:t>
            </w:r>
          </w:p>
        </w:tc>
        <w:tc>
          <w:tcPr>
            <w:tcW w:w="1001" w:type="pct"/>
            <w:tcBorders>
              <w:top w:val="nil"/>
              <w:left w:val="nil"/>
              <w:bottom w:val="nil"/>
              <w:right w:val="nil"/>
            </w:tcBorders>
            <w:vAlign w:val="center"/>
            <w:hideMark/>
          </w:tcPr>
          <w:p w14:paraId="221E1C2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8.63 </w:t>
            </w:r>
          </w:p>
        </w:tc>
        <w:tc>
          <w:tcPr>
            <w:tcW w:w="461" w:type="pct"/>
            <w:tcBorders>
              <w:top w:val="nil"/>
              <w:left w:val="nil"/>
              <w:bottom w:val="nil"/>
              <w:right w:val="nil"/>
            </w:tcBorders>
            <w:vAlign w:val="center"/>
            <w:hideMark/>
          </w:tcPr>
          <w:p w14:paraId="782BFC3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3.11 </w:t>
            </w:r>
          </w:p>
        </w:tc>
      </w:tr>
      <w:tr w:rsidR="00EE5072" w:rsidRPr="001F64A9" w14:paraId="52563313" w14:textId="77777777" w:rsidTr="009B79D4">
        <w:trPr>
          <w:trHeight w:val="427"/>
        </w:trPr>
        <w:tc>
          <w:tcPr>
            <w:tcW w:w="1769" w:type="pct"/>
            <w:tcBorders>
              <w:top w:val="nil"/>
              <w:left w:val="nil"/>
              <w:bottom w:val="nil"/>
              <w:right w:val="nil"/>
            </w:tcBorders>
            <w:vAlign w:val="center"/>
            <w:hideMark/>
          </w:tcPr>
          <w:p w14:paraId="05966CEE"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Post CPR Attitude</w:t>
            </w:r>
          </w:p>
        </w:tc>
        <w:tc>
          <w:tcPr>
            <w:tcW w:w="1769" w:type="pct"/>
            <w:tcBorders>
              <w:top w:val="nil"/>
              <w:left w:val="nil"/>
              <w:bottom w:val="nil"/>
              <w:right w:val="nil"/>
            </w:tcBorders>
            <w:vAlign w:val="center"/>
            <w:hideMark/>
          </w:tcPr>
          <w:p w14:paraId="76DDA7F2"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Frame</w:t>
            </w:r>
          </w:p>
        </w:tc>
        <w:tc>
          <w:tcPr>
            <w:tcW w:w="1001" w:type="pct"/>
            <w:tcBorders>
              <w:top w:val="nil"/>
              <w:left w:val="nil"/>
              <w:bottom w:val="nil"/>
              <w:right w:val="nil"/>
            </w:tcBorders>
            <w:vAlign w:val="center"/>
            <w:hideMark/>
          </w:tcPr>
          <w:p w14:paraId="3080E5A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10.61 </w:t>
            </w:r>
          </w:p>
        </w:tc>
        <w:tc>
          <w:tcPr>
            <w:tcW w:w="461" w:type="pct"/>
            <w:tcBorders>
              <w:top w:val="nil"/>
              <w:left w:val="nil"/>
              <w:bottom w:val="nil"/>
              <w:right w:val="nil"/>
            </w:tcBorders>
            <w:vAlign w:val="center"/>
            <w:hideMark/>
          </w:tcPr>
          <w:p w14:paraId="5BF7F3F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3.95 </w:t>
            </w:r>
          </w:p>
        </w:tc>
      </w:tr>
      <w:tr w:rsidR="00EE5072" w:rsidRPr="001F64A9" w14:paraId="04ABB0B7" w14:textId="77777777" w:rsidTr="009B79D4">
        <w:trPr>
          <w:trHeight w:val="415"/>
        </w:trPr>
        <w:tc>
          <w:tcPr>
            <w:tcW w:w="1769" w:type="pct"/>
            <w:tcBorders>
              <w:top w:val="nil"/>
              <w:left w:val="nil"/>
              <w:bottom w:val="nil"/>
              <w:right w:val="nil"/>
            </w:tcBorders>
            <w:vAlign w:val="center"/>
          </w:tcPr>
          <w:p w14:paraId="4FF24787" w14:textId="77777777" w:rsidR="00EE5072" w:rsidRPr="001F64A9" w:rsidRDefault="00EE5072" w:rsidP="00AB3534">
            <w:pPr>
              <w:spacing w:line="360" w:lineRule="auto"/>
              <w:rPr>
                <w:rFonts w:asciiTheme="majorBidi" w:eastAsia="Times New Roman" w:hAnsiTheme="majorBidi" w:cstheme="majorBidi"/>
                <w:szCs w:val="24"/>
              </w:rPr>
            </w:pPr>
          </w:p>
        </w:tc>
        <w:tc>
          <w:tcPr>
            <w:tcW w:w="1769" w:type="pct"/>
            <w:tcBorders>
              <w:top w:val="nil"/>
              <w:left w:val="nil"/>
              <w:bottom w:val="nil"/>
              <w:right w:val="nil"/>
            </w:tcBorders>
            <w:vAlign w:val="center"/>
            <w:hideMark/>
          </w:tcPr>
          <w:p w14:paraId="1CAEE7E7"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Frame</w:t>
            </w:r>
          </w:p>
        </w:tc>
        <w:tc>
          <w:tcPr>
            <w:tcW w:w="1001" w:type="pct"/>
            <w:tcBorders>
              <w:top w:val="nil"/>
              <w:left w:val="nil"/>
              <w:bottom w:val="nil"/>
              <w:right w:val="nil"/>
            </w:tcBorders>
            <w:vAlign w:val="center"/>
            <w:hideMark/>
          </w:tcPr>
          <w:p w14:paraId="7D0344E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9.37 </w:t>
            </w:r>
          </w:p>
        </w:tc>
        <w:tc>
          <w:tcPr>
            <w:tcW w:w="461" w:type="pct"/>
            <w:tcBorders>
              <w:top w:val="nil"/>
              <w:left w:val="nil"/>
              <w:bottom w:val="nil"/>
              <w:right w:val="nil"/>
            </w:tcBorders>
            <w:vAlign w:val="center"/>
            <w:hideMark/>
          </w:tcPr>
          <w:p w14:paraId="017871A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3.89 </w:t>
            </w:r>
          </w:p>
        </w:tc>
      </w:tr>
      <w:tr w:rsidR="00EE5072" w:rsidRPr="001F64A9" w14:paraId="5BD5A120" w14:textId="77777777" w:rsidTr="009B79D4">
        <w:trPr>
          <w:trHeight w:val="427"/>
        </w:trPr>
        <w:tc>
          <w:tcPr>
            <w:tcW w:w="1769" w:type="pct"/>
            <w:tcBorders>
              <w:top w:val="nil"/>
              <w:left w:val="nil"/>
              <w:bottom w:val="nil"/>
              <w:right w:val="nil"/>
            </w:tcBorders>
            <w:vAlign w:val="center"/>
          </w:tcPr>
          <w:p w14:paraId="49A708B0" w14:textId="77777777" w:rsidR="00EE5072" w:rsidRPr="001F64A9" w:rsidRDefault="00EE5072" w:rsidP="00AB3534">
            <w:pPr>
              <w:spacing w:line="360" w:lineRule="auto"/>
              <w:rPr>
                <w:rFonts w:asciiTheme="majorBidi" w:eastAsia="Times New Roman" w:hAnsiTheme="majorBidi" w:cstheme="majorBidi"/>
                <w:szCs w:val="24"/>
              </w:rPr>
            </w:pPr>
          </w:p>
        </w:tc>
        <w:tc>
          <w:tcPr>
            <w:tcW w:w="1769" w:type="pct"/>
            <w:tcBorders>
              <w:top w:val="nil"/>
              <w:left w:val="nil"/>
              <w:bottom w:val="nil"/>
              <w:right w:val="nil"/>
            </w:tcBorders>
            <w:vAlign w:val="center"/>
            <w:hideMark/>
          </w:tcPr>
          <w:p w14:paraId="280533B8"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Educational Video</w:t>
            </w:r>
          </w:p>
        </w:tc>
        <w:tc>
          <w:tcPr>
            <w:tcW w:w="1001" w:type="pct"/>
            <w:tcBorders>
              <w:top w:val="nil"/>
              <w:left w:val="nil"/>
              <w:bottom w:val="nil"/>
              <w:right w:val="nil"/>
            </w:tcBorders>
            <w:vAlign w:val="center"/>
            <w:hideMark/>
          </w:tcPr>
          <w:p w14:paraId="6A9DE40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9.16 </w:t>
            </w:r>
          </w:p>
        </w:tc>
        <w:tc>
          <w:tcPr>
            <w:tcW w:w="461" w:type="pct"/>
            <w:tcBorders>
              <w:top w:val="nil"/>
              <w:left w:val="nil"/>
              <w:bottom w:val="nil"/>
              <w:right w:val="nil"/>
            </w:tcBorders>
            <w:vAlign w:val="center"/>
            <w:hideMark/>
          </w:tcPr>
          <w:p w14:paraId="46418D4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3.79 </w:t>
            </w:r>
          </w:p>
        </w:tc>
      </w:tr>
      <w:tr w:rsidR="00EE5072" w:rsidRPr="001F64A9" w14:paraId="6DCBFED5" w14:textId="77777777" w:rsidTr="009B79D4">
        <w:trPr>
          <w:trHeight w:val="415"/>
        </w:trPr>
        <w:tc>
          <w:tcPr>
            <w:tcW w:w="1769" w:type="pct"/>
            <w:tcBorders>
              <w:top w:val="nil"/>
              <w:left w:val="nil"/>
              <w:bottom w:val="single" w:sz="4" w:space="0" w:color="auto"/>
              <w:right w:val="nil"/>
            </w:tcBorders>
            <w:vAlign w:val="center"/>
          </w:tcPr>
          <w:p w14:paraId="2D933BA4" w14:textId="77777777" w:rsidR="00EE5072" w:rsidRPr="001F64A9" w:rsidRDefault="00EE5072" w:rsidP="00AB3534">
            <w:pPr>
              <w:spacing w:line="360" w:lineRule="auto"/>
              <w:rPr>
                <w:rFonts w:asciiTheme="majorBidi" w:eastAsia="Times New Roman" w:hAnsiTheme="majorBidi" w:cstheme="majorBidi"/>
                <w:szCs w:val="24"/>
              </w:rPr>
            </w:pPr>
          </w:p>
        </w:tc>
        <w:tc>
          <w:tcPr>
            <w:tcW w:w="1769" w:type="pct"/>
            <w:tcBorders>
              <w:top w:val="nil"/>
              <w:left w:val="nil"/>
              <w:bottom w:val="single" w:sz="4" w:space="0" w:color="auto"/>
              <w:right w:val="nil"/>
            </w:tcBorders>
            <w:vAlign w:val="center"/>
            <w:hideMark/>
          </w:tcPr>
          <w:p w14:paraId="0463D574"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Video</w:t>
            </w:r>
          </w:p>
        </w:tc>
        <w:tc>
          <w:tcPr>
            <w:tcW w:w="1001" w:type="pct"/>
            <w:tcBorders>
              <w:top w:val="nil"/>
              <w:left w:val="nil"/>
              <w:bottom w:val="single" w:sz="4" w:space="0" w:color="auto"/>
              <w:right w:val="nil"/>
            </w:tcBorders>
            <w:vAlign w:val="center"/>
            <w:hideMark/>
          </w:tcPr>
          <w:p w14:paraId="0500729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9.70 </w:t>
            </w:r>
          </w:p>
        </w:tc>
        <w:tc>
          <w:tcPr>
            <w:tcW w:w="461" w:type="pct"/>
            <w:tcBorders>
              <w:top w:val="nil"/>
              <w:left w:val="nil"/>
              <w:bottom w:val="single" w:sz="4" w:space="0" w:color="auto"/>
              <w:right w:val="nil"/>
            </w:tcBorders>
            <w:vAlign w:val="center"/>
            <w:hideMark/>
          </w:tcPr>
          <w:p w14:paraId="7D38240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3.72 </w:t>
            </w:r>
          </w:p>
        </w:tc>
      </w:tr>
    </w:tbl>
    <w:p w14:paraId="45FC11D0" w14:textId="77777777" w:rsidR="00EE5072" w:rsidRPr="001F64A9" w:rsidRDefault="00EE5072" w:rsidP="00EE5072">
      <w:pPr>
        <w:spacing w:line="480" w:lineRule="auto"/>
        <w:jc w:val="both"/>
        <w:rPr>
          <w:rFonts w:asciiTheme="majorBidi" w:eastAsia="Times New Roman" w:hAnsiTheme="majorBidi" w:cstheme="majorBidi"/>
          <w:sz w:val="24"/>
          <w:szCs w:val="24"/>
        </w:rPr>
      </w:pPr>
    </w:p>
    <w:p w14:paraId="6ACF2CE1" w14:textId="22E96D48" w:rsidR="00EE5072" w:rsidRPr="001F64A9" w:rsidRDefault="00EE5072">
      <w:pPr>
        <w:spacing w:line="259" w:lineRule="auto"/>
        <w:rPr>
          <w:rFonts w:asciiTheme="majorBidi" w:hAnsiTheme="majorBidi" w:cstheme="majorBidi"/>
        </w:rPr>
      </w:pPr>
      <w:r w:rsidRPr="001F64A9">
        <w:rPr>
          <w:rFonts w:asciiTheme="majorBidi" w:hAnsiTheme="majorBidi" w:cstheme="majorBidi"/>
        </w:rPr>
        <w:br w:type="page"/>
      </w:r>
    </w:p>
    <w:p w14:paraId="06D865E5" w14:textId="77777777" w:rsidR="00EE5072" w:rsidRPr="001F64A9" w:rsidRDefault="00EE5072" w:rsidP="00EE5072">
      <w:pPr>
        <w:spacing w:line="480" w:lineRule="auto"/>
        <w:jc w:val="both"/>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Table 15</w:t>
      </w:r>
    </w:p>
    <w:p w14:paraId="36C9BE5C" w14:textId="77777777" w:rsidR="00EE5072" w:rsidRPr="001F64A9" w:rsidRDefault="00EE5072" w:rsidP="00EE5072">
      <w:pPr>
        <w:spacing w:line="480" w:lineRule="auto"/>
        <w:jc w:val="both"/>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Turkey Post-Hoc Comparison for Pre-Post Attitude toward DNR in Experiment 2</w:t>
      </w:r>
    </w:p>
    <w:tbl>
      <w:tblPr>
        <w:tblStyle w:val="TableGrid"/>
        <w:tblW w:w="4951" w:type="pct"/>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2653"/>
        <w:gridCol w:w="2780"/>
        <w:gridCol w:w="1299"/>
        <w:gridCol w:w="701"/>
        <w:gridCol w:w="973"/>
        <w:gridCol w:w="862"/>
      </w:tblGrid>
      <w:tr w:rsidR="00EE5072" w:rsidRPr="001F64A9" w14:paraId="57AB1810" w14:textId="77777777" w:rsidTr="009B79D4">
        <w:trPr>
          <w:trHeight w:val="652"/>
        </w:trPr>
        <w:tc>
          <w:tcPr>
            <w:tcW w:w="2931" w:type="pct"/>
            <w:gridSpan w:val="2"/>
            <w:tcBorders>
              <w:top w:val="single" w:sz="4" w:space="0" w:color="auto"/>
              <w:left w:val="nil"/>
              <w:bottom w:val="single" w:sz="4" w:space="0" w:color="auto"/>
              <w:right w:val="nil"/>
            </w:tcBorders>
            <w:vAlign w:val="center"/>
            <w:hideMark/>
          </w:tcPr>
          <w:p w14:paraId="7498A3CA" w14:textId="77777777" w:rsidR="00EE5072" w:rsidRPr="001F64A9" w:rsidRDefault="00EE5072" w:rsidP="00AB3534">
            <w:pPr>
              <w:spacing w:line="48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Pre-Post DNR Attitude</w:t>
            </w:r>
          </w:p>
        </w:tc>
        <w:tc>
          <w:tcPr>
            <w:tcW w:w="701" w:type="pct"/>
            <w:tcBorders>
              <w:top w:val="single" w:sz="4" w:space="0" w:color="auto"/>
              <w:left w:val="nil"/>
              <w:bottom w:val="single" w:sz="4" w:space="0" w:color="auto"/>
              <w:right w:val="nil"/>
            </w:tcBorders>
            <w:hideMark/>
          </w:tcPr>
          <w:p w14:paraId="1ED06A74" w14:textId="77777777" w:rsidR="00EE5072" w:rsidRPr="001F64A9" w:rsidRDefault="00EE5072" w:rsidP="00AB3534">
            <w:pPr>
              <w:spacing w:line="48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MD</w:t>
            </w:r>
          </w:p>
        </w:tc>
        <w:tc>
          <w:tcPr>
            <w:tcW w:w="378" w:type="pct"/>
            <w:tcBorders>
              <w:top w:val="single" w:sz="4" w:space="0" w:color="auto"/>
              <w:left w:val="nil"/>
              <w:bottom w:val="single" w:sz="4" w:space="0" w:color="auto"/>
              <w:right w:val="nil"/>
            </w:tcBorders>
            <w:hideMark/>
          </w:tcPr>
          <w:p w14:paraId="3C90B789" w14:textId="77777777" w:rsidR="00EE5072" w:rsidRPr="001F64A9" w:rsidRDefault="00EE5072" w:rsidP="00AB3534">
            <w:pPr>
              <w:spacing w:line="48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SE</w:t>
            </w:r>
          </w:p>
        </w:tc>
        <w:tc>
          <w:tcPr>
            <w:tcW w:w="525" w:type="pct"/>
            <w:tcBorders>
              <w:top w:val="single" w:sz="4" w:space="0" w:color="auto"/>
              <w:left w:val="nil"/>
              <w:bottom w:val="single" w:sz="4" w:space="0" w:color="auto"/>
              <w:right w:val="nil"/>
            </w:tcBorders>
            <w:hideMark/>
          </w:tcPr>
          <w:p w14:paraId="16DDE2FB" w14:textId="77777777" w:rsidR="00EE5072" w:rsidRPr="001F64A9" w:rsidRDefault="00EE5072" w:rsidP="00AB3534">
            <w:pPr>
              <w:spacing w:line="48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t</w:t>
            </w:r>
          </w:p>
        </w:tc>
        <w:tc>
          <w:tcPr>
            <w:tcW w:w="465" w:type="pct"/>
            <w:tcBorders>
              <w:top w:val="single" w:sz="4" w:space="0" w:color="auto"/>
              <w:left w:val="nil"/>
              <w:bottom w:val="single" w:sz="4" w:space="0" w:color="auto"/>
              <w:right w:val="nil"/>
            </w:tcBorders>
            <w:hideMark/>
          </w:tcPr>
          <w:p w14:paraId="5959735A" w14:textId="77777777" w:rsidR="00EE5072" w:rsidRPr="001F64A9" w:rsidRDefault="00EE5072" w:rsidP="00AB3534">
            <w:pPr>
              <w:spacing w:line="48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p</w:t>
            </w:r>
          </w:p>
        </w:tc>
      </w:tr>
      <w:tr w:rsidR="001F64A9" w:rsidRPr="001F64A9" w14:paraId="27217121" w14:textId="77777777" w:rsidTr="009B79D4">
        <w:trPr>
          <w:trHeight w:val="638"/>
        </w:trPr>
        <w:tc>
          <w:tcPr>
            <w:tcW w:w="1431" w:type="pct"/>
            <w:tcBorders>
              <w:top w:val="single" w:sz="4" w:space="0" w:color="auto"/>
              <w:left w:val="nil"/>
              <w:bottom w:val="single" w:sz="4" w:space="0" w:color="auto"/>
              <w:right w:val="nil"/>
            </w:tcBorders>
            <w:hideMark/>
          </w:tcPr>
          <w:p w14:paraId="59C70BE2" w14:textId="77777777" w:rsidR="00EE5072" w:rsidRPr="001F64A9" w:rsidRDefault="00EE5072" w:rsidP="00AB3534">
            <w:pPr>
              <w:spacing w:line="480" w:lineRule="auto"/>
              <w:rPr>
                <w:rFonts w:asciiTheme="majorBidi" w:eastAsia="Times New Roman" w:hAnsiTheme="majorBidi" w:cstheme="majorBidi"/>
                <w:szCs w:val="24"/>
              </w:rPr>
            </w:pPr>
            <w:r w:rsidRPr="001F64A9">
              <w:rPr>
                <w:rFonts w:asciiTheme="majorBidi" w:eastAsia="Times New Roman" w:hAnsiTheme="majorBidi" w:cstheme="majorBidi"/>
                <w:szCs w:val="24"/>
              </w:rPr>
              <w:t>Pre DNR Attitude</w:t>
            </w:r>
          </w:p>
        </w:tc>
        <w:tc>
          <w:tcPr>
            <w:tcW w:w="1500" w:type="pct"/>
            <w:tcBorders>
              <w:top w:val="single" w:sz="4" w:space="0" w:color="auto"/>
              <w:left w:val="nil"/>
              <w:bottom w:val="single" w:sz="4" w:space="0" w:color="auto"/>
              <w:right w:val="nil"/>
            </w:tcBorders>
            <w:hideMark/>
          </w:tcPr>
          <w:p w14:paraId="441FB06C" w14:textId="77777777" w:rsidR="00EE5072" w:rsidRPr="001F64A9" w:rsidRDefault="00EE5072" w:rsidP="00AB3534">
            <w:pPr>
              <w:spacing w:line="480" w:lineRule="auto"/>
              <w:rPr>
                <w:rFonts w:asciiTheme="majorBidi" w:eastAsia="Times New Roman" w:hAnsiTheme="majorBidi" w:cstheme="majorBidi"/>
                <w:szCs w:val="24"/>
              </w:rPr>
            </w:pPr>
            <w:r w:rsidRPr="001F64A9">
              <w:rPr>
                <w:rFonts w:asciiTheme="majorBidi" w:eastAsia="Times New Roman" w:hAnsiTheme="majorBidi" w:cstheme="majorBidi"/>
                <w:szCs w:val="24"/>
              </w:rPr>
              <w:t>Post DNR Attitude</w:t>
            </w:r>
          </w:p>
        </w:tc>
        <w:tc>
          <w:tcPr>
            <w:tcW w:w="701" w:type="pct"/>
            <w:tcBorders>
              <w:top w:val="single" w:sz="4" w:space="0" w:color="auto"/>
              <w:left w:val="nil"/>
              <w:bottom w:val="single" w:sz="4" w:space="0" w:color="auto"/>
              <w:right w:val="nil"/>
            </w:tcBorders>
            <w:hideMark/>
          </w:tcPr>
          <w:p w14:paraId="0EBFF87A" w14:textId="77777777" w:rsidR="00EE5072" w:rsidRPr="001F64A9" w:rsidRDefault="00EE5072" w:rsidP="00AB3534">
            <w:pPr>
              <w:spacing w:line="48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-.68***</w:t>
            </w:r>
          </w:p>
        </w:tc>
        <w:tc>
          <w:tcPr>
            <w:tcW w:w="378" w:type="pct"/>
            <w:tcBorders>
              <w:top w:val="single" w:sz="4" w:space="0" w:color="auto"/>
              <w:left w:val="nil"/>
              <w:bottom w:val="single" w:sz="4" w:space="0" w:color="auto"/>
              <w:right w:val="nil"/>
            </w:tcBorders>
            <w:hideMark/>
          </w:tcPr>
          <w:p w14:paraId="75AC209B" w14:textId="77777777" w:rsidR="00EE5072" w:rsidRPr="001F64A9" w:rsidRDefault="00EE5072" w:rsidP="00AB3534">
            <w:pPr>
              <w:spacing w:line="48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.13</w:t>
            </w:r>
          </w:p>
        </w:tc>
        <w:tc>
          <w:tcPr>
            <w:tcW w:w="525" w:type="pct"/>
            <w:tcBorders>
              <w:top w:val="single" w:sz="4" w:space="0" w:color="auto"/>
              <w:left w:val="nil"/>
              <w:bottom w:val="single" w:sz="4" w:space="0" w:color="auto"/>
              <w:right w:val="nil"/>
            </w:tcBorders>
            <w:hideMark/>
          </w:tcPr>
          <w:p w14:paraId="676BD4AA" w14:textId="77777777" w:rsidR="00EE5072" w:rsidRPr="001F64A9" w:rsidRDefault="00EE5072" w:rsidP="00AB3534">
            <w:pPr>
              <w:spacing w:line="48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-5.33</w:t>
            </w:r>
          </w:p>
        </w:tc>
        <w:tc>
          <w:tcPr>
            <w:tcW w:w="465" w:type="pct"/>
            <w:tcBorders>
              <w:top w:val="single" w:sz="4" w:space="0" w:color="auto"/>
              <w:left w:val="nil"/>
              <w:bottom w:val="single" w:sz="4" w:space="0" w:color="auto"/>
              <w:right w:val="nil"/>
            </w:tcBorders>
            <w:hideMark/>
          </w:tcPr>
          <w:p w14:paraId="2ECA6F6D" w14:textId="77777777" w:rsidR="00EE5072" w:rsidRPr="001F64A9" w:rsidRDefault="00EE5072" w:rsidP="00AB3534">
            <w:pPr>
              <w:spacing w:line="48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.000</w:t>
            </w:r>
          </w:p>
        </w:tc>
      </w:tr>
    </w:tbl>
    <w:p w14:paraId="70122A30" w14:textId="5B88514E" w:rsidR="00EE5072" w:rsidRPr="001F64A9" w:rsidRDefault="00EE5072">
      <w:pPr>
        <w:rPr>
          <w:rFonts w:asciiTheme="majorBidi" w:eastAsia="Times New Roman" w:hAnsiTheme="majorBidi" w:cstheme="majorBidi"/>
          <w:bCs/>
          <w:sz w:val="20"/>
          <w:szCs w:val="20"/>
        </w:rPr>
      </w:pPr>
      <w:r w:rsidRPr="001F64A9">
        <w:rPr>
          <w:rFonts w:asciiTheme="majorBidi" w:hAnsiTheme="majorBidi" w:cstheme="majorBidi"/>
          <w:i/>
          <w:iCs/>
          <w:sz w:val="20"/>
          <w:szCs w:val="20"/>
        </w:rPr>
        <w:t xml:space="preserve">Note. </w:t>
      </w:r>
      <w:r w:rsidRPr="001F64A9">
        <w:rPr>
          <w:rFonts w:asciiTheme="majorBidi" w:eastAsia="Times New Roman" w:hAnsiTheme="majorBidi" w:cstheme="majorBidi"/>
          <w:bCs/>
          <w:sz w:val="20"/>
          <w:szCs w:val="20"/>
        </w:rPr>
        <w:t>***</w:t>
      </w:r>
      <w:r w:rsidRPr="001F64A9">
        <w:rPr>
          <w:rFonts w:asciiTheme="majorBidi" w:eastAsia="Times New Roman" w:hAnsiTheme="majorBidi" w:cstheme="majorBidi"/>
          <w:bCs/>
          <w:i/>
          <w:iCs/>
          <w:sz w:val="20"/>
          <w:szCs w:val="20"/>
        </w:rPr>
        <w:t>p</w:t>
      </w:r>
      <w:r w:rsidRPr="001F64A9">
        <w:rPr>
          <w:rFonts w:asciiTheme="majorBidi" w:eastAsia="Times New Roman" w:hAnsiTheme="majorBidi" w:cstheme="majorBidi"/>
          <w:bCs/>
          <w:sz w:val="20"/>
          <w:szCs w:val="20"/>
        </w:rPr>
        <w:t xml:space="preserve"> &lt; .001</w:t>
      </w:r>
      <w:r w:rsidRPr="001F64A9">
        <w:rPr>
          <w:rFonts w:asciiTheme="majorBidi" w:eastAsia="Times New Roman" w:hAnsiTheme="majorBidi" w:cstheme="majorBidi"/>
          <w:bCs/>
          <w:sz w:val="20"/>
          <w:szCs w:val="20"/>
        </w:rPr>
        <w:t>.</w:t>
      </w:r>
    </w:p>
    <w:p w14:paraId="0A36F50A" w14:textId="7963299E" w:rsidR="00EE5072" w:rsidRPr="001F64A9" w:rsidRDefault="00EE5072">
      <w:pPr>
        <w:spacing w:line="259" w:lineRule="auto"/>
        <w:rPr>
          <w:rFonts w:asciiTheme="majorBidi" w:eastAsia="Times New Roman" w:hAnsiTheme="majorBidi" w:cstheme="majorBidi"/>
          <w:bCs/>
          <w:sz w:val="20"/>
          <w:szCs w:val="20"/>
        </w:rPr>
      </w:pPr>
      <w:r w:rsidRPr="001F64A9">
        <w:rPr>
          <w:rFonts w:asciiTheme="majorBidi" w:eastAsia="Times New Roman" w:hAnsiTheme="majorBidi" w:cstheme="majorBidi"/>
          <w:bCs/>
          <w:sz w:val="20"/>
          <w:szCs w:val="20"/>
        </w:rPr>
        <w:br w:type="page"/>
      </w:r>
    </w:p>
    <w:p w14:paraId="77CC0F2E" w14:textId="77777777" w:rsidR="00EE5072" w:rsidRPr="001F64A9" w:rsidRDefault="00EE5072" w:rsidP="00EE5072">
      <w:pPr>
        <w:spacing w:line="480" w:lineRule="auto"/>
        <w:jc w:val="both"/>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Table 16</w:t>
      </w:r>
    </w:p>
    <w:p w14:paraId="6A6F6253" w14:textId="77777777" w:rsidR="00EE5072" w:rsidRPr="001F64A9" w:rsidRDefault="00EE5072" w:rsidP="00EE5072">
      <w:pPr>
        <w:spacing w:line="480" w:lineRule="auto"/>
        <w:jc w:val="both"/>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Turkey Post-Hoc Comparisons for Groups*Pre-Post DNR Attitude in Experiment 2</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216"/>
        <w:gridCol w:w="1076"/>
        <w:gridCol w:w="516"/>
        <w:gridCol w:w="716"/>
        <w:gridCol w:w="636"/>
      </w:tblGrid>
      <w:tr w:rsidR="00EE5072" w:rsidRPr="001F64A9" w14:paraId="11C39962" w14:textId="77777777" w:rsidTr="009B79D4">
        <w:trPr>
          <w:trHeight w:val="409"/>
        </w:trPr>
        <w:tc>
          <w:tcPr>
            <w:tcW w:w="0" w:type="auto"/>
            <w:gridSpan w:val="2"/>
            <w:tcBorders>
              <w:top w:val="single" w:sz="4" w:space="0" w:color="auto"/>
              <w:left w:val="nil"/>
              <w:bottom w:val="single" w:sz="4" w:space="0" w:color="auto"/>
              <w:right w:val="nil"/>
            </w:tcBorders>
            <w:vAlign w:val="center"/>
            <w:hideMark/>
          </w:tcPr>
          <w:p w14:paraId="4E1C0BDA"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Groups * Pre-Post DNR Attitude</w:t>
            </w:r>
          </w:p>
        </w:tc>
        <w:tc>
          <w:tcPr>
            <w:tcW w:w="0" w:type="auto"/>
            <w:tcBorders>
              <w:top w:val="single" w:sz="4" w:space="0" w:color="auto"/>
              <w:left w:val="nil"/>
              <w:bottom w:val="single" w:sz="4" w:space="0" w:color="auto"/>
              <w:right w:val="nil"/>
            </w:tcBorders>
            <w:vAlign w:val="center"/>
            <w:hideMark/>
          </w:tcPr>
          <w:p w14:paraId="24FF9425"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MD</w:t>
            </w:r>
          </w:p>
        </w:tc>
        <w:tc>
          <w:tcPr>
            <w:tcW w:w="0" w:type="auto"/>
            <w:tcBorders>
              <w:top w:val="single" w:sz="4" w:space="0" w:color="auto"/>
              <w:left w:val="nil"/>
              <w:bottom w:val="single" w:sz="4" w:space="0" w:color="auto"/>
              <w:right w:val="nil"/>
            </w:tcBorders>
            <w:vAlign w:val="center"/>
            <w:hideMark/>
          </w:tcPr>
          <w:p w14:paraId="7BE32322"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SE</w:t>
            </w:r>
          </w:p>
        </w:tc>
        <w:tc>
          <w:tcPr>
            <w:tcW w:w="0" w:type="auto"/>
            <w:tcBorders>
              <w:top w:val="single" w:sz="4" w:space="0" w:color="auto"/>
              <w:left w:val="nil"/>
              <w:bottom w:val="single" w:sz="4" w:space="0" w:color="auto"/>
              <w:right w:val="nil"/>
            </w:tcBorders>
            <w:vAlign w:val="center"/>
            <w:hideMark/>
          </w:tcPr>
          <w:p w14:paraId="53C7CB6F"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t</w:t>
            </w:r>
          </w:p>
        </w:tc>
        <w:tc>
          <w:tcPr>
            <w:tcW w:w="0" w:type="auto"/>
            <w:tcBorders>
              <w:top w:val="single" w:sz="4" w:space="0" w:color="auto"/>
              <w:left w:val="nil"/>
              <w:bottom w:val="single" w:sz="4" w:space="0" w:color="auto"/>
              <w:right w:val="nil"/>
            </w:tcBorders>
            <w:vAlign w:val="center"/>
            <w:hideMark/>
          </w:tcPr>
          <w:p w14:paraId="32D4335F"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p</w:t>
            </w:r>
          </w:p>
        </w:tc>
      </w:tr>
      <w:tr w:rsidR="001F64A9" w:rsidRPr="001F64A9" w14:paraId="394C0EDD" w14:textId="77777777" w:rsidTr="009B79D4">
        <w:trPr>
          <w:trHeight w:val="421"/>
        </w:trPr>
        <w:tc>
          <w:tcPr>
            <w:tcW w:w="0" w:type="auto"/>
            <w:tcBorders>
              <w:top w:val="single" w:sz="4" w:space="0" w:color="auto"/>
              <w:left w:val="nil"/>
              <w:bottom w:val="nil"/>
              <w:right w:val="nil"/>
            </w:tcBorders>
            <w:vAlign w:val="center"/>
            <w:hideMark/>
          </w:tcPr>
          <w:p w14:paraId="17DFFE39"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 Pre DNR Attitude</w:t>
            </w:r>
          </w:p>
        </w:tc>
        <w:tc>
          <w:tcPr>
            <w:tcW w:w="0" w:type="auto"/>
            <w:tcBorders>
              <w:top w:val="single" w:sz="4" w:space="0" w:color="auto"/>
              <w:left w:val="nil"/>
              <w:bottom w:val="nil"/>
              <w:right w:val="nil"/>
            </w:tcBorders>
            <w:vAlign w:val="center"/>
            <w:hideMark/>
          </w:tcPr>
          <w:p w14:paraId="07289E56"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 Pre DNR Attitude</w:t>
            </w:r>
          </w:p>
        </w:tc>
        <w:tc>
          <w:tcPr>
            <w:tcW w:w="0" w:type="auto"/>
            <w:tcBorders>
              <w:top w:val="single" w:sz="4" w:space="0" w:color="auto"/>
              <w:left w:val="nil"/>
              <w:bottom w:val="nil"/>
              <w:right w:val="nil"/>
            </w:tcBorders>
            <w:vAlign w:val="center"/>
            <w:hideMark/>
          </w:tcPr>
          <w:p w14:paraId="3C4F039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-.50 </w:t>
            </w:r>
          </w:p>
        </w:tc>
        <w:tc>
          <w:tcPr>
            <w:tcW w:w="0" w:type="auto"/>
            <w:tcBorders>
              <w:top w:val="single" w:sz="4" w:space="0" w:color="auto"/>
              <w:left w:val="nil"/>
              <w:bottom w:val="nil"/>
              <w:right w:val="nil"/>
            </w:tcBorders>
            <w:vAlign w:val="center"/>
            <w:hideMark/>
          </w:tcPr>
          <w:p w14:paraId="3E4A649E"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.52</w:t>
            </w:r>
          </w:p>
        </w:tc>
        <w:tc>
          <w:tcPr>
            <w:tcW w:w="0" w:type="auto"/>
            <w:tcBorders>
              <w:top w:val="single" w:sz="4" w:space="0" w:color="auto"/>
              <w:left w:val="nil"/>
              <w:bottom w:val="nil"/>
              <w:right w:val="nil"/>
            </w:tcBorders>
            <w:vAlign w:val="center"/>
            <w:hideMark/>
          </w:tcPr>
          <w:p w14:paraId="4702DF4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-.97</w:t>
            </w:r>
          </w:p>
        </w:tc>
        <w:tc>
          <w:tcPr>
            <w:tcW w:w="0" w:type="auto"/>
            <w:tcBorders>
              <w:top w:val="single" w:sz="4" w:space="0" w:color="auto"/>
              <w:left w:val="nil"/>
              <w:bottom w:val="nil"/>
              <w:right w:val="nil"/>
            </w:tcBorders>
            <w:vAlign w:val="center"/>
            <w:hideMark/>
          </w:tcPr>
          <w:p w14:paraId="543CBDD9" w14:textId="15BF3F68"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79B22505" w14:textId="77777777" w:rsidTr="009B79D4">
        <w:trPr>
          <w:trHeight w:val="831"/>
        </w:trPr>
        <w:tc>
          <w:tcPr>
            <w:tcW w:w="0" w:type="auto"/>
            <w:tcBorders>
              <w:top w:val="nil"/>
              <w:left w:val="nil"/>
              <w:bottom w:val="nil"/>
              <w:right w:val="nil"/>
            </w:tcBorders>
            <w:vAlign w:val="center"/>
          </w:tcPr>
          <w:p w14:paraId="35E316BE"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63EC446C"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Pre DNR Attitude</w:t>
            </w:r>
          </w:p>
        </w:tc>
        <w:tc>
          <w:tcPr>
            <w:tcW w:w="0" w:type="auto"/>
            <w:tcBorders>
              <w:top w:val="nil"/>
              <w:left w:val="nil"/>
              <w:bottom w:val="nil"/>
              <w:right w:val="nil"/>
            </w:tcBorders>
            <w:vAlign w:val="center"/>
            <w:hideMark/>
          </w:tcPr>
          <w:p w14:paraId="7A09D56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-.73 </w:t>
            </w:r>
          </w:p>
        </w:tc>
        <w:tc>
          <w:tcPr>
            <w:tcW w:w="0" w:type="auto"/>
            <w:tcBorders>
              <w:top w:val="nil"/>
              <w:left w:val="nil"/>
              <w:bottom w:val="nil"/>
              <w:right w:val="nil"/>
            </w:tcBorders>
            <w:vAlign w:val="center"/>
            <w:hideMark/>
          </w:tcPr>
          <w:p w14:paraId="664D898B"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.52</w:t>
            </w:r>
          </w:p>
        </w:tc>
        <w:tc>
          <w:tcPr>
            <w:tcW w:w="0" w:type="auto"/>
            <w:tcBorders>
              <w:top w:val="nil"/>
              <w:left w:val="nil"/>
              <w:bottom w:val="nil"/>
              <w:right w:val="nil"/>
            </w:tcBorders>
            <w:vAlign w:val="center"/>
            <w:hideMark/>
          </w:tcPr>
          <w:p w14:paraId="47A2765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-1.38</w:t>
            </w:r>
          </w:p>
        </w:tc>
        <w:tc>
          <w:tcPr>
            <w:tcW w:w="0" w:type="auto"/>
            <w:tcBorders>
              <w:top w:val="nil"/>
              <w:left w:val="nil"/>
              <w:bottom w:val="nil"/>
              <w:right w:val="nil"/>
            </w:tcBorders>
            <w:vAlign w:val="center"/>
            <w:hideMark/>
          </w:tcPr>
          <w:p w14:paraId="3EA276BE" w14:textId="64F027C2"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5275A8AF" w14:textId="77777777" w:rsidTr="009B79D4">
        <w:trPr>
          <w:trHeight w:val="409"/>
        </w:trPr>
        <w:tc>
          <w:tcPr>
            <w:tcW w:w="0" w:type="auto"/>
            <w:tcBorders>
              <w:top w:val="nil"/>
              <w:left w:val="nil"/>
              <w:bottom w:val="nil"/>
              <w:right w:val="nil"/>
            </w:tcBorders>
            <w:vAlign w:val="center"/>
          </w:tcPr>
          <w:p w14:paraId="42433464"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273DB8AC"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Pre DNR Attitude</w:t>
            </w:r>
          </w:p>
        </w:tc>
        <w:tc>
          <w:tcPr>
            <w:tcW w:w="0" w:type="auto"/>
            <w:tcBorders>
              <w:top w:val="nil"/>
              <w:left w:val="nil"/>
              <w:bottom w:val="nil"/>
              <w:right w:val="nil"/>
            </w:tcBorders>
            <w:vAlign w:val="center"/>
            <w:hideMark/>
          </w:tcPr>
          <w:p w14:paraId="05E257E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-.37 </w:t>
            </w:r>
          </w:p>
        </w:tc>
        <w:tc>
          <w:tcPr>
            <w:tcW w:w="0" w:type="auto"/>
            <w:tcBorders>
              <w:top w:val="nil"/>
              <w:left w:val="nil"/>
              <w:bottom w:val="nil"/>
              <w:right w:val="nil"/>
            </w:tcBorders>
            <w:vAlign w:val="center"/>
            <w:hideMark/>
          </w:tcPr>
          <w:p w14:paraId="575231D2"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.52</w:t>
            </w:r>
          </w:p>
        </w:tc>
        <w:tc>
          <w:tcPr>
            <w:tcW w:w="0" w:type="auto"/>
            <w:tcBorders>
              <w:top w:val="nil"/>
              <w:left w:val="nil"/>
              <w:bottom w:val="nil"/>
              <w:right w:val="nil"/>
            </w:tcBorders>
            <w:vAlign w:val="center"/>
            <w:hideMark/>
          </w:tcPr>
          <w:p w14:paraId="074E326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-.71</w:t>
            </w:r>
          </w:p>
        </w:tc>
        <w:tc>
          <w:tcPr>
            <w:tcW w:w="0" w:type="auto"/>
            <w:tcBorders>
              <w:top w:val="nil"/>
              <w:left w:val="nil"/>
              <w:bottom w:val="nil"/>
              <w:right w:val="nil"/>
            </w:tcBorders>
            <w:vAlign w:val="center"/>
            <w:hideMark/>
          </w:tcPr>
          <w:p w14:paraId="5DEFC56C" w14:textId="6C323968"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299265F9" w14:textId="77777777" w:rsidTr="009B79D4">
        <w:trPr>
          <w:trHeight w:val="831"/>
        </w:trPr>
        <w:tc>
          <w:tcPr>
            <w:tcW w:w="0" w:type="auto"/>
            <w:tcBorders>
              <w:top w:val="nil"/>
              <w:left w:val="nil"/>
              <w:bottom w:val="nil"/>
              <w:right w:val="nil"/>
            </w:tcBorders>
            <w:vAlign w:val="center"/>
          </w:tcPr>
          <w:p w14:paraId="06D5235C"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39BA3579"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 Post DNR Attitude</w:t>
            </w:r>
          </w:p>
        </w:tc>
        <w:tc>
          <w:tcPr>
            <w:tcW w:w="0" w:type="auto"/>
            <w:tcBorders>
              <w:top w:val="nil"/>
              <w:left w:val="nil"/>
              <w:bottom w:val="nil"/>
              <w:right w:val="nil"/>
            </w:tcBorders>
            <w:vAlign w:val="center"/>
            <w:hideMark/>
          </w:tcPr>
          <w:p w14:paraId="37A22D8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-1.07***</w:t>
            </w:r>
          </w:p>
        </w:tc>
        <w:tc>
          <w:tcPr>
            <w:tcW w:w="0" w:type="auto"/>
            <w:tcBorders>
              <w:top w:val="nil"/>
              <w:left w:val="nil"/>
              <w:bottom w:val="nil"/>
              <w:right w:val="nil"/>
            </w:tcBorders>
            <w:vAlign w:val="center"/>
            <w:hideMark/>
          </w:tcPr>
          <w:p w14:paraId="63B8CA29"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.25</w:t>
            </w:r>
          </w:p>
        </w:tc>
        <w:tc>
          <w:tcPr>
            <w:tcW w:w="0" w:type="auto"/>
            <w:tcBorders>
              <w:top w:val="nil"/>
              <w:left w:val="nil"/>
              <w:bottom w:val="nil"/>
              <w:right w:val="nil"/>
            </w:tcBorders>
            <w:vAlign w:val="center"/>
            <w:hideMark/>
          </w:tcPr>
          <w:p w14:paraId="4330835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-4.25</w:t>
            </w:r>
          </w:p>
        </w:tc>
        <w:tc>
          <w:tcPr>
            <w:tcW w:w="0" w:type="auto"/>
            <w:tcBorders>
              <w:top w:val="nil"/>
              <w:left w:val="nil"/>
              <w:bottom w:val="nil"/>
              <w:right w:val="nil"/>
            </w:tcBorders>
            <w:vAlign w:val="center"/>
            <w:hideMark/>
          </w:tcPr>
          <w:p w14:paraId="372BE239" w14:textId="5DD13541"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.00 </w:t>
            </w:r>
          </w:p>
        </w:tc>
      </w:tr>
      <w:tr w:rsidR="001F64A9" w:rsidRPr="001F64A9" w14:paraId="07D95BB0" w14:textId="77777777" w:rsidTr="009B79D4">
        <w:trPr>
          <w:trHeight w:val="831"/>
        </w:trPr>
        <w:tc>
          <w:tcPr>
            <w:tcW w:w="0" w:type="auto"/>
            <w:tcBorders>
              <w:top w:val="nil"/>
              <w:left w:val="nil"/>
              <w:bottom w:val="nil"/>
              <w:right w:val="nil"/>
            </w:tcBorders>
            <w:vAlign w:val="center"/>
          </w:tcPr>
          <w:p w14:paraId="705EBCF3"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7D8398A8"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 Post DNR Attitude</w:t>
            </w:r>
          </w:p>
        </w:tc>
        <w:tc>
          <w:tcPr>
            <w:tcW w:w="0" w:type="auto"/>
            <w:tcBorders>
              <w:top w:val="nil"/>
              <w:left w:val="nil"/>
              <w:bottom w:val="nil"/>
              <w:right w:val="nil"/>
            </w:tcBorders>
            <w:vAlign w:val="center"/>
            <w:hideMark/>
          </w:tcPr>
          <w:p w14:paraId="3C8451E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-.74 </w:t>
            </w:r>
          </w:p>
        </w:tc>
        <w:tc>
          <w:tcPr>
            <w:tcW w:w="0" w:type="auto"/>
            <w:tcBorders>
              <w:top w:val="nil"/>
              <w:left w:val="nil"/>
              <w:bottom w:val="nil"/>
              <w:right w:val="nil"/>
            </w:tcBorders>
            <w:vAlign w:val="center"/>
            <w:hideMark/>
          </w:tcPr>
          <w:p w14:paraId="3B46E1E9"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.52</w:t>
            </w:r>
          </w:p>
        </w:tc>
        <w:tc>
          <w:tcPr>
            <w:tcW w:w="0" w:type="auto"/>
            <w:tcBorders>
              <w:top w:val="nil"/>
              <w:left w:val="nil"/>
              <w:bottom w:val="nil"/>
              <w:right w:val="nil"/>
            </w:tcBorders>
            <w:vAlign w:val="center"/>
            <w:hideMark/>
          </w:tcPr>
          <w:p w14:paraId="29557D1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-1.43 </w:t>
            </w:r>
          </w:p>
        </w:tc>
        <w:tc>
          <w:tcPr>
            <w:tcW w:w="0" w:type="auto"/>
            <w:tcBorders>
              <w:top w:val="nil"/>
              <w:left w:val="nil"/>
              <w:bottom w:val="nil"/>
              <w:right w:val="nil"/>
            </w:tcBorders>
            <w:vAlign w:val="center"/>
            <w:hideMark/>
          </w:tcPr>
          <w:p w14:paraId="4FABAB59" w14:textId="3DF4DCCC"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276C0E2D" w14:textId="77777777" w:rsidTr="009B79D4">
        <w:trPr>
          <w:trHeight w:val="831"/>
        </w:trPr>
        <w:tc>
          <w:tcPr>
            <w:tcW w:w="0" w:type="auto"/>
            <w:tcBorders>
              <w:top w:val="nil"/>
              <w:left w:val="nil"/>
              <w:bottom w:val="nil"/>
              <w:right w:val="nil"/>
            </w:tcBorders>
            <w:vAlign w:val="center"/>
          </w:tcPr>
          <w:p w14:paraId="389F270F"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4CAA4629"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Post DNR Attitude</w:t>
            </w:r>
          </w:p>
        </w:tc>
        <w:tc>
          <w:tcPr>
            <w:tcW w:w="0" w:type="auto"/>
            <w:tcBorders>
              <w:top w:val="nil"/>
              <w:left w:val="nil"/>
              <w:bottom w:val="nil"/>
              <w:right w:val="nil"/>
            </w:tcBorders>
            <w:vAlign w:val="center"/>
            <w:hideMark/>
          </w:tcPr>
          <w:p w14:paraId="3B52795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-1.98**</w:t>
            </w:r>
          </w:p>
        </w:tc>
        <w:tc>
          <w:tcPr>
            <w:tcW w:w="0" w:type="auto"/>
            <w:tcBorders>
              <w:top w:val="nil"/>
              <w:left w:val="nil"/>
              <w:bottom w:val="nil"/>
              <w:right w:val="nil"/>
            </w:tcBorders>
            <w:vAlign w:val="center"/>
            <w:hideMark/>
          </w:tcPr>
          <w:p w14:paraId="6605243D"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.53</w:t>
            </w:r>
          </w:p>
        </w:tc>
        <w:tc>
          <w:tcPr>
            <w:tcW w:w="0" w:type="auto"/>
            <w:tcBorders>
              <w:top w:val="nil"/>
              <w:left w:val="nil"/>
              <w:bottom w:val="nil"/>
              <w:right w:val="nil"/>
            </w:tcBorders>
            <w:vAlign w:val="center"/>
            <w:hideMark/>
          </w:tcPr>
          <w:p w14:paraId="6E4C361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-3.76</w:t>
            </w:r>
          </w:p>
        </w:tc>
        <w:tc>
          <w:tcPr>
            <w:tcW w:w="0" w:type="auto"/>
            <w:tcBorders>
              <w:top w:val="nil"/>
              <w:left w:val="nil"/>
              <w:bottom w:val="nil"/>
              <w:right w:val="nil"/>
            </w:tcBorders>
            <w:vAlign w:val="center"/>
            <w:hideMark/>
          </w:tcPr>
          <w:p w14:paraId="7CC4DD55" w14:textId="6BF641B3"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w:t>
            </w:r>
            <w:r w:rsidR="009B79D4" w:rsidRPr="001F64A9">
              <w:rPr>
                <w:rFonts w:asciiTheme="majorBidi" w:eastAsia="Times New Roman" w:hAnsiTheme="majorBidi" w:cstheme="majorBidi"/>
                <w:szCs w:val="24"/>
              </w:rPr>
              <w:t>1</w:t>
            </w:r>
            <w:r w:rsidRPr="001F64A9">
              <w:rPr>
                <w:rFonts w:asciiTheme="majorBidi" w:eastAsia="Times New Roman" w:hAnsiTheme="majorBidi" w:cstheme="majorBidi"/>
                <w:szCs w:val="24"/>
              </w:rPr>
              <w:t xml:space="preserve"> </w:t>
            </w:r>
          </w:p>
        </w:tc>
      </w:tr>
      <w:tr w:rsidR="001F64A9" w:rsidRPr="001F64A9" w14:paraId="44918726" w14:textId="77777777" w:rsidTr="009B79D4">
        <w:trPr>
          <w:trHeight w:val="831"/>
        </w:trPr>
        <w:tc>
          <w:tcPr>
            <w:tcW w:w="0" w:type="auto"/>
            <w:tcBorders>
              <w:top w:val="nil"/>
              <w:left w:val="nil"/>
              <w:bottom w:val="nil"/>
              <w:right w:val="nil"/>
            </w:tcBorders>
            <w:vAlign w:val="center"/>
          </w:tcPr>
          <w:p w14:paraId="77689768"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0285606E"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Post DNR Attitude</w:t>
            </w:r>
          </w:p>
        </w:tc>
        <w:tc>
          <w:tcPr>
            <w:tcW w:w="0" w:type="auto"/>
            <w:tcBorders>
              <w:top w:val="nil"/>
              <w:left w:val="nil"/>
              <w:bottom w:val="nil"/>
              <w:right w:val="nil"/>
            </w:tcBorders>
            <w:vAlign w:val="center"/>
            <w:hideMark/>
          </w:tcPr>
          <w:p w14:paraId="51D101F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-.53 </w:t>
            </w:r>
          </w:p>
        </w:tc>
        <w:tc>
          <w:tcPr>
            <w:tcW w:w="0" w:type="auto"/>
            <w:tcBorders>
              <w:top w:val="nil"/>
              <w:left w:val="nil"/>
              <w:bottom w:val="nil"/>
              <w:right w:val="nil"/>
            </w:tcBorders>
            <w:vAlign w:val="center"/>
            <w:hideMark/>
          </w:tcPr>
          <w:p w14:paraId="5A44A4A4"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.52</w:t>
            </w:r>
          </w:p>
        </w:tc>
        <w:tc>
          <w:tcPr>
            <w:tcW w:w="0" w:type="auto"/>
            <w:tcBorders>
              <w:top w:val="nil"/>
              <w:left w:val="nil"/>
              <w:bottom w:val="nil"/>
              <w:right w:val="nil"/>
            </w:tcBorders>
            <w:vAlign w:val="center"/>
            <w:hideMark/>
          </w:tcPr>
          <w:p w14:paraId="166CFE7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-1.01</w:t>
            </w:r>
          </w:p>
        </w:tc>
        <w:tc>
          <w:tcPr>
            <w:tcW w:w="0" w:type="auto"/>
            <w:tcBorders>
              <w:top w:val="nil"/>
              <w:left w:val="nil"/>
              <w:bottom w:val="nil"/>
              <w:right w:val="nil"/>
            </w:tcBorders>
            <w:vAlign w:val="center"/>
            <w:hideMark/>
          </w:tcPr>
          <w:p w14:paraId="6E6C1C96" w14:textId="61435CBF"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4CB5E7B0" w14:textId="77777777" w:rsidTr="009B79D4">
        <w:trPr>
          <w:trHeight w:val="421"/>
        </w:trPr>
        <w:tc>
          <w:tcPr>
            <w:tcW w:w="0" w:type="auto"/>
            <w:tcBorders>
              <w:top w:val="nil"/>
              <w:left w:val="nil"/>
              <w:bottom w:val="nil"/>
              <w:right w:val="nil"/>
            </w:tcBorders>
            <w:vAlign w:val="center"/>
            <w:hideMark/>
          </w:tcPr>
          <w:p w14:paraId="1DFAA2EF"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Negative-Pre DNR Attitude</w:t>
            </w:r>
          </w:p>
        </w:tc>
        <w:tc>
          <w:tcPr>
            <w:tcW w:w="0" w:type="auto"/>
            <w:tcBorders>
              <w:top w:val="nil"/>
              <w:left w:val="nil"/>
              <w:bottom w:val="nil"/>
              <w:right w:val="nil"/>
            </w:tcBorders>
            <w:vAlign w:val="center"/>
            <w:hideMark/>
          </w:tcPr>
          <w:p w14:paraId="33497468"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Pre DNR Attitude</w:t>
            </w:r>
          </w:p>
        </w:tc>
        <w:tc>
          <w:tcPr>
            <w:tcW w:w="0" w:type="auto"/>
            <w:tcBorders>
              <w:top w:val="nil"/>
              <w:left w:val="nil"/>
              <w:bottom w:val="nil"/>
              <w:right w:val="nil"/>
            </w:tcBorders>
            <w:vAlign w:val="center"/>
            <w:hideMark/>
          </w:tcPr>
          <w:p w14:paraId="24037B7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-.22 </w:t>
            </w:r>
          </w:p>
        </w:tc>
        <w:tc>
          <w:tcPr>
            <w:tcW w:w="0" w:type="auto"/>
            <w:tcBorders>
              <w:top w:val="nil"/>
              <w:left w:val="nil"/>
              <w:bottom w:val="nil"/>
              <w:right w:val="nil"/>
            </w:tcBorders>
            <w:vAlign w:val="center"/>
            <w:hideMark/>
          </w:tcPr>
          <w:p w14:paraId="34A57614"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.52</w:t>
            </w:r>
          </w:p>
        </w:tc>
        <w:tc>
          <w:tcPr>
            <w:tcW w:w="0" w:type="auto"/>
            <w:tcBorders>
              <w:top w:val="nil"/>
              <w:left w:val="nil"/>
              <w:bottom w:val="nil"/>
              <w:right w:val="nil"/>
            </w:tcBorders>
            <w:vAlign w:val="center"/>
            <w:hideMark/>
          </w:tcPr>
          <w:p w14:paraId="4AAFA6E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-.42 </w:t>
            </w:r>
          </w:p>
        </w:tc>
        <w:tc>
          <w:tcPr>
            <w:tcW w:w="0" w:type="auto"/>
            <w:tcBorders>
              <w:top w:val="nil"/>
              <w:left w:val="nil"/>
              <w:bottom w:val="nil"/>
              <w:right w:val="nil"/>
            </w:tcBorders>
            <w:vAlign w:val="center"/>
            <w:hideMark/>
          </w:tcPr>
          <w:p w14:paraId="4FA3746A" w14:textId="7049FACD"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75381589" w14:textId="77777777" w:rsidTr="009B79D4">
        <w:trPr>
          <w:trHeight w:val="409"/>
        </w:trPr>
        <w:tc>
          <w:tcPr>
            <w:tcW w:w="0" w:type="auto"/>
            <w:tcBorders>
              <w:top w:val="nil"/>
              <w:left w:val="nil"/>
              <w:bottom w:val="nil"/>
              <w:right w:val="nil"/>
            </w:tcBorders>
            <w:vAlign w:val="center"/>
          </w:tcPr>
          <w:p w14:paraId="79863B54"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2D9EF10A"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Pre DNR Attitude</w:t>
            </w:r>
          </w:p>
        </w:tc>
        <w:tc>
          <w:tcPr>
            <w:tcW w:w="0" w:type="auto"/>
            <w:tcBorders>
              <w:top w:val="nil"/>
              <w:left w:val="nil"/>
              <w:bottom w:val="nil"/>
              <w:right w:val="nil"/>
            </w:tcBorders>
            <w:vAlign w:val="center"/>
            <w:hideMark/>
          </w:tcPr>
          <w:p w14:paraId="4591D94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.13 </w:t>
            </w:r>
          </w:p>
        </w:tc>
        <w:tc>
          <w:tcPr>
            <w:tcW w:w="0" w:type="auto"/>
            <w:tcBorders>
              <w:top w:val="nil"/>
              <w:left w:val="nil"/>
              <w:bottom w:val="nil"/>
              <w:right w:val="nil"/>
            </w:tcBorders>
            <w:vAlign w:val="center"/>
            <w:hideMark/>
          </w:tcPr>
          <w:p w14:paraId="07499865"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.52</w:t>
            </w:r>
          </w:p>
        </w:tc>
        <w:tc>
          <w:tcPr>
            <w:tcW w:w="0" w:type="auto"/>
            <w:tcBorders>
              <w:top w:val="nil"/>
              <w:left w:val="nil"/>
              <w:bottom w:val="nil"/>
              <w:right w:val="nil"/>
            </w:tcBorders>
            <w:vAlign w:val="center"/>
            <w:hideMark/>
          </w:tcPr>
          <w:p w14:paraId="2D680A1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.25</w:t>
            </w:r>
          </w:p>
        </w:tc>
        <w:tc>
          <w:tcPr>
            <w:tcW w:w="0" w:type="auto"/>
            <w:tcBorders>
              <w:top w:val="nil"/>
              <w:left w:val="nil"/>
              <w:bottom w:val="nil"/>
              <w:right w:val="nil"/>
            </w:tcBorders>
            <w:vAlign w:val="center"/>
            <w:hideMark/>
          </w:tcPr>
          <w:p w14:paraId="0B592048" w14:textId="61278E7F"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71DF2BCF" w14:textId="77777777" w:rsidTr="009B79D4">
        <w:trPr>
          <w:trHeight w:val="831"/>
        </w:trPr>
        <w:tc>
          <w:tcPr>
            <w:tcW w:w="0" w:type="auto"/>
            <w:tcBorders>
              <w:top w:val="nil"/>
              <w:left w:val="nil"/>
              <w:bottom w:val="nil"/>
              <w:right w:val="nil"/>
            </w:tcBorders>
            <w:vAlign w:val="center"/>
          </w:tcPr>
          <w:p w14:paraId="039F2F7F"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0CEDBF08"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 Post DNR Attitude</w:t>
            </w:r>
          </w:p>
        </w:tc>
        <w:tc>
          <w:tcPr>
            <w:tcW w:w="0" w:type="auto"/>
            <w:tcBorders>
              <w:top w:val="nil"/>
              <w:left w:val="nil"/>
              <w:bottom w:val="nil"/>
              <w:right w:val="nil"/>
            </w:tcBorders>
            <w:vAlign w:val="center"/>
            <w:hideMark/>
          </w:tcPr>
          <w:p w14:paraId="17C6499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-.57 </w:t>
            </w:r>
          </w:p>
        </w:tc>
        <w:tc>
          <w:tcPr>
            <w:tcW w:w="0" w:type="auto"/>
            <w:tcBorders>
              <w:top w:val="nil"/>
              <w:left w:val="nil"/>
              <w:bottom w:val="nil"/>
              <w:right w:val="nil"/>
            </w:tcBorders>
            <w:vAlign w:val="center"/>
            <w:hideMark/>
          </w:tcPr>
          <w:p w14:paraId="2D02A5E3"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.52</w:t>
            </w:r>
          </w:p>
        </w:tc>
        <w:tc>
          <w:tcPr>
            <w:tcW w:w="0" w:type="auto"/>
            <w:tcBorders>
              <w:top w:val="nil"/>
              <w:left w:val="nil"/>
              <w:bottom w:val="nil"/>
              <w:right w:val="nil"/>
            </w:tcBorders>
            <w:vAlign w:val="center"/>
            <w:hideMark/>
          </w:tcPr>
          <w:p w14:paraId="59A2C27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-1.09 </w:t>
            </w:r>
          </w:p>
        </w:tc>
        <w:tc>
          <w:tcPr>
            <w:tcW w:w="0" w:type="auto"/>
            <w:tcBorders>
              <w:top w:val="nil"/>
              <w:left w:val="nil"/>
              <w:bottom w:val="nil"/>
              <w:right w:val="nil"/>
            </w:tcBorders>
            <w:vAlign w:val="center"/>
            <w:hideMark/>
          </w:tcPr>
          <w:p w14:paraId="540C2B1F" w14:textId="45927A13"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33228B73" w14:textId="77777777" w:rsidTr="009B79D4">
        <w:trPr>
          <w:trHeight w:val="421"/>
        </w:trPr>
        <w:tc>
          <w:tcPr>
            <w:tcW w:w="0" w:type="auto"/>
            <w:tcBorders>
              <w:top w:val="nil"/>
              <w:left w:val="nil"/>
              <w:bottom w:val="nil"/>
              <w:right w:val="nil"/>
            </w:tcBorders>
            <w:vAlign w:val="center"/>
          </w:tcPr>
          <w:p w14:paraId="19A0A574"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42F8135B"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 Post DNR Attitude</w:t>
            </w:r>
          </w:p>
        </w:tc>
        <w:tc>
          <w:tcPr>
            <w:tcW w:w="0" w:type="auto"/>
            <w:tcBorders>
              <w:top w:val="nil"/>
              <w:left w:val="nil"/>
              <w:bottom w:val="nil"/>
              <w:right w:val="nil"/>
            </w:tcBorders>
            <w:vAlign w:val="center"/>
            <w:hideMark/>
          </w:tcPr>
          <w:p w14:paraId="420B571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-.24 </w:t>
            </w:r>
          </w:p>
        </w:tc>
        <w:tc>
          <w:tcPr>
            <w:tcW w:w="0" w:type="auto"/>
            <w:tcBorders>
              <w:top w:val="nil"/>
              <w:left w:val="nil"/>
              <w:bottom w:val="nil"/>
              <w:right w:val="nil"/>
            </w:tcBorders>
            <w:vAlign w:val="center"/>
            <w:hideMark/>
          </w:tcPr>
          <w:p w14:paraId="4818B657"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.25</w:t>
            </w:r>
          </w:p>
        </w:tc>
        <w:tc>
          <w:tcPr>
            <w:tcW w:w="0" w:type="auto"/>
            <w:tcBorders>
              <w:top w:val="nil"/>
              <w:left w:val="nil"/>
              <w:bottom w:val="nil"/>
              <w:right w:val="nil"/>
            </w:tcBorders>
            <w:vAlign w:val="center"/>
            <w:hideMark/>
          </w:tcPr>
          <w:p w14:paraId="77180F2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-.94 </w:t>
            </w:r>
          </w:p>
        </w:tc>
        <w:tc>
          <w:tcPr>
            <w:tcW w:w="0" w:type="auto"/>
            <w:tcBorders>
              <w:top w:val="nil"/>
              <w:left w:val="nil"/>
              <w:bottom w:val="nil"/>
              <w:right w:val="nil"/>
            </w:tcBorders>
            <w:vAlign w:val="center"/>
            <w:hideMark/>
          </w:tcPr>
          <w:p w14:paraId="710A4C6B" w14:textId="1F61FFE0"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055F315E" w14:textId="77777777" w:rsidTr="009B79D4">
        <w:trPr>
          <w:trHeight w:val="831"/>
        </w:trPr>
        <w:tc>
          <w:tcPr>
            <w:tcW w:w="0" w:type="auto"/>
            <w:tcBorders>
              <w:top w:val="nil"/>
              <w:left w:val="nil"/>
              <w:bottom w:val="nil"/>
              <w:right w:val="nil"/>
            </w:tcBorders>
            <w:vAlign w:val="center"/>
          </w:tcPr>
          <w:p w14:paraId="4F4C87E1"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4605990E"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Post DNR Attitude</w:t>
            </w:r>
          </w:p>
        </w:tc>
        <w:tc>
          <w:tcPr>
            <w:tcW w:w="0" w:type="auto"/>
            <w:tcBorders>
              <w:top w:val="nil"/>
              <w:left w:val="nil"/>
              <w:bottom w:val="nil"/>
              <w:right w:val="nil"/>
            </w:tcBorders>
            <w:vAlign w:val="center"/>
            <w:hideMark/>
          </w:tcPr>
          <w:p w14:paraId="5FCD918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-1.48 </w:t>
            </w:r>
          </w:p>
        </w:tc>
        <w:tc>
          <w:tcPr>
            <w:tcW w:w="0" w:type="auto"/>
            <w:tcBorders>
              <w:top w:val="nil"/>
              <w:left w:val="nil"/>
              <w:bottom w:val="nil"/>
              <w:right w:val="nil"/>
            </w:tcBorders>
            <w:vAlign w:val="center"/>
            <w:hideMark/>
          </w:tcPr>
          <w:p w14:paraId="6C545037"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.53</w:t>
            </w:r>
          </w:p>
        </w:tc>
        <w:tc>
          <w:tcPr>
            <w:tcW w:w="0" w:type="auto"/>
            <w:tcBorders>
              <w:top w:val="nil"/>
              <w:left w:val="nil"/>
              <w:bottom w:val="nil"/>
              <w:right w:val="nil"/>
            </w:tcBorders>
            <w:vAlign w:val="center"/>
            <w:hideMark/>
          </w:tcPr>
          <w:p w14:paraId="799630F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-2.80</w:t>
            </w:r>
          </w:p>
        </w:tc>
        <w:tc>
          <w:tcPr>
            <w:tcW w:w="0" w:type="auto"/>
            <w:tcBorders>
              <w:top w:val="nil"/>
              <w:left w:val="nil"/>
              <w:bottom w:val="nil"/>
              <w:right w:val="nil"/>
            </w:tcBorders>
            <w:vAlign w:val="center"/>
            <w:hideMark/>
          </w:tcPr>
          <w:p w14:paraId="11E12543" w14:textId="01056623"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w:t>
            </w:r>
            <w:r w:rsidR="009B79D4" w:rsidRPr="001F64A9">
              <w:rPr>
                <w:rFonts w:asciiTheme="majorBidi" w:eastAsia="Times New Roman" w:hAnsiTheme="majorBidi" w:cstheme="majorBidi"/>
                <w:szCs w:val="24"/>
              </w:rPr>
              <w:t>3</w:t>
            </w:r>
            <w:r w:rsidRPr="001F64A9">
              <w:rPr>
                <w:rFonts w:asciiTheme="majorBidi" w:eastAsia="Times New Roman" w:hAnsiTheme="majorBidi" w:cstheme="majorBidi"/>
                <w:szCs w:val="24"/>
              </w:rPr>
              <w:t xml:space="preserve"> </w:t>
            </w:r>
          </w:p>
        </w:tc>
      </w:tr>
      <w:tr w:rsidR="001F64A9" w:rsidRPr="001F64A9" w14:paraId="0A5F1B58" w14:textId="77777777" w:rsidTr="009B79D4">
        <w:trPr>
          <w:trHeight w:val="831"/>
        </w:trPr>
        <w:tc>
          <w:tcPr>
            <w:tcW w:w="0" w:type="auto"/>
            <w:tcBorders>
              <w:top w:val="nil"/>
              <w:left w:val="nil"/>
              <w:bottom w:val="nil"/>
              <w:right w:val="nil"/>
            </w:tcBorders>
            <w:vAlign w:val="center"/>
          </w:tcPr>
          <w:p w14:paraId="2FF59534"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7B69AC40"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Post DNR Attitude</w:t>
            </w:r>
          </w:p>
        </w:tc>
        <w:tc>
          <w:tcPr>
            <w:tcW w:w="0" w:type="auto"/>
            <w:tcBorders>
              <w:top w:val="nil"/>
              <w:left w:val="nil"/>
              <w:bottom w:val="nil"/>
              <w:right w:val="nil"/>
            </w:tcBorders>
            <w:vAlign w:val="center"/>
            <w:hideMark/>
          </w:tcPr>
          <w:p w14:paraId="2002149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-.02 </w:t>
            </w:r>
          </w:p>
        </w:tc>
        <w:tc>
          <w:tcPr>
            <w:tcW w:w="0" w:type="auto"/>
            <w:tcBorders>
              <w:top w:val="nil"/>
              <w:left w:val="nil"/>
              <w:bottom w:val="nil"/>
              <w:right w:val="nil"/>
            </w:tcBorders>
            <w:vAlign w:val="center"/>
            <w:hideMark/>
          </w:tcPr>
          <w:p w14:paraId="0ADC3907"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.52</w:t>
            </w:r>
          </w:p>
        </w:tc>
        <w:tc>
          <w:tcPr>
            <w:tcW w:w="0" w:type="auto"/>
            <w:tcBorders>
              <w:top w:val="nil"/>
              <w:left w:val="nil"/>
              <w:bottom w:val="nil"/>
              <w:right w:val="nil"/>
            </w:tcBorders>
            <w:vAlign w:val="center"/>
            <w:hideMark/>
          </w:tcPr>
          <w:p w14:paraId="3D846B0E"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-.05</w:t>
            </w:r>
          </w:p>
        </w:tc>
        <w:tc>
          <w:tcPr>
            <w:tcW w:w="0" w:type="auto"/>
            <w:tcBorders>
              <w:top w:val="nil"/>
              <w:left w:val="nil"/>
              <w:bottom w:val="nil"/>
              <w:right w:val="nil"/>
            </w:tcBorders>
            <w:vAlign w:val="center"/>
            <w:hideMark/>
          </w:tcPr>
          <w:p w14:paraId="1C0BC3B1" w14:textId="2E8E0FA3"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314DE3A0" w14:textId="77777777" w:rsidTr="009B79D4">
        <w:trPr>
          <w:trHeight w:val="409"/>
        </w:trPr>
        <w:tc>
          <w:tcPr>
            <w:tcW w:w="0" w:type="auto"/>
            <w:tcBorders>
              <w:top w:val="nil"/>
              <w:left w:val="nil"/>
              <w:bottom w:val="nil"/>
              <w:right w:val="nil"/>
            </w:tcBorders>
            <w:vAlign w:val="center"/>
            <w:hideMark/>
          </w:tcPr>
          <w:p w14:paraId="7DA8C1BA"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Education-Pre DNR Attitude</w:t>
            </w:r>
          </w:p>
        </w:tc>
        <w:tc>
          <w:tcPr>
            <w:tcW w:w="0" w:type="auto"/>
            <w:tcBorders>
              <w:top w:val="nil"/>
              <w:left w:val="nil"/>
              <w:bottom w:val="nil"/>
              <w:right w:val="nil"/>
            </w:tcBorders>
            <w:vAlign w:val="center"/>
            <w:hideMark/>
          </w:tcPr>
          <w:p w14:paraId="4E1CF6B4"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Pre DNR Attitude</w:t>
            </w:r>
          </w:p>
        </w:tc>
        <w:tc>
          <w:tcPr>
            <w:tcW w:w="0" w:type="auto"/>
            <w:tcBorders>
              <w:top w:val="nil"/>
              <w:left w:val="nil"/>
              <w:bottom w:val="nil"/>
              <w:right w:val="nil"/>
            </w:tcBorders>
            <w:vAlign w:val="center"/>
            <w:hideMark/>
          </w:tcPr>
          <w:p w14:paraId="4831343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.36 </w:t>
            </w:r>
          </w:p>
        </w:tc>
        <w:tc>
          <w:tcPr>
            <w:tcW w:w="0" w:type="auto"/>
            <w:tcBorders>
              <w:top w:val="nil"/>
              <w:left w:val="nil"/>
              <w:bottom w:val="nil"/>
              <w:right w:val="nil"/>
            </w:tcBorders>
            <w:vAlign w:val="center"/>
            <w:hideMark/>
          </w:tcPr>
          <w:p w14:paraId="22AD70EF"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.53</w:t>
            </w:r>
          </w:p>
        </w:tc>
        <w:tc>
          <w:tcPr>
            <w:tcW w:w="0" w:type="auto"/>
            <w:tcBorders>
              <w:top w:val="nil"/>
              <w:left w:val="nil"/>
              <w:bottom w:val="nil"/>
              <w:right w:val="nil"/>
            </w:tcBorders>
            <w:vAlign w:val="center"/>
            <w:hideMark/>
          </w:tcPr>
          <w:p w14:paraId="72D24ED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.68</w:t>
            </w:r>
          </w:p>
        </w:tc>
        <w:tc>
          <w:tcPr>
            <w:tcW w:w="0" w:type="auto"/>
            <w:tcBorders>
              <w:top w:val="nil"/>
              <w:left w:val="nil"/>
              <w:bottom w:val="nil"/>
              <w:right w:val="nil"/>
            </w:tcBorders>
            <w:vAlign w:val="center"/>
            <w:hideMark/>
          </w:tcPr>
          <w:p w14:paraId="0926D1DE" w14:textId="1AFAAD3E"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41CF5692" w14:textId="77777777" w:rsidTr="009B79D4">
        <w:trPr>
          <w:trHeight w:val="421"/>
        </w:trPr>
        <w:tc>
          <w:tcPr>
            <w:tcW w:w="0" w:type="auto"/>
            <w:tcBorders>
              <w:top w:val="nil"/>
              <w:left w:val="nil"/>
              <w:bottom w:val="nil"/>
              <w:right w:val="nil"/>
            </w:tcBorders>
            <w:vAlign w:val="center"/>
          </w:tcPr>
          <w:p w14:paraId="142250E3"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0385CD31"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 Post DNR Attitude</w:t>
            </w:r>
          </w:p>
        </w:tc>
        <w:tc>
          <w:tcPr>
            <w:tcW w:w="0" w:type="auto"/>
            <w:tcBorders>
              <w:top w:val="nil"/>
              <w:left w:val="nil"/>
              <w:bottom w:val="nil"/>
              <w:right w:val="nil"/>
            </w:tcBorders>
            <w:vAlign w:val="center"/>
            <w:hideMark/>
          </w:tcPr>
          <w:p w14:paraId="3F1D712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-.34 </w:t>
            </w:r>
          </w:p>
        </w:tc>
        <w:tc>
          <w:tcPr>
            <w:tcW w:w="0" w:type="auto"/>
            <w:tcBorders>
              <w:top w:val="nil"/>
              <w:left w:val="nil"/>
              <w:bottom w:val="nil"/>
              <w:right w:val="nil"/>
            </w:tcBorders>
            <w:vAlign w:val="center"/>
            <w:hideMark/>
          </w:tcPr>
          <w:p w14:paraId="678B6A71"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.53</w:t>
            </w:r>
          </w:p>
        </w:tc>
        <w:tc>
          <w:tcPr>
            <w:tcW w:w="0" w:type="auto"/>
            <w:tcBorders>
              <w:top w:val="nil"/>
              <w:left w:val="nil"/>
              <w:bottom w:val="nil"/>
              <w:right w:val="nil"/>
            </w:tcBorders>
            <w:vAlign w:val="center"/>
            <w:hideMark/>
          </w:tcPr>
          <w:p w14:paraId="6A7F598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-.65</w:t>
            </w:r>
          </w:p>
        </w:tc>
        <w:tc>
          <w:tcPr>
            <w:tcW w:w="0" w:type="auto"/>
            <w:tcBorders>
              <w:top w:val="nil"/>
              <w:left w:val="nil"/>
              <w:bottom w:val="nil"/>
              <w:right w:val="nil"/>
            </w:tcBorders>
            <w:vAlign w:val="center"/>
            <w:hideMark/>
          </w:tcPr>
          <w:p w14:paraId="32996548" w14:textId="1DD4F2E0"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39F606B6" w14:textId="77777777" w:rsidTr="009B79D4">
        <w:trPr>
          <w:trHeight w:val="409"/>
        </w:trPr>
        <w:tc>
          <w:tcPr>
            <w:tcW w:w="0" w:type="auto"/>
            <w:tcBorders>
              <w:top w:val="nil"/>
              <w:left w:val="nil"/>
              <w:bottom w:val="nil"/>
              <w:right w:val="nil"/>
            </w:tcBorders>
            <w:vAlign w:val="center"/>
          </w:tcPr>
          <w:p w14:paraId="4A38E998"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04663BCC"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 Post DNR Attitude</w:t>
            </w:r>
          </w:p>
        </w:tc>
        <w:tc>
          <w:tcPr>
            <w:tcW w:w="0" w:type="auto"/>
            <w:tcBorders>
              <w:top w:val="nil"/>
              <w:left w:val="nil"/>
              <w:bottom w:val="nil"/>
              <w:right w:val="nil"/>
            </w:tcBorders>
            <w:vAlign w:val="center"/>
            <w:hideMark/>
          </w:tcPr>
          <w:p w14:paraId="6110B0D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-.01 </w:t>
            </w:r>
          </w:p>
        </w:tc>
        <w:tc>
          <w:tcPr>
            <w:tcW w:w="0" w:type="auto"/>
            <w:tcBorders>
              <w:top w:val="nil"/>
              <w:left w:val="nil"/>
              <w:bottom w:val="nil"/>
              <w:right w:val="nil"/>
            </w:tcBorders>
            <w:vAlign w:val="center"/>
            <w:hideMark/>
          </w:tcPr>
          <w:p w14:paraId="585CF6A1"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.53</w:t>
            </w:r>
          </w:p>
        </w:tc>
        <w:tc>
          <w:tcPr>
            <w:tcW w:w="0" w:type="auto"/>
            <w:tcBorders>
              <w:top w:val="nil"/>
              <w:left w:val="nil"/>
              <w:bottom w:val="nil"/>
              <w:right w:val="nil"/>
            </w:tcBorders>
            <w:vAlign w:val="center"/>
            <w:hideMark/>
          </w:tcPr>
          <w:p w14:paraId="016E661E"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-.02 </w:t>
            </w:r>
          </w:p>
        </w:tc>
        <w:tc>
          <w:tcPr>
            <w:tcW w:w="0" w:type="auto"/>
            <w:tcBorders>
              <w:top w:val="nil"/>
              <w:left w:val="nil"/>
              <w:bottom w:val="nil"/>
              <w:right w:val="nil"/>
            </w:tcBorders>
            <w:vAlign w:val="center"/>
            <w:hideMark/>
          </w:tcPr>
          <w:p w14:paraId="03504865" w14:textId="0D763C91"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088D49ED" w14:textId="77777777" w:rsidTr="009B79D4">
        <w:trPr>
          <w:trHeight w:val="831"/>
        </w:trPr>
        <w:tc>
          <w:tcPr>
            <w:tcW w:w="0" w:type="auto"/>
            <w:tcBorders>
              <w:top w:val="nil"/>
              <w:left w:val="nil"/>
              <w:bottom w:val="nil"/>
              <w:right w:val="nil"/>
            </w:tcBorders>
            <w:vAlign w:val="center"/>
          </w:tcPr>
          <w:p w14:paraId="2E6C460D"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0AC8285C"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Post DNR Attitude</w:t>
            </w:r>
          </w:p>
        </w:tc>
        <w:tc>
          <w:tcPr>
            <w:tcW w:w="0" w:type="auto"/>
            <w:tcBorders>
              <w:top w:val="nil"/>
              <w:left w:val="nil"/>
              <w:bottom w:val="nil"/>
              <w:right w:val="nil"/>
            </w:tcBorders>
            <w:vAlign w:val="center"/>
            <w:hideMark/>
          </w:tcPr>
          <w:p w14:paraId="3BC0F76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-1.25***</w:t>
            </w:r>
          </w:p>
        </w:tc>
        <w:tc>
          <w:tcPr>
            <w:tcW w:w="0" w:type="auto"/>
            <w:tcBorders>
              <w:top w:val="nil"/>
              <w:left w:val="nil"/>
              <w:bottom w:val="nil"/>
              <w:right w:val="nil"/>
            </w:tcBorders>
            <w:vAlign w:val="center"/>
            <w:hideMark/>
          </w:tcPr>
          <w:p w14:paraId="74E05481"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.26</w:t>
            </w:r>
          </w:p>
        </w:tc>
        <w:tc>
          <w:tcPr>
            <w:tcW w:w="0" w:type="auto"/>
            <w:tcBorders>
              <w:top w:val="nil"/>
              <w:left w:val="nil"/>
              <w:bottom w:val="nil"/>
              <w:right w:val="nil"/>
            </w:tcBorders>
            <w:vAlign w:val="center"/>
            <w:hideMark/>
          </w:tcPr>
          <w:p w14:paraId="5D16BF2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-4.82</w:t>
            </w:r>
          </w:p>
        </w:tc>
        <w:tc>
          <w:tcPr>
            <w:tcW w:w="0" w:type="auto"/>
            <w:tcBorders>
              <w:top w:val="nil"/>
              <w:left w:val="nil"/>
              <w:bottom w:val="nil"/>
              <w:right w:val="nil"/>
            </w:tcBorders>
            <w:vAlign w:val="center"/>
            <w:hideMark/>
          </w:tcPr>
          <w:p w14:paraId="4CAF9FAB" w14:textId="0BFE3B34"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.00 </w:t>
            </w:r>
          </w:p>
        </w:tc>
      </w:tr>
      <w:tr w:rsidR="001F64A9" w:rsidRPr="001F64A9" w14:paraId="3DEDF348" w14:textId="77777777" w:rsidTr="009B79D4">
        <w:trPr>
          <w:trHeight w:val="831"/>
        </w:trPr>
        <w:tc>
          <w:tcPr>
            <w:tcW w:w="0" w:type="auto"/>
            <w:tcBorders>
              <w:top w:val="nil"/>
              <w:left w:val="nil"/>
              <w:bottom w:val="nil"/>
              <w:right w:val="nil"/>
            </w:tcBorders>
            <w:vAlign w:val="center"/>
          </w:tcPr>
          <w:p w14:paraId="2F59C4AB"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21DA971C"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Post DNR Attitude</w:t>
            </w:r>
          </w:p>
        </w:tc>
        <w:tc>
          <w:tcPr>
            <w:tcW w:w="0" w:type="auto"/>
            <w:tcBorders>
              <w:top w:val="nil"/>
              <w:left w:val="nil"/>
              <w:bottom w:val="nil"/>
              <w:right w:val="nil"/>
            </w:tcBorders>
            <w:vAlign w:val="center"/>
            <w:hideMark/>
          </w:tcPr>
          <w:p w14:paraId="59E3CF7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.20 </w:t>
            </w:r>
          </w:p>
        </w:tc>
        <w:tc>
          <w:tcPr>
            <w:tcW w:w="0" w:type="auto"/>
            <w:tcBorders>
              <w:top w:val="nil"/>
              <w:left w:val="nil"/>
              <w:bottom w:val="nil"/>
              <w:right w:val="nil"/>
            </w:tcBorders>
            <w:vAlign w:val="center"/>
            <w:hideMark/>
          </w:tcPr>
          <w:p w14:paraId="139B985F" w14:textId="7777777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.52</w:t>
            </w:r>
          </w:p>
        </w:tc>
        <w:tc>
          <w:tcPr>
            <w:tcW w:w="0" w:type="auto"/>
            <w:tcBorders>
              <w:top w:val="nil"/>
              <w:left w:val="nil"/>
              <w:bottom w:val="nil"/>
              <w:right w:val="nil"/>
            </w:tcBorders>
            <w:vAlign w:val="center"/>
            <w:hideMark/>
          </w:tcPr>
          <w:p w14:paraId="5331438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.38</w:t>
            </w:r>
          </w:p>
        </w:tc>
        <w:tc>
          <w:tcPr>
            <w:tcW w:w="0" w:type="auto"/>
            <w:tcBorders>
              <w:top w:val="nil"/>
              <w:left w:val="nil"/>
              <w:bottom w:val="nil"/>
              <w:right w:val="nil"/>
            </w:tcBorders>
            <w:vAlign w:val="center"/>
            <w:hideMark/>
          </w:tcPr>
          <w:p w14:paraId="23F9B6FE" w14:textId="3331FA08"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769FAD4F" w14:textId="77777777" w:rsidTr="009B79D4">
        <w:trPr>
          <w:trHeight w:val="831"/>
        </w:trPr>
        <w:tc>
          <w:tcPr>
            <w:tcW w:w="0" w:type="auto"/>
            <w:tcBorders>
              <w:top w:val="nil"/>
              <w:left w:val="nil"/>
              <w:bottom w:val="nil"/>
              <w:right w:val="nil"/>
            </w:tcBorders>
            <w:vAlign w:val="center"/>
            <w:hideMark/>
          </w:tcPr>
          <w:p w14:paraId="6C9AF628"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Irrelevant-Pre DNR Attitude</w:t>
            </w:r>
          </w:p>
        </w:tc>
        <w:tc>
          <w:tcPr>
            <w:tcW w:w="0" w:type="auto"/>
            <w:tcBorders>
              <w:top w:val="nil"/>
              <w:left w:val="nil"/>
              <w:bottom w:val="nil"/>
              <w:right w:val="nil"/>
            </w:tcBorders>
            <w:vAlign w:val="center"/>
            <w:hideMark/>
          </w:tcPr>
          <w:p w14:paraId="0FE2570B"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 Post DNR Attitude</w:t>
            </w:r>
          </w:p>
        </w:tc>
        <w:tc>
          <w:tcPr>
            <w:tcW w:w="0" w:type="auto"/>
            <w:tcBorders>
              <w:top w:val="nil"/>
              <w:left w:val="nil"/>
              <w:bottom w:val="nil"/>
              <w:right w:val="nil"/>
            </w:tcBorders>
            <w:vAlign w:val="center"/>
            <w:hideMark/>
          </w:tcPr>
          <w:p w14:paraId="7931F3D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-.70 </w:t>
            </w:r>
          </w:p>
        </w:tc>
        <w:tc>
          <w:tcPr>
            <w:tcW w:w="0" w:type="auto"/>
            <w:tcBorders>
              <w:top w:val="nil"/>
              <w:left w:val="nil"/>
              <w:bottom w:val="nil"/>
              <w:right w:val="nil"/>
            </w:tcBorders>
            <w:vAlign w:val="center"/>
            <w:hideMark/>
          </w:tcPr>
          <w:p w14:paraId="0C6598AB" w14:textId="2D24E614"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.52</w:t>
            </w:r>
          </w:p>
        </w:tc>
        <w:tc>
          <w:tcPr>
            <w:tcW w:w="0" w:type="auto"/>
            <w:tcBorders>
              <w:top w:val="nil"/>
              <w:left w:val="nil"/>
              <w:bottom w:val="nil"/>
              <w:right w:val="nil"/>
            </w:tcBorders>
            <w:vAlign w:val="center"/>
            <w:hideMark/>
          </w:tcPr>
          <w:p w14:paraId="309E85E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-1.34 </w:t>
            </w:r>
          </w:p>
        </w:tc>
        <w:tc>
          <w:tcPr>
            <w:tcW w:w="0" w:type="auto"/>
            <w:tcBorders>
              <w:top w:val="nil"/>
              <w:left w:val="nil"/>
              <w:bottom w:val="nil"/>
              <w:right w:val="nil"/>
            </w:tcBorders>
            <w:vAlign w:val="center"/>
            <w:hideMark/>
          </w:tcPr>
          <w:p w14:paraId="4C83C815" w14:textId="1F51CAF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2C7DA241" w14:textId="77777777" w:rsidTr="009B79D4">
        <w:trPr>
          <w:trHeight w:val="409"/>
        </w:trPr>
        <w:tc>
          <w:tcPr>
            <w:tcW w:w="0" w:type="auto"/>
            <w:tcBorders>
              <w:top w:val="nil"/>
              <w:left w:val="nil"/>
              <w:bottom w:val="nil"/>
              <w:right w:val="nil"/>
            </w:tcBorders>
            <w:vAlign w:val="center"/>
          </w:tcPr>
          <w:p w14:paraId="66C8AE2D"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3BCEE591"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 Post DNR Attitude</w:t>
            </w:r>
          </w:p>
        </w:tc>
        <w:tc>
          <w:tcPr>
            <w:tcW w:w="0" w:type="auto"/>
            <w:tcBorders>
              <w:top w:val="nil"/>
              <w:left w:val="nil"/>
              <w:bottom w:val="nil"/>
              <w:right w:val="nil"/>
            </w:tcBorders>
            <w:vAlign w:val="center"/>
            <w:hideMark/>
          </w:tcPr>
          <w:p w14:paraId="0B49B0C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-.37 </w:t>
            </w:r>
          </w:p>
        </w:tc>
        <w:tc>
          <w:tcPr>
            <w:tcW w:w="0" w:type="auto"/>
            <w:tcBorders>
              <w:top w:val="nil"/>
              <w:left w:val="nil"/>
              <w:bottom w:val="nil"/>
              <w:right w:val="nil"/>
            </w:tcBorders>
            <w:vAlign w:val="center"/>
            <w:hideMark/>
          </w:tcPr>
          <w:p w14:paraId="250EEE73" w14:textId="7B9B55B8"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.52</w:t>
            </w:r>
          </w:p>
        </w:tc>
        <w:tc>
          <w:tcPr>
            <w:tcW w:w="0" w:type="auto"/>
            <w:tcBorders>
              <w:top w:val="nil"/>
              <w:left w:val="nil"/>
              <w:bottom w:val="nil"/>
              <w:right w:val="nil"/>
            </w:tcBorders>
            <w:vAlign w:val="center"/>
            <w:hideMark/>
          </w:tcPr>
          <w:p w14:paraId="48DE81C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-.71</w:t>
            </w:r>
          </w:p>
        </w:tc>
        <w:tc>
          <w:tcPr>
            <w:tcW w:w="0" w:type="auto"/>
            <w:tcBorders>
              <w:top w:val="nil"/>
              <w:left w:val="nil"/>
              <w:bottom w:val="nil"/>
              <w:right w:val="nil"/>
            </w:tcBorders>
            <w:vAlign w:val="center"/>
            <w:hideMark/>
          </w:tcPr>
          <w:p w14:paraId="1B266F04" w14:textId="1FE43934"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707EAE8B" w14:textId="77777777" w:rsidTr="009B79D4">
        <w:trPr>
          <w:trHeight w:val="831"/>
        </w:trPr>
        <w:tc>
          <w:tcPr>
            <w:tcW w:w="0" w:type="auto"/>
            <w:tcBorders>
              <w:top w:val="nil"/>
              <w:left w:val="nil"/>
              <w:bottom w:val="nil"/>
              <w:right w:val="nil"/>
            </w:tcBorders>
            <w:vAlign w:val="center"/>
          </w:tcPr>
          <w:p w14:paraId="6AC65B1F"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56A2A75A"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Post DNR Attitude</w:t>
            </w:r>
          </w:p>
        </w:tc>
        <w:tc>
          <w:tcPr>
            <w:tcW w:w="0" w:type="auto"/>
            <w:tcBorders>
              <w:top w:val="nil"/>
              <w:left w:val="nil"/>
              <w:bottom w:val="nil"/>
              <w:right w:val="nil"/>
            </w:tcBorders>
            <w:vAlign w:val="center"/>
            <w:hideMark/>
          </w:tcPr>
          <w:p w14:paraId="38FB018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-1.61</w:t>
            </w:r>
          </w:p>
        </w:tc>
        <w:tc>
          <w:tcPr>
            <w:tcW w:w="0" w:type="auto"/>
            <w:tcBorders>
              <w:top w:val="nil"/>
              <w:left w:val="nil"/>
              <w:bottom w:val="nil"/>
              <w:right w:val="nil"/>
            </w:tcBorders>
            <w:vAlign w:val="center"/>
            <w:hideMark/>
          </w:tcPr>
          <w:p w14:paraId="1076B672" w14:textId="1134667D"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.53</w:t>
            </w:r>
          </w:p>
        </w:tc>
        <w:tc>
          <w:tcPr>
            <w:tcW w:w="0" w:type="auto"/>
            <w:tcBorders>
              <w:top w:val="nil"/>
              <w:left w:val="nil"/>
              <w:bottom w:val="nil"/>
              <w:right w:val="nil"/>
            </w:tcBorders>
            <w:vAlign w:val="center"/>
            <w:hideMark/>
          </w:tcPr>
          <w:p w14:paraId="3541E67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-3.03</w:t>
            </w:r>
          </w:p>
        </w:tc>
        <w:tc>
          <w:tcPr>
            <w:tcW w:w="0" w:type="auto"/>
            <w:tcBorders>
              <w:top w:val="nil"/>
              <w:left w:val="nil"/>
              <w:bottom w:val="nil"/>
              <w:right w:val="nil"/>
            </w:tcBorders>
            <w:vAlign w:val="center"/>
            <w:hideMark/>
          </w:tcPr>
          <w:p w14:paraId="3C324B47" w14:textId="117340B5"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.06 </w:t>
            </w:r>
          </w:p>
        </w:tc>
      </w:tr>
      <w:tr w:rsidR="001F64A9" w:rsidRPr="001F64A9" w14:paraId="64D52CF6" w14:textId="77777777" w:rsidTr="009B79D4">
        <w:trPr>
          <w:trHeight w:val="831"/>
        </w:trPr>
        <w:tc>
          <w:tcPr>
            <w:tcW w:w="0" w:type="auto"/>
            <w:tcBorders>
              <w:top w:val="nil"/>
              <w:left w:val="nil"/>
              <w:bottom w:val="nil"/>
              <w:right w:val="nil"/>
            </w:tcBorders>
            <w:vAlign w:val="center"/>
          </w:tcPr>
          <w:p w14:paraId="46FAFCD6"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25C27EC7"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Post DNR Attitude</w:t>
            </w:r>
          </w:p>
        </w:tc>
        <w:tc>
          <w:tcPr>
            <w:tcW w:w="0" w:type="auto"/>
            <w:tcBorders>
              <w:top w:val="nil"/>
              <w:left w:val="nil"/>
              <w:bottom w:val="nil"/>
              <w:right w:val="nil"/>
            </w:tcBorders>
            <w:vAlign w:val="center"/>
            <w:hideMark/>
          </w:tcPr>
          <w:p w14:paraId="3186546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-.16 </w:t>
            </w:r>
          </w:p>
        </w:tc>
        <w:tc>
          <w:tcPr>
            <w:tcW w:w="0" w:type="auto"/>
            <w:tcBorders>
              <w:top w:val="nil"/>
              <w:left w:val="nil"/>
              <w:bottom w:val="nil"/>
              <w:right w:val="nil"/>
            </w:tcBorders>
            <w:vAlign w:val="center"/>
            <w:hideMark/>
          </w:tcPr>
          <w:p w14:paraId="0960275F" w14:textId="224C7997"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.25</w:t>
            </w:r>
          </w:p>
        </w:tc>
        <w:tc>
          <w:tcPr>
            <w:tcW w:w="0" w:type="auto"/>
            <w:tcBorders>
              <w:top w:val="nil"/>
              <w:left w:val="nil"/>
              <w:bottom w:val="nil"/>
              <w:right w:val="nil"/>
            </w:tcBorders>
            <w:vAlign w:val="center"/>
            <w:hideMark/>
          </w:tcPr>
          <w:p w14:paraId="48D30CF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-.62</w:t>
            </w:r>
          </w:p>
        </w:tc>
        <w:tc>
          <w:tcPr>
            <w:tcW w:w="0" w:type="auto"/>
            <w:tcBorders>
              <w:top w:val="nil"/>
              <w:left w:val="nil"/>
              <w:bottom w:val="nil"/>
              <w:right w:val="nil"/>
            </w:tcBorders>
            <w:vAlign w:val="center"/>
            <w:hideMark/>
          </w:tcPr>
          <w:p w14:paraId="63A5A5C4" w14:textId="0D8617CE"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22BB79A2" w14:textId="77777777" w:rsidTr="009B79D4">
        <w:trPr>
          <w:trHeight w:val="421"/>
        </w:trPr>
        <w:tc>
          <w:tcPr>
            <w:tcW w:w="0" w:type="auto"/>
            <w:tcBorders>
              <w:top w:val="nil"/>
              <w:left w:val="nil"/>
              <w:bottom w:val="nil"/>
              <w:right w:val="nil"/>
            </w:tcBorders>
            <w:vAlign w:val="center"/>
            <w:hideMark/>
          </w:tcPr>
          <w:p w14:paraId="612AD49F"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Positive-Post DNR Attitude</w:t>
            </w:r>
          </w:p>
        </w:tc>
        <w:tc>
          <w:tcPr>
            <w:tcW w:w="0" w:type="auto"/>
            <w:tcBorders>
              <w:top w:val="nil"/>
              <w:left w:val="nil"/>
              <w:bottom w:val="nil"/>
              <w:right w:val="nil"/>
            </w:tcBorders>
            <w:vAlign w:val="center"/>
            <w:hideMark/>
          </w:tcPr>
          <w:p w14:paraId="432BD03F"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 Post DNR Attitude</w:t>
            </w:r>
          </w:p>
        </w:tc>
        <w:tc>
          <w:tcPr>
            <w:tcW w:w="0" w:type="auto"/>
            <w:tcBorders>
              <w:top w:val="nil"/>
              <w:left w:val="nil"/>
              <w:bottom w:val="nil"/>
              <w:right w:val="nil"/>
            </w:tcBorders>
            <w:vAlign w:val="center"/>
            <w:hideMark/>
          </w:tcPr>
          <w:p w14:paraId="02E0DDB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.33 </w:t>
            </w:r>
          </w:p>
        </w:tc>
        <w:tc>
          <w:tcPr>
            <w:tcW w:w="0" w:type="auto"/>
            <w:tcBorders>
              <w:top w:val="nil"/>
              <w:left w:val="nil"/>
              <w:bottom w:val="nil"/>
              <w:right w:val="nil"/>
            </w:tcBorders>
            <w:vAlign w:val="center"/>
            <w:hideMark/>
          </w:tcPr>
          <w:p w14:paraId="07A6DE13" w14:textId="6AE167D3"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.53</w:t>
            </w:r>
          </w:p>
        </w:tc>
        <w:tc>
          <w:tcPr>
            <w:tcW w:w="0" w:type="auto"/>
            <w:tcBorders>
              <w:top w:val="nil"/>
              <w:left w:val="nil"/>
              <w:bottom w:val="nil"/>
              <w:right w:val="nil"/>
            </w:tcBorders>
            <w:vAlign w:val="center"/>
            <w:hideMark/>
          </w:tcPr>
          <w:p w14:paraId="27A2268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.63 </w:t>
            </w:r>
          </w:p>
        </w:tc>
        <w:tc>
          <w:tcPr>
            <w:tcW w:w="0" w:type="auto"/>
            <w:tcBorders>
              <w:top w:val="nil"/>
              <w:left w:val="nil"/>
              <w:bottom w:val="nil"/>
              <w:right w:val="nil"/>
            </w:tcBorders>
            <w:vAlign w:val="center"/>
            <w:hideMark/>
          </w:tcPr>
          <w:p w14:paraId="12AD7057" w14:textId="6C4BE83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0FE167DB" w14:textId="77777777" w:rsidTr="009B79D4">
        <w:trPr>
          <w:trHeight w:val="831"/>
        </w:trPr>
        <w:tc>
          <w:tcPr>
            <w:tcW w:w="0" w:type="auto"/>
            <w:tcBorders>
              <w:top w:val="nil"/>
              <w:left w:val="nil"/>
              <w:bottom w:val="nil"/>
              <w:right w:val="nil"/>
            </w:tcBorders>
            <w:vAlign w:val="center"/>
          </w:tcPr>
          <w:p w14:paraId="0D360AA4"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6D42FC0C"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Post DNR Attitude</w:t>
            </w:r>
          </w:p>
        </w:tc>
        <w:tc>
          <w:tcPr>
            <w:tcW w:w="0" w:type="auto"/>
            <w:tcBorders>
              <w:top w:val="nil"/>
              <w:left w:val="nil"/>
              <w:bottom w:val="nil"/>
              <w:right w:val="nil"/>
            </w:tcBorders>
            <w:vAlign w:val="center"/>
            <w:hideMark/>
          </w:tcPr>
          <w:p w14:paraId="3DCC3EF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-.91 </w:t>
            </w:r>
          </w:p>
        </w:tc>
        <w:tc>
          <w:tcPr>
            <w:tcW w:w="0" w:type="auto"/>
            <w:tcBorders>
              <w:top w:val="nil"/>
              <w:left w:val="nil"/>
              <w:bottom w:val="nil"/>
              <w:right w:val="nil"/>
            </w:tcBorders>
            <w:vAlign w:val="center"/>
            <w:hideMark/>
          </w:tcPr>
          <w:p w14:paraId="5F98BA2F" w14:textId="6458FEEA"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.53</w:t>
            </w:r>
          </w:p>
        </w:tc>
        <w:tc>
          <w:tcPr>
            <w:tcW w:w="0" w:type="auto"/>
            <w:tcBorders>
              <w:top w:val="nil"/>
              <w:left w:val="nil"/>
              <w:bottom w:val="nil"/>
              <w:right w:val="nil"/>
            </w:tcBorders>
            <w:vAlign w:val="center"/>
            <w:hideMark/>
          </w:tcPr>
          <w:p w14:paraId="012B943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-1.72</w:t>
            </w:r>
          </w:p>
        </w:tc>
        <w:tc>
          <w:tcPr>
            <w:tcW w:w="0" w:type="auto"/>
            <w:tcBorders>
              <w:top w:val="nil"/>
              <w:left w:val="nil"/>
              <w:bottom w:val="nil"/>
              <w:right w:val="nil"/>
            </w:tcBorders>
            <w:vAlign w:val="center"/>
            <w:hideMark/>
          </w:tcPr>
          <w:p w14:paraId="7FE1AE1C" w14:textId="37187088"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46FD8AE2" w14:textId="77777777" w:rsidTr="009B79D4">
        <w:trPr>
          <w:trHeight w:val="831"/>
        </w:trPr>
        <w:tc>
          <w:tcPr>
            <w:tcW w:w="0" w:type="auto"/>
            <w:tcBorders>
              <w:top w:val="nil"/>
              <w:left w:val="nil"/>
              <w:bottom w:val="nil"/>
              <w:right w:val="nil"/>
            </w:tcBorders>
            <w:vAlign w:val="center"/>
          </w:tcPr>
          <w:p w14:paraId="5559E8FD"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754C2718"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Post DNR Attitude</w:t>
            </w:r>
          </w:p>
        </w:tc>
        <w:tc>
          <w:tcPr>
            <w:tcW w:w="0" w:type="auto"/>
            <w:tcBorders>
              <w:top w:val="nil"/>
              <w:left w:val="nil"/>
              <w:bottom w:val="nil"/>
              <w:right w:val="nil"/>
            </w:tcBorders>
            <w:vAlign w:val="center"/>
            <w:hideMark/>
          </w:tcPr>
          <w:p w14:paraId="0584C73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.54 </w:t>
            </w:r>
          </w:p>
        </w:tc>
        <w:tc>
          <w:tcPr>
            <w:tcW w:w="0" w:type="auto"/>
            <w:tcBorders>
              <w:top w:val="nil"/>
              <w:left w:val="nil"/>
              <w:bottom w:val="nil"/>
              <w:right w:val="nil"/>
            </w:tcBorders>
            <w:vAlign w:val="center"/>
            <w:hideMark/>
          </w:tcPr>
          <w:p w14:paraId="51DB80CA" w14:textId="45383B30"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.53</w:t>
            </w:r>
          </w:p>
        </w:tc>
        <w:tc>
          <w:tcPr>
            <w:tcW w:w="0" w:type="auto"/>
            <w:tcBorders>
              <w:top w:val="nil"/>
              <w:left w:val="nil"/>
              <w:bottom w:val="nil"/>
              <w:right w:val="nil"/>
            </w:tcBorders>
            <w:vAlign w:val="center"/>
            <w:hideMark/>
          </w:tcPr>
          <w:p w14:paraId="6CE8B03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1.04</w:t>
            </w:r>
          </w:p>
        </w:tc>
        <w:tc>
          <w:tcPr>
            <w:tcW w:w="0" w:type="auto"/>
            <w:tcBorders>
              <w:top w:val="nil"/>
              <w:left w:val="nil"/>
              <w:bottom w:val="nil"/>
              <w:right w:val="nil"/>
            </w:tcBorders>
            <w:vAlign w:val="center"/>
            <w:hideMark/>
          </w:tcPr>
          <w:p w14:paraId="35BDA206" w14:textId="3FA1D045"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72AD523D" w14:textId="77777777" w:rsidTr="009B79D4">
        <w:trPr>
          <w:trHeight w:val="831"/>
        </w:trPr>
        <w:tc>
          <w:tcPr>
            <w:tcW w:w="0" w:type="auto"/>
            <w:tcBorders>
              <w:top w:val="nil"/>
              <w:left w:val="nil"/>
              <w:bottom w:val="nil"/>
              <w:right w:val="nil"/>
            </w:tcBorders>
            <w:vAlign w:val="center"/>
            <w:hideMark/>
          </w:tcPr>
          <w:p w14:paraId="07C5DD9E"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Negative-Post DNR Attitude</w:t>
            </w:r>
          </w:p>
        </w:tc>
        <w:tc>
          <w:tcPr>
            <w:tcW w:w="0" w:type="auto"/>
            <w:tcBorders>
              <w:top w:val="nil"/>
              <w:left w:val="nil"/>
              <w:bottom w:val="nil"/>
              <w:right w:val="nil"/>
            </w:tcBorders>
            <w:vAlign w:val="center"/>
            <w:hideMark/>
          </w:tcPr>
          <w:p w14:paraId="4CD39DE3"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Post DNR Attitude</w:t>
            </w:r>
          </w:p>
        </w:tc>
        <w:tc>
          <w:tcPr>
            <w:tcW w:w="0" w:type="auto"/>
            <w:tcBorders>
              <w:top w:val="nil"/>
              <w:left w:val="nil"/>
              <w:bottom w:val="nil"/>
              <w:right w:val="nil"/>
            </w:tcBorders>
            <w:vAlign w:val="center"/>
            <w:hideMark/>
          </w:tcPr>
          <w:p w14:paraId="6D5CDCB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-1.24 </w:t>
            </w:r>
          </w:p>
        </w:tc>
        <w:tc>
          <w:tcPr>
            <w:tcW w:w="0" w:type="auto"/>
            <w:tcBorders>
              <w:top w:val="nil"/>
              <w:left w:val="nil"/>
              <w:bottom w:val="nil"/>
              <w:right w:val="nil"/>
            </w:tcBorders>
            <w:vAlign w:val="center"/>
            <w:hideMark/>
          </w:tcPr>
          <w:p w14:paraId="1E8D1F3F" w14:textId="194374A9"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.53</w:t>
            </w:r>
          </w:p>
        </w:tc>
        <w:tc>
          <w:tcPr>
            <w:tcW w:w="0" w:type="auto"/>
            <w:tcBorders>
              <w:top w:val="nil"/>
              <w:left w:val="nil"/>
              <w:bottom w:val="nil"/>
              <w:right w:val="nil"/>
            </w:tcBorders>
            <w:vAlign w:val="center"/>
            <w:hideMark/>
          </w:tcPr>
          <w:p w14:paraId="26F46C9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-2.35</w:t>
            </w:r>
          </w:p>
        </w:tc>
        <w:tc>
          <w:tcPr>
            <w:tcW w:w="0" w:type="auto"/>
            <w:tcBorders>
              <w:top w:val="nil"/>
              <w:left w:val="nil"/>
              <w:bottom w:val="nil"/>
              <w:right w:val="nil"/>
            </w:tcBorders>
            <w:vAlign w:val="center"/>
            <w:hideMark/>
          </w:tcPr>
          <w:p w14:paraId="09F76368" w14:textId="49BC42D6"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w:t>
            </w:r>
            <w:r w:rsidR="009B79D4" w:rsidRPr="001F64A9">
              <w:rPr>
                <w:rFonts w:asciiTheme="majorBidi" w:eastAsia="Times New Roman" w:hAnsiTheme="majorBidi" w:cstheme="majorBidi"/>
                <w:szCs w:val="24"/>
              </w:rPr>
              <w:t>3</w:t>
            </w:r>
            <w:r w:rsidRPr="001F64A9">
              <w:rPr>
                <w:rFonts w:asciiTheme="majorBidi" w:eastAsia="Times New Roman" w:hAnsiTheme="majorBidi" w:cstheme="majorBidi"/>
                <w:szCs w:val="24"/>
              </w:rPr>
              <w:t xml:space="preserve"> </w:t>
            </w:r>
          </w:p>
        </w:tc>
      </w:tr>
      <w:tr w:rsidR="001F64A9" w:rsidRPr="001F64A9" w14:paraId="621A4B8B" w14:textId="77777777" w:rsidTr="009B79D4">
        <w:trPr>
          <w:trHeight w:val="831"/>
        </w:trPr>
        <w:tc>
          <w:tcPr>
            <w:tcW w:w="0" w:type="auto"/>
            <w:tcBorders>
              <w:top w:val="nil"/>
              <w:left w:val="nil"/>
              <w:bottom w:val="nil"/>
              <w:right w:val="nil"/>
            </w:tcBorders>
            <w:vAlign w:val="center"/>
          </w:tcPr>
          <w:p w14:paraId="7E38D69B" w14:textId="77777777" w:rsidR="00EE5072" w:rsidRPr="001F64A9" w:rsidRDefault="00EE5072" w:rsidP="00AB3534">
            <w:pPr>
              <w:spacing w:line="360" w:lineRule="auto"/>
              <w:rPr>
                <w:rFonts w:asciiTheme="majorBidi" w:eastAsia="Times New Roman" w:hAnsiTheme="majorBidi" w:cstheme="majorBidi"/>
                <w:szCs w:val="24"/>
              </w:rPr>
            </w:pPr>
          </w:p>
        </w:tc>
        <w:tc>
          <w:tcPr>
            <w:tcW w:w="0" w:type="auto"/>
            <w:tcBorders>
              <w:top w:val="nil"/>
              <w:left w:val="nil"/>
              <w:bottom w:val="nil"/>
              <w:right w:val="nil"/>
            </w:tcBorders>
            <w:vAlign w:val="center"/>
            <w:hideMark/>
          </w:tcPr>
          <w:p w14:paraId="658E009A"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Post DNR Attitude</w:t>
            </w:r>
          </w:p>
        </w:tc>
        <w:tc>
          <w:tcPr>
            <w:tcW w:w="0" w:type="auto"/>
            <w:tcBorders>
              <w:top w:val="nil"/>
              <w:left w:val="nil"/>
              <w:bottom w:val="nil"/>
              <w:right w:val="nil"/>
            </w:tcBorders>
            <w:vAlign w:val="center"/>
            <w:hideMark/>
          </w:tcPr>
          <w:p w14:paraId="13B9FD5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.21</w:t>
            </w:r>
          </w:p>
        </w:tc>
        <w:tc>
          <w:tcPr>
            <w:tcW w:w="0" w:type="auto"/>
            <w:tcBorders>
              <w:top w:val="nil"/>
              <w:left w:val="nil"/>
              <w:bottom w:val="nil"/>
              <w:right w:val="nil"/>
            </w:tcBorders>
            <w:vAlign w:val="center"/>
            <w:hideMark/>
          </w:tcPr>
          <w:p w14:paraId="6139EECA" w14:textId="4BDF312A"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.53</w:t>
            </w:r>
          </w:p>
        </w:tc>
        <w:tc>
          <w:tcPr>
            <w:tcW w:w="0" w:type="auto"/>
            <w:tcBorders>
              <w:top w:val="nil"/>
              <w:left w:val="nil"/>
              <w:bottom w:val="nil"/>
              <w:right w:val="nil"/>
            </w:tcBorders>
            <w:vAlign w:val="center"/>
            <w:hideMark/>
          </w:tcPr>
          <w:p w14:paraId="068AADF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.41</w:t>
            </w:r>
          </w:p>
        </w:tc>
        <w:tc>
          <w:tcPr>
            <w:tcW w:w="0" w:type="auto"/>
            <w:tcBorders>
              <w:top w:val="nil"/>
              <w:left w:val="nil"/>
              <w:bottom w:val="nil"/>
              <w:right w:val="nil"/>
            </w:tcBorders>
            <w:vAlign w:val="center"/>
            <w:hideMark/>
          </w:tcPr>
          <w:p w14:paraId="114012B4" w14:textId="565CD94B"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1.00 </w:t>
            </w:r>
          </w:p>
        </w:tc>
      </w:tr>
      <w:tr w:rsidR="001F64A9" w:rsidRPr="001F64A9" w14:paraId="55320848" w14:textId="77777777" w:rsidTr="009B79D4">
        <w:trPr>
          <w:trHeight w:val="831"/>
        </w:trPr>
        <w:tc>
          <w:tcPr>
            <w:tcW w:w="0" w:type="auto"/>
            <w:tcBorders>
              <w:top w:val="nil"/>
              <w:left w:val="nil"/>
              <w:bottom w:val="single" w:sz="4" w:space="0" w:color="auto"/>
              <w:right w:val="nil"/>
            </w:tcBorders>
            <w:vAlign w:val="center"/>
            <w:hideMark/>
          </w:tcPr>
          <w:p w14:paraId="25D110A1"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Education-Post DNR Attitude</w:t>
            </w:r>
          </w:p>
        </w:tc>
        <w:tc>
          <w:tcPr>
            <w:tcW w:w="0" w:type="auto"/>
            <w:tcBorders>
              <w:top w:val="nil"/>
              <w:left w:val="nil"/>
              <w:bottom w:val="single" w:sz="4" w:space="0" w:color="auto"/>
              <w:right w:val="nil"/>
            </w:tcBorders>
            <w:vAlign w:val="center"/>
            <w:hideMark/>
          </w:tcPr>
          <w:p w14:paraId="6077B100"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Post DNR Attitude</w:t>
            </w:r>
          </w:p>
        </w:tc>
        <w:tc>
          <w:tcPr>
            <w:tcW w:w="0" w:type="auto"/>
            <w:tcBorders>
              <w:top w:val="nil"/>
              <w:left w:val="nil"/>
              <w:bottom w:val="single" w:sz="4" w:space="0" w:color="auto"/>
              <w:right w:val="nil"/>
            </w:tcBorders>
            <w:vAlign w:val="center"/>
            <w:hideMark/>
          </w:tcPr>
          <w:p w14:paraId="6ACE35E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 xml:space="preserve">1.45 </w:t>
            </w:r>
          </w:p>
        </w:tc>
        <w:tc>
          <w:tcPr>
            <w:tcW w:w="0" w:type="auto"/>
            <w:tcBorders>
              <w:top w:val="nil"/>
              <w:left w:val="nil"/>
              <w:bottom w:val="single" w:sz="4" w:space="0" w:color="auto"/>
              <w:right w:val="nil"/>
            </w:tcBorders>
            <w:vAlign w:val="center"/>
            <w:hideMark/>
          </w:tcPr>
          <w:p w14:paraId="03F69DC9" w14:textId="4C6DF3D2" w:rsidR="00EE5072" w:rsidRPr="001F64A9" w:rsidRDefault="00EE5072" w:rsidP="009B79D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.53</w:t>
            </w:r>
          </w:p>
        </w:tc>
        <w:tc>
          <w:tcPr>
            <w:tcW w:w="0" w:type="auto"/>
            <w:tcBorders>
              <w:top w:val="nil"/>
              <w:left w:val="nil"/>
              <w:bottom w:val="single" w:sz="4" w:space="0" w:color="auto"/>
              <w:right w:val="nil"/>
            </w:tcBorders>
            <w:vAlign w:val="center"/>
            <w:hideMark/>
          </w:tcPr>
          <w:p w14:paraId="270FEAC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2.74</w:t>
            </w:r>
          </w:p>
        </w:tc>
        <w:tc>
          <w:tcPr>
            <w:tcW w:w="0" w:type="auto"/>
            <w:tcBorders>
              <w:top w:val="nil"/>
              <w:left w:val="nil"/>
              <w:bottom w:val="single" w:sz="4" w:space="0" w:color="auto"/>
              <w:right w:val="nil"/>
            </w:tcBorders>
            <w:vAlign w:val="center"/>
            <w:hideMark/>
          </w:tcPr>
          <w:p w14:paraId="28AECE6E" w14:textId="70B6BAB0"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w:t>
            </w:r>
            <w:r w:rsidR="009B79D4" w:rsidRPr="001F64A9">
              <w:rPr>
                <w:rFonts w:asciiTheme="majorBidi" w:eastAsia="Times New Roman" w:hAnsiTheme="majorBidi" w:cstheme="majorBidi"/>
                <w:szCs w:val="24"/>
              </w:rPr>
              <w:t>5</w:t>
            </w:r>
            <w:r w:rsidRPr="001F64A9">
              <w:rPr>
                <w:rFonts w:asciiTheme="majorBidi" w:eastAsia="Times New Roman" w:hAnsiTheme="majorBidi" w:cstheme="majorBidi"/>
                <w:szCs w:val="24"/>
              </w:rPr>
              <w:t xml:space="preserve"> </w:t>
            </w:r>
          </w:p>
        </w:tc>
      </w:tr>
    </w:tbl>
    <w:p w14:paraId="6C4079F2" w14:textId="2A60512D" w:rsidR="00EE5072" w:rsidRPr="001F64A9" w:rsidRDefault="00EE5072">
      <w:pPr>
        <w:rPr>
          <w:rFonts w:asciiTheme="majorBidi" w:eastAsia="Times New Roman" w:hAnsiTheme="majorBidi" w:cstheme="majorBidi"/>
          <w:bCs/>
          <w:sz w:val="20"/>
          <w:szCs w:val="20"/>
        </w:rPr>
      </w:pPr>
      <w:r w:rsidRPr="001F64A9">
        <w:rPr>
          <w:rFonts w:asciiTheme="majorBidi" w:hAnsiTheme="majorBidi" w:cstheme="majorBidi"/>
          <w:i/>
          <w:iCs/>
          <w:sz w:val="20"/>
          <w:szCs w:val="20"/>
        </w:rPr>
        <w:t xml:space="preserve">Note. </w:t>
      </w:r>
      <w:r w:rsidRPr="001F64A9">
        <w:rPr>
          <w:rFonts w:asciiTheme="majorBidi" w:eastAsia="Times New Roman" w:hAnsiTheme="majorBidi" w:cstheme="majorBidi"/>
          <w:bCs/>
          <w:sz w:val="20"/>
          <w:szCs w:val="20"/>
        </w:rPr>
        <w:t>**</w:t>
      </w:r>
      <w:r w:rsidRPr="001F64A9">
        <w:rPr>
          <w:rFonts w:asciiTheme="majorBidi" w:eastAsia="Times New Roman" w:hAnsiTheme="majorBidi" w:cstheme="majorBidi"/>
          <w:bCs/>
          <w:i/>
          <w:iCs/>
          <w:sz w:val="20"/>
          <w:szCs w:val="20"/>
        </w:rPr>
        <w:t>p</w:t>
      </w:r>
      <w:r w:rsidRPr="001F64A9">
        <w:rPr>
          <w:rFonts w:asciiTheme="majorBidi" w:eastAsia="Times New Roman" w:hAnsiTheme="majorBidi" w:cstheme="majorBidi"/>
          <w:bCs/>
          <w:sz w:val="20"/>
          <w:szCs w:val="20"/>
        </w:rPr>
        <w:t xml:space="preserve"> &lt; .01, ***</w:t>
      </w:r>
      <w:r w:rsidRPr="001F64A9">
        <w:rPr>
          <w:rFonts w:asciiTheme="majorBidi" w:eastAsia="Times New Roman" w:hAnsiTheme="majorBidi" w:cstheme="majorBidi"/>
          <w:bCs/>
          <w:i/>
          <w:iCs/>
          <w:sz w:val="20"/>
          <w:szCs w:val="20"/>
        </w:rPr>
        <w:t>p</w:t>
      </w:r>
      <w:r w:rsidRPr="001F64A9">
        <w:rPr>
          <w:rFonts w:asciiTheme="majorBidi" w:eastAsia="Times New Roman" w:hAnsiTheme="majorBidi" w:cstheme="majorBidi"/>
          <w:bCs/>
          <w:sz w:val="20"/>
          <w:szCs w:val="20"/>
        </w:rPr>
        <w:t xml:space="preserve"> &lt; .001</w:t>
      </w:r>
      <w:r w:rsidRPr="001F64A9">
        <w:rPr>
          <w:rFonts w:asciiTheme="majorBidi" w:eastAsia="Times New Roman" w:hAnsiTheme="majorBidi" w:cstheme="majorBidi"/>
          <w:bCs/>
          <w:sz w:val="20"/>
          <w:szCs w:val="20"/>
        </w:rPr>
        <w:t>.</w:t>
      </w:r>
    </w:p>
    <w:p w14:paraId="27B67090" w14:textId="1D090F9E" w:rsidR="00EE5072" w:rsidRPr="001F64A9" w:rsidRDefault="00EE5072">
      <w:pPr>
        <w:spacing w:line="259" w:lineRule="auto"/>
        <w:rPr>
          <w:rFonts w:asciiTheme="majorBidi" w:eastAsia="Times New Roman" w:hAnsiTheme="majorBidi" w:cstheme="majorBidi"/>
          <w:bCs/>
          <w:sz w:val="20"/>
          <w:szCs w:val="20"/>
        </w:rPr>
      </w:pPr>
      <w:r w:rsidRPr="001F64A9">
        <w:rPr>
          <w:rFonts w:asciiTheme="majorBidi" w:eastAsia="Times New Roman" w:hAnsiTheme="majorBidi" w:cstheme="majorBidi"/>
          <w:bCs/>
          <w:sz w:val="20"/>
          <w:szCs w:val="20"/>
        </w:rPr>
        <w:br w:type="page"/>
      </w:r>
    </w:p>
    <w:p w14:paraId="5BCFB061" w14:textId="77777777" w:rsidR="00EE5072" w:rsidRPr="001F64A9" w:rsidRDefault="00EE5072" w:rsidP="00EE5072">
      <w:pPr>
        <w:spacing w:line="480" w:lineRule="auto"/>
        <w:jc w:val="both"/>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Table 17</w:t>
      </w:r>
    </w:p>
    <w:p w14:paraId="49AE7206" w14:textId="77777777" w:rsidR="00EE5072" w:rsidRPr="001F64A9" w:rsidRDefault="00EE5072" w:rsidP="00EE5072">
      <w:pPr>
        <w:spacing w:line="480" w:lineRule="auto"/>
        <w:jc w:val="both"/>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Descriptive Statistics of Pre-Post Attitude toward CPR, Groups, and their Interaction in Experiment 2</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2346"/>
        <w:gridCol w:w="2337"/>
        <w:gridCol w:w="2318"/>
      </w:tblGrid>
      <w:tr w:rsidR="00EE5072" w:rsidRPr="001F64A9" w14:paraId="71537EE1" w14:textId="77777777" w:rsidTr="009B79D4">
        <w:trPr>
          <w:trHeight w:val="832"/>
        </w:trPr>
        <w:tc>
          <w:tcPr>
            <w:tcW w:w="2332" w:type="dxa"/>
            <w:tcBorders>
              <w:top w:val="single" w:sz="4" w:space="0" w:color="auto"/>
              <w:left w:val="nil"/>
              <w:bottom w:val="single" w:sz="4" w:space="0" w:color="auto"/>
              <w:right w:val="nil"/>
            </w:tcBorders>
            <w:vAlign w:val="center"/>
          </w:tcPr>
          <w:p w14:paraId="44592287" w14:textId="77777777" w:rsidR="00EE5072" w:rsidRPr="001F64A9" w:rsidRDefault="00EE5072" w:rsidP="00AB3534">
            <w:pPr>
              <w:spacing w:line="360" w:lineRule="auto"/>
              <w:rPr>
                <w:rFonts w:asciiTheme="majorBidi" w:eastAsia="Times New Roman" w:hAnsiTheme="majorBidi" w:cstheme="majorBidi"/>
                <w:szCs w:val="24"/>
              </w:rPr>
            </w:pPr>
          </w:p>
        </w:tc>
        <w:tc>
          <w:tcPr>
            <w:tcW w:w="2346" w:type="dxa"/>
            <w:tcBorders>
              <w:top w:val="single" w:sz="4" w:space="0" w:color="auto"/>
              <w:left w:val="nil"/>
              <w:bottom w:val="single" w:sz="4" w:space="0" w:color="auto"/>
              <w:right w:val="nil"/>
            </w:tcBorders>
            <w:vAlign w:val="center"/>
            <w:hideMark/>
          </w:tcPr>
          <w:p w14:paraId="2A8E606C"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Pre-Post CPR Attitude</w:t>
            </w:r>
          </w:p>
        </w:tc>
        <w:tc>
          <w:tcPr>
            <w:tcW w:w="2337" w:type="dxa"/>
            <w:tcBorders>
              <w:top w:val="single" w:sz="4" w:space="0" w:color="auto"/>
              <w:left w:val="nil"/>
              <w:bottom w:val="single" w:sz="4" w:space="0" w:color="auto"/>
              <w:right w:val="nil"/>
            </w:tcBorders>
            <w:vAlign w:val="center"/>
            <w:hideMark/>
          </w:tcPr>
          <w:p w14:paraId="3315DEBC"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Marginal M</w:t>
            </w:r>
          </w:p>
        </w:tc>
        <w:tc>
          <w:tcPr>
            <w:tcW w:w="2318" w:type="dxa"/>
            <w:tcBorders>
              <w:top w:val="single" w:sz="4" w:space="0" w:color="auto"/>
              <w:left w:val="nil"/>
              <w:bottom w:val="single" w:sz="4" w:space="0" w:color="auto"/>
              <w:right w:val="nil"/>
            </w:tcBorders>
            <w:vAlign w:val="center"/>
            <w:hideMark/>
          </w:tcPr>
          <w:p w14:paraId="690EA16B"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SE</w:t>
            </w:r>
          </w:p>
        </w:tc>
      </w:tr>
      <w:tr w:rsidR="00EE5072" w:rsidRPr="001F64A9" w14:paraId="724E920E" w14:textId="77777777" w:rsidTr="009B79D4">
        <w:trPr>
          <w:trHeight w:val="410"/>
        </w:trPr>
        <w:tc>
          <w:tcPr>
            <w:tcW w:w="2332" w:type="dxa"/>
            <w:tcBorders>
              <w:top w:val="single" w:sz="4" w:space="0" w:color="auto"/>
              <w:left w:val="nil"/>
              <w:bottom w:val="nil"/>
              <w:right w:val="nil"/>
            </w:tcBorders>
            <w:vAlign w:val="center"/>
          </w:tcPr>
          <w:p w14:paraId="2B3764FE" w14:textId="77777777" w:rsidR="00EE5072" w:rsidRPr="001F64A9" w:rsidRDefault="00EE5072" w:rsidP="00AB3534">
            <w:pPr>
              <w:spacing w:line="360" w:lineRule="auto"/>
              <w:rPr>
                <w:rFonts w:asciiTheme="majorBidi" w:eastAsia="Times New Roman" w:hAnsiTheme="majorBidi" w:cstheme="majorBidi"/>
                <w:szCs w:val="24"/>
              </w:rPr>
            </w:pPr>
          </w:p>
        </w:tc>
        <w:tc>
          <w:tcPr>
            <w:tcW w:w="2346" w:type="dxa"/>
            <w:tcBorders>
              <w:top w:val="single" w:sz="4" w:space="0" w:color="auto"/>
              <w:left w:val="nil"/>
              <w:bottom w:val="nil"/>
              <w:right w:val="nil"/>
            </w:tcBorders>
            <w:vAlign w:val="center"/>
            <w:hideMark/>
          </w:tcPr>
          <w:p w14:paraId="072A2371"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Pre CPR Attitude</w:t>
            </w:r>
          </w:p>
        </w:tc>
        <w:tc>
          <w:tcPr>
            <w:tcW w:w="2337" w:type="dxa"/>
            <w:tcBorders>
              <w:top w:val="single" w:sz="4" w:space="0" w:color="auto"/>
              <w:left w:val="nil"/>
              <w:bottom w:val="nil"/>
              <w:right w:val="nil"/>
            </w:tcBorders>
            <w:vAlign w:val="center"/>
            <w:hideMark/>
          </w:tcPr>
          <w:p w14:paraId="769E5E3E"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21.58</w:t>
            </w:r>
          </w:p>
        </w:tc>
        <w:tc>
          <w:tcPr>
            <w:tcW w:w="2318" w:type="dxa"/>
            <w:tcBorders>
              <w:top w:val="single" w:sz="4" w:space="0" w:color="auto"/>
              <w:left w:val="nil"/>
              <w:bottom w:val="nil"/>
              <w:right w:val="nil"/>
            </w:tcBorders>
            <w:vAlign w:val="center"/>
            <w:hideMark/>
          </w:tcPr>
          <w:p w14:paraId="3492799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.21</w:t>
            </w:r>
          </w:p>
        </w:tc>
      </w:tr>
      <w:tr w:rsidR="00EE5072" w:rsidRPr="001F64A9" w14:paraId="164FFF9F" w14:textId="77777777" w:rsidTr="009B79D4">
        <w:trPr>
          <w:trHeight w:val="422"/>
        </w:trPr>
        <w:tc>
          <w:tcPr>
            <w:tcW w:w="2332" w:type="dxa"/>
            <w:tcBorders>
              <w:top w:val="nil"/>
              <w:left w:val="nil"/>
              <w:bottom w:val="single" w:sz="4" w:space="0" w:color="auto"/>
              <w:right w:val="nil"/>
            </w:tcBorders>
            <w:vAlign w:val="center"/>
          </w:tcPr>
          <w:p w14:paraId="4B460FE2" w14:textId="77777777" w:rsidR="00EE5072" w:rsidRPr="001F64A9" w:rsidRDefault="00EE5072" w:rsidP="00AB3534">
            <w:pPr>
              <w:spacing w:line="360" w:lineRule="auto"/>
              <w:rPr>
                <w:rFonts w:asciiTheme="majorBidi" w:eastAsia="Times New Roman" w:hAnsiTheme="majorBidi" w:cstheme="majorBidi"/>
                <w:szCs w:val="24"/>
              </w:rPr>
            </w:pPr>
          </w:p>
        </w:tc>
        <w:tc>
          <w:tcPr>
            <w:tcW w:w="2346" w:type="dxa"/>
            <w:tcBorders>
              <w:top w:val="nil"/>
              <w:left w:val="nil"/>
              <w:bottom w:val="single" w:sz="4" w:space="0" w:color="auto"/>
              <w:right w:val="nil"/>
            </w:tcBorders>
            <w:vAlign w:val="center"/>
            <w:hideMark/>
          </w:tcPr>
          <w:p w14:paraId="59DC210C"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Post CPR Attitude</w:t>
            </w:r>
          </w:p>
        </w:tc>
        <w:tc>
          <w:tcPr>
            <w:tcW w:w="2337" w:type="dxa"/>
            <w:tcBorders>
              <w:top w:val="nil"/>
              <w:left w:val="nil"/>
              <w:bottom w:val="single" w:sz="4" w:space="0" w:color="auto"/>
              <w:right w:val="nil"/>
            </w:tcBorders>
            <w:vAlign w:val="center"/>
            <w:hideMark/>
          </w:tcPr>
          <w:p w14:paraId="6CECC24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20.63</w:t>
            </w:r>
          </w:p>
        </w:tc>
        <w:tc>
          <w:tcPr>
            <w:tcW w:w="2318" w:type="dxa"/>
            <w:tcBorders>
              <w:top w:val="nil"/>
              <w:left w:val="nil"/>
              <w:bottom w:val="single" w:sz="4" w:space="0" w:color="auto"/>
              <w:right w:val="nil"/>
            </w:tcBorders>
            <w:vAlign w:val="center"/>
            <w:hideMark/>
          </w:tcPr>
          <w:p w14:paraId="51E6978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.21</w:t>
            </w:r>
          </w:p>
        </w:tc>
      </w:tr>
      <w:tr w:rsidR="00EE5072" w:rsidRPr="001F64A9" w14:paraId="0B05E396" w14:textId="77777777" w:rsidTr="009B79D4">
        <w:trPr>
          <w:trHeight w:val="410"/>
        </w:trPr>
        <w:tc>
          <w:tcPr>
            <w:tcW w:w="2332" w:type="dxa"/>
            <w:tcBorders>
              <w:top w:val="single" w:sz="4" w:space="0" w:color="auto"/>
              <w:left w:val="nil"/>
              <w:bottom w:val="single" w:sz="4" w:space="0" w:color="auto"/>
              <w:right w:val="nil"/>
            </w:tcBorders>
            <w:vAlign w:val="center"/>
          </w:tcPr>
          <w:p w14:paraId="160E279E" w14:textId="77777777" w:rsidR="00EE5072" w:rsidRPr="001F64A9" w:rsidRDefault="00EE5072" w:rsidP="00AB3534">
            <w:pPr>
              <w:spacing w:line="360" w:lineRule="auto"/>
              <w:rPr>
                <w:rFonts w:asciiTheme="majorBidi" w:eastAsia="Times New Roman" w:hAnsiTheme="majorBidi" w:cstheme="majorBidi"/>
                <w:szCs w:val="24"/>
              </w:rPr>
            </w:pPr>
          </w:p>
        </w:tc>
        <w:tc>
          <w:tcPr>
            <w:tcW w:w="2346" w:type="dxa"/>
            <w:tcBorders>
              <w:top w:val="single" w:sz="4" w:space="0" w:color="auto"/>
              <w:left w:val="nil"/>
              <w:bottom w:val="single" w:sz="4" w:space="0" w:color="auto"/>
              <w:right w:val="nil"/>
            </w:tcBorders>
            <w:vAlign w:val="center"/>
            <w:hideMark/>
          </w:tcPr>
          <w:p w14:paraId="38129C5C"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Groups</w:t>
            </w:r>
          </w:p>
        </w:tc>
        <w:tc>
          <w:tcPr>
            <w:tcW w:w="2337" w:type="dxa"/>
            <w:tcBorders>
              <w:top w:val="single" w:sz="4" w:space="0" w:color="auto"/>
              <w:left w:val="nil"/>
              <w:bottom w:val="single" w:sz="4" w:space="0" w:color="auto"/>
              <w:right w:val="nil"/>
            </w:tcBorders>
            <w:vAlign w:val="center"/>
            <w:hideMark/>
          </w:tcPr>
          <w:p w14:paraId="3D05459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i/>
                <w:iCs/>
                <w:szCs w:val="24"/>
              </w:rPr>
              <w:t>Marginal M</w:t>
            </w:r>
          </w:p>
        </w:tc>
        <w:tc>
          <w:tcPr>
            <w:tcW w:w="2318" w:type="dxa"/>
            <w:tcBorders>
              <w:top w:val="single" w:sz="4" w:space="0" w:color="auto"/>
              <w:left w:val="nil"/>
              <w:bottom w:val="single" w:sz="4" w:space="0" w:color="auto"/>
              <w:right w:val="nil"/>
            </w:tcBorders>
            <w:vAlign w:val="center"/>
            <w:hideMark/>
          </w:tcPr>
          <w:p w14:paraId="0E4BBFB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i/>
                <w:iCs/>
                <w:szCs w:val="24"/>
              </w:rPr>
              <w:t>SE</w:t>
            </w:r>
          </w:p>
        </w:tc>
      </w:tr>
      <w:tr w:rsidR="00EE5072" w:rsidRPr="001F64A9" w14:paraId="64FC0B9A" w14:textId="77777777" w:rsidTr="009B79D4">
        <w:trPr>
          <w:trHeight w:val="410"/>
        </w:trPr>
        <w:tc>
          <w:tcPr>
            <w:tcW w:w="2332" w:type="dxa"/>
            <w:tcBorders>
              <w:top w:val="single" w:sz="4" w:space="0" w:color="auto"/>
              <w:left w:val="nil"/>
              <w:bottom w:val="nil"/>
              <w:right w:val="nil"/>
            </w:tcBorders>
            <w:vAlign w:val="center"/>
          </w:tcPr>
          <w:p w14:paraId="7BF8B5C0" w14:textId="77777777" w:rsidR="00EE5072" w:rsidRPr="001F64A9" w:rsidRDefault="00EE5072" w:rsidP="00AB3534">
            <w:pPr>
              <w:spacing w:line="360" w:lineRule="auto"/>
              <w:rPr>
                <w:rFonts w:asciiTheme="majorBidi" w:eastAsia="Times New Roman" w:hAnsiTheme="majorBidi" w:cstheme="majorBidi"/>
                <w:szCs w:val="24"/>
              </w:rPr>
            </w:pPr>
          </w:p>
        </w:tc>
        <w:tc>
          <w:tcPr>
            <w:tcW w:w="2346" w:type="dxa"/>
            <w:tcBorders>
              <w:top w:val="single" w:sz="4" w:space="0" w:color="auto"/>
              <w:left w:val="nil"/>
              <w:bottom w:val="nil"/>
              <w:right w:val="nil"/>
            </w:tcBorders>
            <w:vAlign w:val="center"/>
            <w:hideMark/>
          </w:tcPr>
          <w:p w14:paraId="0F6172CD"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Frame</w:t>
            </w:r>
          </w:p>
        </w:tc>
        <w:tc>
          <w:tcPr>
            <w:tcW w:w="2337" w:type="dxa"/>
            <w:tcBorders>
              <w:top w:val="single" w:sz="4" w:space="0" w:color="auto"/>
              <w:left w:val="nil"/>
              <w:bottom w:val="nil"/>
              <w:right w:val="nil"/>
            </w:tcBorders>
            <w:vAlign w:val="center"/>
            <w:hideMark/>
          </w:tcPr>
          <w:p w14:paraId="287DD34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21.28</w:t>
            </w:r>
          </w:p>
        </w:tc>
        <w:tc>
          <w:tcPr>
            <w:tcW w:w="2318" w:type="dxa"/>
            <w:tcBorders>
              <w:top w:val="single" w:sz="4" w:space="0" w:color="auto"/>
              <w:left w:val="nil"/>
              <w:bottom w:val="nil"/>
              <w:right w:val="nil"/>
            </w:tcBorders>
            <w:vAlign w:val="center"/>
            <w:hideMark/>
          </w:tcPr>
          <w:p w14:paraId="7E1E219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.40</w:t>
            </w:r>
          </w:p>
        </w:tc>
      </w:tr>
      <w:tr w:rsidR="00EE5072" w:rsidRPr="001F64A9" w14:paraId="5E353D7A" w14:textId="77777777" w:rsidTr="009B79D4">
        <w:trPr>
          <w:trHeight w:val="422"/>
        </w:trPr>
        <w:tc>
          <w:tcPr>
            <w:tcW w:w="2332" w:type="dxa"/>
            <w:tcBorders>
              <w:top w:val="nil"/>
              <w:left w:val="nil"/>
              <w:bottom w:val="nil"/>
              <w:right w:val="nil"/>
            </w:tcBorders>
            <w:vAlign w:val="center"/>
          </w:tcPr>
          <w:p w14:paraId="3455FA1F" w14:textId="77777777" w:rsidR="00EE5072" w:rsidRPr="001F64A9" w:rsidRDefault="00EE5072" w:rsidP="00AB3534">
            <w:pPr>
              <w:spacing w:line="360" w:lineRule="auto"/>
              <w:rPr>
                <w:rFonts w:asciiTheme="majorBidi" w:eastAsia="Times New Roman" w:hAnsiTheme="majorBidi" w:cstheme="majorBidi"/>
                <w:szCs w:val="24"/>
              </w:rPr>
            </w:pPr>
          </w:p>
        </w:tc>
        <w:tc>
          <w:tcPr>
            <w:tcW w:w="2346" w:type="dxa"/>
            <w:tcBorders>
              <w:top w:val="nil"/>
              <w:left w:val="nil"/>
              <w:bottom w:val="nil"/>
              <w:right w:val="nil"/>
            </w:tcBorders>
            <w:vAlign w:val="center"/>
            <w:hideMark/>
          </w:tcPr>
          <w:p w14:paraId="616955AB"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Frame</w:t>
            </w:r>
          </w:p>
        </w:tc>
        <w:tc>
          <w:tcPr>
            <w:tcW w:w="2337" w:type="dxa"/>
            <w:tcBorders>
              <w:top w:val="nil"/>
              <w:left w:val="nil"/>
              <w:bottom w:val="nil"/>
              <w:right w:val="nil"/>
            </w:tcBorders>
            <w:vAlign w:val="center"/>
            <w:hideMark/>
          </w:tcPr>
          <w:p w14:paraId="21087C3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22.09</w:t>
            </w:r>
          </w:p>
        </w:tc>
        <w:tc>
          <w:tcPr>
            <w:tcW w:w="2318" w:type="dxa"/>
            <w:tcBorders>
              <w:top w:val="nil"/>
              <w:left w:val="nil"/>
              <w:bottom w:val="nil"/>
              <w:right w:val="nil"/>
            </w:tcBorders>
            <w:vAlign w:val="center"/>
            <w:hideMark/>
          </w:tcPr>
          <w:p w14:paraId="5D92A79E"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.40</w:t>
            </w:r>
          </w:p>
        </w:tc>
      </w:tr>
      <w:tr w:rsidR="00EE5072" w:rsidRPr="001F64A9" w14:paraId="33E17785" w14:textId="77777777" w:rsidTr="009B79D4">
        <w:trPr>
          <w:trHeight w:val="410"/>
        </w:trPr>
        <w:tc>
          <w:tcPr>
            <w:tcW w:w="2332" w:type="dxa"/>
            <w:tcBorders>
              <w:top w:val="nil"/>
              <w:left w:val="nil"/>
              <w:bottom w:val="nil"/>
              <w:right w:val="nil"/>
            </w:tcBorders>
            <w:vAlign w:val="center"/>
          </w:tcPr>
          <w:p w14:paraId="3B844C6F" w14:textId="77777777" w:rsidR="00EE5072" w:rsidRPr="001F64A9" w:rsidRDefault="00EE5072" w:rsidP="00AB3534">
            <w:pPr>
              <w:spacing w:line="360" w:lineRule="auto"/>
              <w:rPr>
                <w:rFonts w:asciiTheme="majorBidi" w:eastAsia="Times New Roman" w:hAnsiTheme="majorBidi" w:cstheme="majorBidi"/>
                <w:szCs w:val="24"/>
              </w:rPr>
            </w:pPr>
          </w:p>
        </w:tc>
        <w:tc>
          <w:tcPr>
            <w:tcW w:w="2346" w:type="dxa"/>
            <w:tcBorders>
              <w:top w:val="nil"/>
              <w:left w:val="nil"/>
              <w:bottom w:val="nil"/>
              <w:right w:val="nil"/>
            </w:tcBorders>
            <w:vAlign w:val="center"/>
            <w:hideMark/>
          </w:tcPr>
          <w:p w14:paraId="5D75135E"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Educational Video</w:t>
            </w:r>
          </w:p>
        </w:tc>
        <w:tc>
          <w:tcPr>
            <w:tcW w:w="2337" w:type="dxa"/>
            <w:tcBorders>
              <w:top w:val="nil"/>
              <w:left w:val="nil"/>
              <w:bottom w:val="nil"/>
              <w:right w:val="nil"/>
            </w:tcBorders>
            <w:vAlign w:val="center"/>
            <w:hideMark/>
          </w:tcPr>
          <w:p w14:paraId="6F74DD3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20.24</w:t>
            </w:r>
          </w:p>
        </w:tc>
        <w:tc>
          <w:tcPr>
            <w:tcW w:w="2318" w:type="dxa"/>
            <w:tcBorders>
              <w:top w:val="nil"/>
              <w:left w:val="nil"/>
              <w:bottom w:val="nil"/>
              <w:right w:val="nil"/>
            </w:tcBorders>
            <w:vAlign w:val="center"/>
            <w:hideMark/>
          </w:tcPr>
          <w:p w14:paraId="71570ED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.40</w:t>
            </w:r>
          </w:p>
        </w:tc>
      </w:tr>
      <w:tr w:rsidR="00EE5072" w:rsidRPr="001F64A9" w14:paraId="357A0E0E" w14:textId="77777777" w:rsidTr="009B79D4">
        <w:trPr>
          <w:trHeight w:val="422"/>
        </w:trPr>
        <w:tc>
          <w:tcPr>
            <w:tcW w:w="2332" w:type="dxa"/>
            <w:tcBorders>
              <w:top w:val="nil"/>
              <w:left w:val="nil"/>
              <w:bottom w:val="single" w:sz="4" w:space="0" w:color="auto"/>
              <w:right w:val="nil"/>
            </w:tcBorders>
            <w:vAlign w:val="center"/>
          </w:tcPr>
          <w:p w14:paraId="6BB2F750" w14:textId="77777777" w:rsidR="00EE5072" w:rsidRPr="001F64A9" w:rsidRDefault="00EE5072" w:rsidP="00AB3534">
            <w:pPr>
              <w:spacing w:line="360" w:lineRule="auto"/>
              <w:rPr>
                <w:rFonts w:asciiTheme="majorBidi" w:eastAsia="Times New Roman" w:hAnsiTheme="majorBidi" w:cstheme="majorBidi"/>
                <w:szCs w:val="24"/>
              </w:rPr>
            </w:pPr>
          </w:p>
        </w:tc>
        <w:tc>
          <w:tcPr>
            <w:tcW w:w="2346" w:type="dxa"/>
            <w:tcBorders>
              <w:top w:val="nil"/>
              <w:left w:val="nil"/>
              <w:bottom w:val="single" w:sz="4" w:space="0" w:color="auto"/>
              <w:right w:val="nil"/>
            </w:tcBorders>
            <w:vAlign w:val="center"/>
            <w:hideMark/>
          </w:tcPr>
          <w:p w14:paraId="4BC6BBA3"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Video</w:t>
            </w:r>
          </w:p>
        </w:tc>
        <w:tc>
          <w:tcPr>
            <w:tcW w:w="2337" w:type="dxa"/>
            <w:tcBorders>
              <w:top w:val="nil"/>
              <w:left w:val="nil"/>
              <w:bottom w:val="single" w:sz="4" w:space="0" w:color="auto"/>
              <w:right w:val="nil"/>
            </w:tcBorders>
            <w:vAlign w:val="center"/>
            <w:hideMark/>
          </w:tcPr>
          <w:p w14:paraId="2219348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20.81</w:t>
            </w:r>
          </w:p>
        </w:tc>
        <w:tc>
          <w:tcPr>
            <w:tcW w:w="2318" w:type="dxa"/>
            <w:tcBorders>
              <w:top w:val="nil"/>
              <w:left w:val="nil"/>
              <w:bottom w:val="single" w:sz="4" w:space="0" w:color="auto"/>
              <w:right w:val="nil"/>
            </w:tcBorders>
            <w:vAlign w:val="center"/>
            <w:hideMark/>
          </w:tcPr>
          <w:p w14:paraId="3C020B5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.40</w:t>
            </w:r>
          </w:p>
        </w:tc>
      </w:tr>
      <w:tr w:rsidR="00EE5072" w:rsidRPr="001F64A9" w14:paraId="55766C17" w14:textId="77777777" w:rsidTr="009B79D4">
        <w:trPr>
          <w:trHeight w:val="832"/>
        </w:trPr>
        <w:tc>
          <w:tcPr>
            <w:tcW w:w="2332" w:type="dxa"/>
            <w:tcBorders>
              <w:top w:val="single" w:sz="4" w:space="0" w:color="auto"/>
              <w:left w:val="nil"/>
              <w:bottom w:val="single" w:sz="4" w:space="0" w:color="auto"/>
              <w:right w:val="nil"/>
            </w:tcBorders>
            <w:vAlign w:val="center"/>
            <w:hideMark/>
          </w:tcPr>
          <w:p w14:paraId="2679F5D2"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Pre-Post CPR Attitude</w:t>
            </w:r>
          </w:p>
        </w:tc>
        <w:tc>
          <w:tcPr>
            <w:tcW w:w="2346" w:type="dxa"/>
            <w:tcBorders>
              <w:top w:val="single" w:sz="4" w:space="0" w:color="auto"/>
              <w:left w:val="nil"/>
              <w:bottom w:val="single" w:sz="4" w:space="0" w:color="auto"/>
              <w:right w:val="nil"/>
            </w:tcBorders>
            <w:vAlign w:val="center"/>
            <w:hideMark/>
          </w:tcPr>
          <w:p w14:paraId="2FD83EC0"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Groups</w:t>
            </w:r>
          </w:p>
        </w:tc>
        <w:tc>
          <w:tcPr>
            <w:tcW w:w="2337" w:type="dxa"/>
            <w:tcBorders>
              <w:top w:val="single" w:sz="4" w:space="0" w:color="auto"/>
              <w:left w:val="nil"/>
              <w:bottom w:val="single" w:sz="4" w:space="0" w:color="auto"/>
              <w:right w:val="nil"/>
            </w:tcBorders>
            <w:vAlign w:val="center"/>
            <w:hideMark/>
          </w:tcPr>
          <w:p w14:paraId="15EC0DD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i/>
                <w:iCs/>
                <w:szCs w:val="24"/>
              </w:rPr>
              <w:t>M</w:t>
            </w:r>
          </w:p>
        </w:tc>
        <w:tc>
          <w:tcPr>
            <w:tcW w:w="2318" w:type="dxa"/>
            <w:tcBorders>
              <w:top w:val="single" w:sz="4" w:space="0" w:color="auto"/>
              <w:left w:val="nil"/>
              <w:bottom w:val="single" w:sz="4" w:space="0" w:color="auto"/>
              <w:right w:val="nil"/>
            </w:tcBorders>
            <w:vAlign w:val="center"/>
            <w:hideMark/>
          </w:tcPr>
          <w:p w14:paraId="1BDBAC8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i/>
                <w:iCs/>
                <w:szCs w:val="24"/>
              </w:rPr>
              <w:t>SD</w:t>
            </w:r>
          </w:p>
        </w:tc>
      </w:tr>
      <w:tr w:rsidR="00EE5072" w:rsidRPr="001F64A9" w14:paraId="0E029B0B" w14:textId="77777777" w:rsidTr="009B79D4">
        <w:trPr>
          <w:trHeight w:val="410"/>
        </w:trPr>
        <w:tc>
          <w:tcPr>
            <w:tcW w:w="2332" w:type="dxa"/>
            <w:tcBorders>
              <w:top w:val="single" w:sz="4" w:space="0" w:color="auto"/>
              <w:left w:val="nil"/>
              <w:bottom w:val="nil"/>
              <w:right w:val="nil"/>
            </w:tcBorders>
            <w:vAlign w:val="center"/>
            <w:hideMark/>
          </w:tcPr>
          <w:p w14:paraId="3B1D9F46"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Pre CPR Attitude</w:t>
            </w:r>
          </w:p>
        </w:tc>
        <w:tc>
          <w:tcPr>
            <w:tcW w:w="2346" w:type="dxa"/>
            <w:tcBorders>
              <w:top w:val="single" w:sz="4" w:space="0" w:color="auto"/>
              <w:left w:val="nil"/>
              <w:bottom w:val="nil"/>
              <w:right w:val="nil"/>
            </w:tcBorders>
            <w:vAlign w:val="center"/>
            <w:hideMark/>
          </w:tcPr>
          <w:p w14:paraId="7A741000"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Frame</w:t>
            </w:r>
          </w:p>
        </w:tc>
        <w:tc>
          <w:tcPr>
            <w:tcW w:w="2337" w:type="dxa"/>
            <w:tcBorders>
              <w:top w:val="single" w:sz="4" w:space="0" w:color="auto"/>
              <w:left w:val="nil"/>
              <w:bottom w:val="nil"/>
              <w:right w:val="nil"/>
            </w:tcBorders>
            <w:vAlign w:val="center"/>
            <w:hideMark/>
          </w:tcPr>
          <w:p w14:paraId="5196CC7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21.48</w:t>
            </w:r>
          </w:p>
        </w:tc>
        <w:tc>
          <w:tcPr>
            <w:tcW w:w="2318" w:type="dxa"/>
            <w:tcBorders>
              <w:top w:val="single" w:sz="4" w:space="0" w:color="auto"/>
              <w:left w:val="nil"/>
              <w:bottom w:val="nil"/>
              <w:right w:val="nil"/>
            </w:tcBorders>
            <w:vAlign w:val="center"/>
            <w:hideMark/>
          </w:tcPr>
          <w:p w14:paraId="212E731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3.66</w:t>
            </w:r>
          </w:p>
        </w:tc>
      </w:tr>
      <w:tr w:rsidR="00EE5072" w:rsidRPr="001F64A9" w14:paraId="559447AB" w14:textId="77777777" w:rsidTr="009B79D4">
        <w:trPr>
          <w:trHeight w:val="410"/>
        </w:trPr>
        <w:tc>
          <w:tcPr>
            <w:tcW w:w="2332" w:type="dxa"/>
            <w:tcBorders>
              <w:top w:val="nil"/>
              <w:left w:val="nil"/>
              <w:bottom w:val="nil"/>
              <w:right w:val="nil"/>
            </w:tcBorders>
            <w:vAlign w:val="center"/>
          </w:tcPr>
          <w:p w14:paraId="1502AC5F" w14:textId="77777777" w:rsidR="00EE5072" w:rsidRPr="001F64A9" w:rsidRDefault="00EE5072" w:rsidP="00AB3534">
            <w:pPr>
              <w:spacing w:line="360" w:lineRule="auto"/>
              <w:rPr>
                <w:rFonts w:asciiTheme="majorBidi" w:eastAsia="Times New Roman" w:hAnsiTheme="majorBidi" w:cstheme="majorBidi"/>
                <w:szCs w:val="24"/>
              </w:rPr>
            </w:pPr>
          </w:p>
        </w:tc>
        <w:tc>
          <w:tcPr>
            <w:tcW w:w="2346" w:type="dxa"/>
            <w:tcBorders>
              <w:top w:val="nil"/>
              <w:left w:val="nil"/>
              <w:bottom w:val="nil"/>
              <w:right w:val="nil"/>
            </w:tcBorders>
            <w:vAlign w:val="center"/>
            <w:hideMark/>
          </w:tcPr>
          <w:p w14:paraId="229B74E8"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Frame</w:t>
            </w:r>
          </w:p>
        </w:tc>
        <w:tc>
          <w:tcPr>
            <w:tcW w:w="2337" w:type="dxa"/>
            <w:tcBorders>
              <w:top w:val="nil"/>
              <w:left w:val="nil"/>
              <w:bottom w:val="nil"/>
              <w:right w:val="nil"/>
            </w:tcBorders>
            <w:vAlign w:val="center"/>
            <w:hideMark/>
          </w:tcPr>
          <w:p w14:paraId="40E0AB3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22.21</w:t>
            </w:r>
          </w:p>
        </w:tc>
        <w:tc>
          <w:tcPr>
            <w:tcW w:w="2318" w:type="dxa"/>
            <w:tcBorders>
              <w:top w:val="nil"/>
              <w:left w:val="nil"/>
              <w:bottom w:val="nil"/>
              <w:right w:val="nil"/>
            </w:tcBorders>
            <w:vAlign w:val="center"/>
            <w:hideMark/>
          </w:tcPr>
          <w:p w14:paraId="0614588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3.71</w:t>
            </w:r>
          </w:p>
        </w:tc>
      </w:tr>
      <w:tr w:rsidR="00EE5072" w:rsidRPr="001F64A9" w14:paraId="560AF87A" w14:textId="77777777" w:rsidTr="009B79D4">
        <w:trPr>
          <w:trHeight w:val="422"/>
        </w:trPr>
        <w:tc>
          <w:tcPr>
            <w:tcW w:w="2332" w:type="dxa"/>
            <w:tcBorders>
              <w:top w:val="nil"/>
              <w:left w:val="nil"/>
              <w:bottom w:val="nil"/>
              <w:right w:val="nil"/>
            </w:tcBorders>
            <w:vAlign w:val="center"/>
          </w:tcPr>
          <w:p w14:paraId="348E6029" w14:textId="77777777" w:rsidR="00EE5072" w:rsidRPr="001F64A9" w:rsidRDefault="00EE5072" w:rsidP="00AB3534">
            <w:pPr>
              <w:spacing w:line="360" w:lineRule="auto"/>
              <w:rPr>
                <w:rFonts w:asciiTheme="majorBidi" w:eastAsia="Times New Roman" w:hAnsiTheme="majorBidi" w:cstheme="majorBidi"/>
                <w:szCs w:val="24"/>
              </w:rPr>
            </w:pPr>
          </w:p>
        </w:tc>
        <w:tc>
          <w:tcPr>
            <w:tcW w:w="2346" w:type="dxa"/>
            <w:tcBorders>
              <w:top w:val="nil"/>
              <w:left w:val="nil"/>
              <w:bottom w:val="nil"/>
              <w:right w:val="nil"/>
            </w:tcBorders>
            <w:vAlign w:val="center"/>
            <w:hideMark/>
          </w:tcPr>
          <w:p w14:paraId="550BD418"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Educational Video</w:t>
            </w:r>
          </w:p>
        </w:tc>
        <w:tc>
          <w:tcPr>
            <w:tcW w:w="2337" w:type="dxa"/>
            <w:tcBorders>
              <w:top w:val="nil"/>
              <w:left w:val="nil"/>
              <w:bottom w:val="nil"/>
              <w:right w:val="nil"/>
            </w:tcBorders>
            <w:vAlign w:val="center"/>
            <w:hideMark/>
          </w:tcPr>
          <w:p w14:paraId="41D4765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21.04</w:t>
            </w:r>
          </w:p>
        </w:tc>
        <w:tc>
          <w:tcPr>
            <w:tcW w:w="2318" w:type="dxa"/>
            <w:tcBorders>
              <w:top w:val="nil"/>
              <w:left w:val="nil"/>
              <w:bottom w:val="nil"/>
              <w:right w:val="nil"/>
            </w:tcBorders>
            <w:vAlign w:val="center"/>
            <w:hideMark/>
          </w:tcPr>
          <w:p w14:paraId="0ECC7E0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3.84</w:t>
            </w:r>
          </w:p>
        </w:tc>
      </w:tr>
      <w:tr w:rsidR="00EE5072" w:rsidRPr="001F64A9" w14:paraId="1E45015F" w14:textId="77777777" w:rsidTr="009B79D4">
        <w:trPr>
          <w:trHeight w:val="410"/>
        </w:trPr>
        <w:tc>
          <w:tcPr>
            <w:tcW w:w="2332" w:type="dxa"/>
            <w:tcBorders>
              <w:top w:val="nil"/>
              <w:left w:val="nil"/>
              <w:bottom w:val="nil"/>
              <w:right w:val="nil"/>
            </w:tcBorders>
            <w:vAlign w:val="center"/>
          </w:tcPr>
          <w:p w14:paraId="7DEB53C8" w14:textId="77777777" w:rsidR="00EE5072" w:rsidRPr="001F64A9" w:rsidRDefault="00EE5072" w:rsidP="00AB3534">
            <w:pPr>
              <w:spacing w:line="360" w:lineRule="auto"/>
              <w:rPr>
                <w:rFonts w:asciiTheme="majorBidi" w:eastAsia="Times New Roman" w:hAnsiTheme="majorBidi" w:cstheme="majorBidi"/>
                <w:szCs w:val="24"/>
              </w:rPr>
            </w:pPr>
          </w:p>
        </w:tc>
        <w:tc>
          <w:tcPr>
            <w:tcW w:w="2346" w:type="dxa"/>
            <w:tcBorders>
              <w:top w:val="nil"/>
              <w:left w:val="nil"/>
              <w:bottom w:val="nil"/>
              <w:right w:val="nil"/>
            </w:tcBorders>
            <w:vAlign w:val="center"/>
            <w:hideMark/>
          </w:tcPr>
          <w:p w14:paraId="47FA1C56"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Video</w:t>
            </w:r>
          </w:p>
        </w:tc>
        <w:tc>
          <w:tcPr>
            <w:tcW w:w="2337" w:type="dxa"/>
            <w:tcBorders>
              <w:top w:val="nil"/>
              <w:left w:val="nil"/>
              <w:bottom w:val="nil"/>
              <w:right w:val="nil"/>
            </w:tcBorders>
            <w:vAlign w:val="center"/>
            <w:hideMark/>
          </w:tcPr>
          <w:p w14:paraId="611DF2A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21.55</w:t>
            </w:r>
          </w:p>
        </w:tc>
        <w:tc>
          <w:tcPr>
            <w:tcW w:w="2318" w:type="dxa"/>
            <w:tcBorders>
              <w:top w:val="nil"/>
              <w:left w:val="nil"/>
              <w:bottom w:val="nil"/>
              <w:right w:val="nil"/>
            </w:tcBorders>
            <w:vAlign w:val="center"/>
            <w:hideMark/>
          </w:tcPr>
          <w:p w14:paraId="54F38BB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4.25</w:t>
            </w:r>
          </w:p>
        </w:tc>
      </w:tr>
      <w:tr w:rsidR="00EE5072" w:rsidRPr="001F64A9" w14:paraId="7BA83D48" w14:textId="77777777" w:rsidTr="009B79D4">
        <w:trPr>
          <w:trHeight w:val="422"/>
        </w:trPr>
        <w:tc>
          <w:tcPr>
            <w:tcW w:w="2332" w:type="dxa"/>
            <w:tcBorders>
              <w:top w:val="nil"/>
              <w:left w:val="nil"/>
              <w:bottom w:val="nil"/>
              <w:right w:val="nil"/>
            </w:tcBorders>
            <w:vAlign w:val="center"/>
            <w:hideMark/>
          </w:tcPr>
          <w:p w14:paraId="58524AF7"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Post CPR Attitude</w:t>
            </w:r>
          </w:p>
        </w:tc>
        <w:tc>
          <w:tcPr>
            <w:tcW w:w="2346" w:type="dxa"/>
            <w:tcBorders>
              <w:top w:val="nil"/>
              <w:left w:val="nil"/>
              <w:bottom w:val="nil"/>
              <w:right w:val="nil"/>
            </w:tcBorders>
            <w:vAlign w:val="center"/>
            <w:hideMark/>
          </w:tcPr>
          <w:p w14:paraId="6812BB12"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Frame</w:t>
            </w:r>
          </w:p>
        </w:tc>
        <w:tc>
          <w:tcPr>
            <w:tcW w:w="2337" w:type="dxa"/>
            <w:tcBorders>
              <w:top w:val="nil"/>
              <w:left w:val="nil"/>
              <w:bottom w:val="nil"/>
              <w:right w:val="nil"/>
            </w:tcBorders>
            <w:vAlign w:val="center"/>
            <w:hideMark/>
          </w:tcPr>
          <w:p w14:paraId="319F9D7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18.98</w:t>
            </w:r>
          </w:p>
        </w:tc>
        <w:tc>
          <w:tcPr>
            <w:tcW w:w="2318" w:type="dxa"/>
            <w:tcBorders>
              <w:top w:val="nil"/>
              <w:left w:val="nil"/>
              <w:bottom w:val="nil"/>
              <w:right w:val="nil"/>
            </w:tcBorders>
            <w:vAlign w:val="center"/>
            <w:hideMark/>
          </w:tcPr>
          <w:p w14:paraId="5368EF1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5.29</w:t>
            </w:r>
          </w:p>
        </w:tc>
      </w:tr>
      <w:tr w:rsidR="00EE5072" w:rsidRPr="001F64A9" w14:paraId="4AE8CABF" w14:textId="77777777" w:rsidTr="009B79D4">
        <w:trPr>
          <w:trHeight w:val="410"/>
        </w:trPr>
        <w:tc>
          <w:tcPr>
            <w:tcW w:w="2332" w:type="dxa"/>
            <w:tcBorders>
              <w:top w:val="nil"/>
              <w:left w:val="nil"/>
              <w:bottom w:val="nil"/>
              <w:right w:val="nil"/>
            </w:tcBorders>
            <w:vAlign w:val="center"/>
          </w:tcPr>
          <w:p w14:paraId="0043F8C2" w14:textId="77777777" w:rsidR="00EE5072" w:rsidRPr="001F64A9" w:rsidRDefault="00EE5072" w:rsidP="00AB3534">
            <w:pPr>
              <w:spacing w:line="360" w:lineRule="auto"/>
              <w:rPr>
                <w:rFonts w:asciiTheme="majorBidi" w:eastAsia="Times New Roman" w:hAnsiTheme="majorBidi" w:cstheme="majorBidi"/>
                <w:szCs w:val="24"/>
              </w:rPr>
            </w:pPr>
          </w:p>
        </w:tc>
        <w:tc>
          <w:tcPr>
            <w:tcW w:w="2346" w:type="dxa"/>
            <w:tcBorders>
              <w:top w:val="nil"/>
              <w:left w:val="nil"/>
              <w:bottom w:val="nil"/>
              <w:right w:val="nil"/>
            </w:tcBorders>
            <w:vAlign w:val="center"/>
            <w:hideMark/>
          </w:tcPr>
          <w:p w14:paraId="4AAAD8DB"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Frame</w:t>
            </w:r>
          </w:p>
        </w:tc>
        <w:tc>
          <w:tcPr>
            <w:tcW w:w="2337" w:type="dxa"/>
            <w:tcBorders>
              <w:top w:val="nil"/>
              <w:left w:val="nil"/>
              <w:bottom w:val="nil"/>
              <w:right w:val="nil"/>
            </w:tcBorders>
            <w:vAlign w:val="center"/>
            <w:hideMark/>
          </w:tcPr>
          <w:p w14:paraId="174E341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21.94</w:t>
            </w:r>
          </w:p>
        </w:tc>
        <w:tc>
          <w:tcPr>
            <w:tcW w:w="2318" w:type="dxa"/>
            <w:tcBorders>
              <w:top w:val="nil"/>
              <w:left w:val="nil"/>
              <w:bottom w:val="nil"/>
              <w:right w:val="nil"/>
            </w:tcBorders>
            <w:vAlign w:val="center"/>
            <w:hideMark/>
          </w:tcPr>
          <w:p w14:paraId="2E31E34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3.70</w:t>
            </w:r>
          </w:p>
        </w:tc>
      </w:tr>
      <w:tr w:rsidR="00EE5072" w:rsidRPr="001F64A9" w14:paraId="1B7D4E49" w14:textId="77777777" w:rsidTr="009B79D4">
        <w:trPr>
          <w:trHeight w:val="422"/>
        </w:trPr>
        <w:tc>
          <w:tcPr>
            <w:tcW w:w="2332" w:type="dxa"/>
            <w:tcBorders>
              <w:top w:val="nil"/>
              <w:left w:val="nil"/>
              <w:bottom w:val="nil"/>
              <w:right w:val="nil"/>
            </w:tcBorders>
            <w:vAlign w:val="center"/>
          </w:tcPr>
          <w:p w14:paraId="5FB6E4D1" w14:textId="77777777" w:rsidR="00EE5072" w:rsidRPr="001F64A9" w:rsidRDefault="00EE5072" w:rsidP="00AB3534">
            <w:pPr>
              <w:spacing w:line="360" w:lineRule="auto"/>
              <w:rPr>
                <w:rFonts w:asciiTheme="majorBidi" w:eastAsia="Times New Roman" w:hAnsiTheme="majorBidi" w:cstheme="majorBidi"/>
                <w:szCs w:val="24"/>
              </w:rPr>
            </w:pPr>
          </w:p>
        </w:tc>
        <w:tc>
          <w:tcPr>
            <w:tcW w:w="2346" w:type="dxa"/>
            <w:tcBorders>
              <w:top w:val="nil"/>
              <w:left w:val="nil"/>
              <w:bottom w:val="nil"/>
              <w:right w:val="nil"/>
            </w:tcBorders>
            <w:vAlign w:val="center"/>
            <w:hideMark/>
          </w:tcPr>
          <w:p w14:paraId="06750131"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Educational Video</w:t>
            </w:r>
          </w:p>
        </w:tc>
        <w:tc>
          <w:tcPr>
            <w:tcW w:w="2337" w:type="dxa"/>
            <w:tcBorders>
              <w:top w:val="nil"/>
              <w:left w:val="nil"/>
              <w:bottom w:val="nil"/>
              <w:right w:val="nil"/>
            </w:tcBorders>
            <w:vAlign w:val="center"/>
            <w:hideMark/>
          </w:tcPr>
          <w:p w14:paraId="51BB716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20.58</w:t>
            </w:r>
          </w:p>
        </w:tc>
        <w:tc>
          <w:tcPr>
            <w:tcW w:w="2318" w:type="dxa"/>
            <w:tcBorders>
              <w:top w:val="nil"/>
              <w:left w:val="nil"/>
              <w:bottom w:val="nil"/>
              <w:right w:val="nil"/>
            </w:tcBorders>
            <w:vAlign w:val="center"/>
            <w:hideMark/>
          </w:tcPr>
          <w:p w14:paraId="1EFAEDB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4.00</w:t>
            </w:r>
          </w:p>
        </w:tc>
      </w:tr>
      <w:tr w:rsidR="00EE5072" w:rsidRPr="001F64A9" w14:paraId="2B760CDA" w14:textId="77777777" w:rsidTr="009B79D4">
        <w:trPr>
          <w:trHeight w:val="410"/>
        </w:trPr>
        <w:tc>
          <w:tcPr>
            <w:tcW w:w="2332" w:type="dxa"/>
            <w:tcBorders>
              <w:top w:val="nil"/>
              <w:left w:val="nil"/>
              <w:bottom w:val="single" w:sz="4" w:space="0" w:color="auto"/>
              <w:right w:val="nil"/>
            </w:tcBorders>
            <w:vAlign w:val="center"/>
          </w:tcPr>
          <w:p w14:paraId="3130F5BA" w14:textId="77777777" w:rsidR="00EE5072" w:rsidRPr="001F64A9" w:rsidRDefault="00EE5072" w:rsidP="00AB3534">
            <w:pPr>
              <w:spacing w:line="360" w:lineRule="auto"/>
              <w:rPr>
                <w:rFonts w:asciiTheme="majorBidi" w:eastAsia="Times New Roman" w:hAnsiTheme="majorBidi" w:cstheme="majorBidi"/>
                <w:szCs w:val="24"/>
              </w:rPr>
            </w:pPr>
          </w:p>
        </w:tc>
        <w:tc>
          <w:tcPr>
            <w:tcW w:w="2346" w:type="dxa"/>
            <w:tcBorders>
              <w:top w:val="nil"/>
              <w:left w:val="nil"/>
              <w:bottom w:val="single" w:sz="4" w:space="0" w:color="auto"/>
              <w:right w:val="nil"/>
            </w:tcBorders>
            <w:vAlign w:val="center"/>
            <w:hideMark/>
          </w:tcPr>
          <w:p w14:paraId="3E4FA4AE"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Video</w:t>
            </w:r>
          </w:p>
        </w:tc>
        <w:tc>
          <w:tcPr>
            <w:tcW w:w="2337" w:type="dxa"/>
            <w:tcBorders>
              <w:top w:val="nil"/>
              <w:left w:val="nil"/>
              <w:bottom w:val="single" w:sz="4" w:space="0" w:color="auto"/>
              <w:right w:val="nil"/>
            </w:tcBorders>
            <w:vAlign w:val="center"/>
            <w:hideMark/>
          </w:tcPr>
          <w:p w14:paraId="106D855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20.98</w:t>
            </w:r>
          </w:p>
        </w:tc>
        <w:tc>
          <w:tcPr>
            <w:tcW w:w="2318" w:type="dxa"/>
            <w:tcBorders>
              <w:top w:val="nil"/>
              <w:left w:val="nil"/>
              <w:bottom w:val="single" w:sz="4" w:space="0" w:color="auto"/>
              <w:right w:val="nil"/>
            </w:tcBorders>
            <w:vAlign w:val="center"/>
            <w:hideMark/>
          </w:tcPr>
          <w:p w14:paraId="54A07A0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4.24</w:t>
            </w:r>
          </w:p>
        </w:tc>
      </w:tr>
    </w:tbl>
    <w:p w14:paraId="6AD7C469" w14:textId="77777777" w:rsidR="00EE5072" w:rsidRPr="001F64A9" w:rsidRDefault="00EE5072" w:rsidP="00EE5072">
      <w:pPr>
        <w:spacing w:line="480" w:lineRule="auto"/>
        <w:jc w:val="both"/>
        <w:rPr>
          <w:rFonts w:asciiTheme="majorBidi" w:eastAsia="Times New Roman" w:hAnsiTheme="majorBidi" w:cstheme="majorBidi"/>
          <w:sz w:val="24"/>
          <w:szCs w:val="24"/>
        </w:rPr>
      </w:pPr>
    </w:p>
    <w:p w14:paraId="7FA8E8ED" w14:textId="6F96BD06" w:rsidR="00EE5072" w:rsidRPr="001F64A9" w:rsidRDefault="00EE5072">
      <w:pPr>
        <w:spacing w:line="259" w:lineRule="auto"/>
        <w:rPr>
          <w:rFonts w:asciiTheme="majorBidi" w:hAnsiTheme="majorBidi" w:cstheme="majorBidi"/>
        </w:rPr>
      </w:pPr>
      <w:r w:rsidRPr="001F64A9">
        <w:rPr>
          <w:rFonts w:asciiTheme="majorBidi" w:hAnsiTheme="majorBidi" w:cstheme="majorBidi"/>
        </w:rPr>
        <w:br w:type="page"/>
      </w:r>
    </w:p>
    <w:p w14:paraId="62704247" w14:textId="77777777" w:rsidR="00EE5072" w:rsidRPr="001F64A9" w:rsidRDefault="00EE5072" w:rsidP="00EE5072">
      <w:pPr>
        <w:spacing w:line="480" w:lineRule="auto"/>
        <w:jc w:val="both"/>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Table 18</w:t>
      </w:r>
    </w:p>
    <w:p w14:paraId="07AB8FEA" w14:textId="77777777" w:rsidR="00EE5072" w:rsidRPr="001F64A9" w:rsidRDefault="00EE5072" w:rsidP="00EE5072">
      <w:pPr>
        <w:spacing w:line="480" w:lineRule="auto"/>
        <w:jc w:val="both"/>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Turkey Post-Hoc Comparison for Pre-Post CPR Attitude in Experiment 2</w:t>
      </w:r>
    </w:p>
    <w:tbl>
      <w:tblPr>
        <w:tblStyle w:val="TableGrid"/>
        <w:tblW w:w="4997" w:type="pct"/>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3013"/>
        <w:gridCol w:w="3135"/>
        <w:gridCol w:w="876"/>
        <w:gridCol w:w="670"/>
        <w:gridCol w:w="833"/>
        <w:gridCol w:w="827"/>
      </w:tblGrid>
      <w:tr w:rsidR="00EE5072" w:rsidRPr="001F64A9" w14:paraId="4232891C" w14:textId="77777777" w:rsidTr="009B79D4">
        <w:trPr>
          <w:trHeight w:val="610"/>
        </w:trPr>
        <w:tc>
          <w:tcPr>
            <w:tcW w:w="3287" w:type="pct"/>
            <w:gridSpan w:val="2"/>
            <w:tcBorders>
              <w:top w:val="single" w:sz="4" w:space="0" w:color="auto"/>
              <w:left w:val="nil"/>
              <w:bottom w:val="single" w:sz="4" w:space="0" w:color="auto"/>
              <w:right w:val="nil"/>
            </w:tcBorders>
            <w:vAlign w:val="center"/>
            <w:hideMark/>
          </w:tcPr>
          <w:p w14:paraId="5BBCA99F" w14:textId="77777777" w:rsidR="00EE5072" w:rsidRPr="001F64A9" w:rsidRDefault="00EE5072" w:rsidP="00AB3534">
            <w:pPr>
              <w:spacing w:line="48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Pre-Post CPR Attitude</w:t>
            </w:r>
          </w:p>
        </w:tc>
        <w:tc>
          <w:tcPr>
            <w:tcW w:w="468" w:type="pct"/>
            <w:tcBorders>
              <w:top w:val="single" w:sz="4" w:space="0" w:color="auto"/>
              <w:left w:val="nil"/>
              <w:bottom w:val="single" w:sz="4" w:space="0" w:color="auto"/>
              <w:right w:val="nil"/>
            </w:tcBorders>
            <w:hideMark/>
          </w:tcPr>
          <w:p w14:paraId="6FC419A4" w14:textId="77777777" w:rsidR="00EE5072" w:rsidRPr="001F64A9" w:rsidRDefault="00EE5072" w:rsidP="00AB3534">
            <w:pPr>
              <w:spacing w:line="48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MD</w:t>
            </w:r>
          </w:p>
        </w:tc>
        <w:tc>
          <w:tcPr>
            <w:tcW w:w="358" w:type="pct"/>
            <w:tcBorders>
              <w:top w:val="single" w:sz="4" w:space="0" w:color="auto"/>
              <w:left w:val="nil"/>
              <w:bottom w:val="single" w:sz="4" w:space="0" w:color="auto"/>
              <w:right w:val="nil"/>
            </w:tcBorders>
            <w:hideMark/>
          </w:tcPr>
          <w:p w14:paraId="5118A376" w14:textId="77777777" w:rsidR="00EE5072" w:rsidRPr="001F64A9" w:rsidRDefault="00EE5072" w:rsidP="00AB3534">
            <w:pPr>
              <w:spacing w:line="48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SE</w:t>
            </w:r>
          </w:p>
        </w:tc>
        <w:tc>
          <w:tcPr>
            <w:tcW w:w="445" w:type="pct"/>
            <w:tcBorders>
              <w:top w:val="single" w:sz="4" w:space="0" w:color="auto"/>
              <w:left w:val="nil"/>
              <w:bottom w:val="single" w:sz="4" w:space="0" w:color="auto"/>
              <w:right w:val="nil"/>
            </w:tcBorders>
            <w:hideMark/>
          </w:tcPr>
          <w:p w14:paraId="3943BB83" w14:textId="77777777" w:rsidR="00EE5072" w:rsidRPr="001F64A9" w:rsidRDefault="00EE5072" w:rsidP="00AB3534">
            <w:pPr>
              <w:spacing w:line="48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t</w:t>
            </w:r>
          </w:p>
        </w:tc>
        <w:tc>
          <w:tcPr>
            <w:tcW w:w="443" w:type="pct"/>
            <w:tcBorders>
              <w:top w:val="single" w:sz="4" w:space="0" w:color="auto"/>
              <w:left w:val="nil"/>
              <w:bottom w:val="single" w:sz="4" w:space="0" w:color="auto"/>
              <w:right w:val="nil"/>
            </w:tcBorders>
            <w:hideMark/>
          </w:tcPr>
          <w:p w14:paraId="767D5BAA" w14:textId="77777777" w:rsidR="00EE5072" w:rsidRPr="001F64A9" w:rsidRDefault="00EE5072" w:rsidP="00AB3534">
            <w:pPr>
              <w:spacing w:line="48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p</w:t>
            </w:r>
          </w:p>
        </w:tc>
      </w:tr>
      <w:tr w:rsidR="001F64A9" w:rsidRPr="001F64A9" w14:paraId="442027AE" w14:textId="77777777" w:rsidTr="009B79D4">
        <w:trPr>
          <w:trHeight w:val="597"/>
        </w:trPr>
        <w:tc>
          <w:tcPr>
            <w:tcW w:w="1611" w:type="pct"/>
            <w:tcBorders>
              <w:top w:val="single" w:sz="4" w:space="0" w:color="auto"/>
              <w:left w:val="nil"/>
              <w:bottom w:val="single" w:sz="4" w:space="0" w:color="auto"/>
              <w:right w:val="nil"/>
            </w:tcBorders>
            <w:hideMark/>
          </w:tcPr>
          <w:p w14:paraId="27C2D6DB" w14:textId="77777777" w:rsidR="00EE5072" w:rsidRPr="001F64A9" w:rsidRDefault="00EE5072" w:rsidP="00AB3534">
            <w:pPr>
              <w:spacing w:line="480" w:lineRule="auto"/>
              <w:rPr>
                <w:rFonts w:asciiTheme="majorBidi" w:eastAsia="Times New Roman" w:hAnsiTheme="majorBidi" w:cstheme="majorBidi"/>
                <w:szCs w:val="24"/>
              </w:rPr>
            </w:pPr>
            <w:r w:rsidRPr="001F64A9">
              <w:rPr>
                <w:rFonts w:asciiTheme="majorBidi" w:eastAsia="Times New Roman" w:hAnsiTheme="majorBidi" w:cstheme="majorBidi"/>
                <w:szCs w:val="24"/>
              </w:rPr>
              <w:t>Pre CPR Attitude</w:t>
            </w:r>
          </w:p>
        </w:tc>
        <w:tc>
          <w:tcPr>
            <w:tcW w:w="1676" w:type="pct"/>
            <w:tcBorders>
              <w:top w:val="single" w:sz="4" w:space="0" w:color="auto"/>
              <w:left w:val="nil"/>
              <w:bottom w:val="single" w:sz="4" w:space="0" w:color="auto"/>
              <w:right w:val="nil"/>
            </w:tcBorders>
            <w:hideMark/>
          </w:tcPr>
          <w:p w14:paraId="78B967AC" w14:textId="77777777" w:rsidR="00EE5072" w:rsidRPr="001F64A9" w:rsidRDefault="00EE5072" w:rsidP="00AB3534">
            <w:pPr>
              <w:spacing w:line="480" w:lineRule="auto"/>
              <w:rPr>
                <w:rFonts w:asciiTheme="majorBidi" w:eastAsia="Times New Roman" w:hAnsiTheme="majorBidi" w:cstheme="majorBidi"/>
                <w:szCs w:val="24"/>
              </w:rPr>
            </w:pPr>
            <w:r w:rsidRPr="001F64A9">
              <w:rPr>
                <w:rFonts w:asciiTheme="majorBidi" w:eastAsia="Times New Roman" w:hAnsiTheme="majorBidi" w:cstheme="majorBidi"/>
                <w:szCs w:val="24"/>
              </w:rPr>
              <w:t>Post CPR Attitude</w:t>
            </w:r>
          </w:p>
        </w:tc>
        <w:tc>
          <w:tcPr>
            <w:tcW w:w="468" w:type="pct"/>
            <w:tcBorders>
              <w:top w:val="single" w:sz="4" w:space="0" w:color="auto"/>
              <w:left w:val="nil"/>
              <w:bottom w:val="single" w:sz="4" w:space="0" w:color="auto"/>
              <w:right w:val="nil"/>
            </w:tcBorders>
            <w:hideMark/>
          </w:tcPr>
          <w:p w14:paraId="7BCB22B3" w14:textId="77777777" w:rsidR="00EE5072" w:rsidRPr="001F64A9" w:rsidRDefault="00EE5072" w:rsidP="00AB3534">
            <w:pPr>
              <w:spacing w:line="48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.95***</w:t>
            </w:r>
          </w:p>
        </w:tc>
        <w:tc>
          <w:tcPr>
            <w:tcW w:w="358" w:type="pct"/>
            <w:tcBorders>
              <w:top w:val="single" w:sz="4" w:space="0" w:color="auto"/>
              <w:left w:val="nil"/>
              <w:bottom w:val="single" w:sz="4" w:space="0" w:color="auto"/>
              <w:right w:val="nil"/>
            </w:tcBorders>
            <w:hideMark/>
          </w:tcPr>
          <w:p w14:paraId="3AFF188D" w14:textId="77777777" w:rsidR="00EE5072" w:rsidRPr="001F64A9" w:rsidRDefault="00EE5072" w:rsidP="00AB3534">
            <w:pPr>
              <w:spacing w:line="48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.14</w:t>
            </w:r>
          </w:p>
        </w:tc>
        <w:tc>
          <w:tcPr>
            <w:tcW w:w="445" w:type="pct"/>
            <w:tcBorders>
              <w:top w:val="single" w:sz="4" w:space="0" w:color="auto"/>
              <w:left w:val="nil"/>
              <w:bottom w:val="single" w:sz="4" w:space="0" w:color="auto"/>
              <w:right w:val="nil"/>
            </w:tcBorders>
            <w:hideMark/>
          </w:tcPr>
          <w:p w14:paraId="675DA5DF" w14:textId="77777777" w:rsidR="00EE5072" w:rsidRPr="001F64A9" w:rsidRDefault="00EE5072" w:rsidP="00AB3534">
            <w:pPr>
              <w:spacing w:line="48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6.89</w:t>
            </w:r>
          </w:p>
        </w:tc>
        <w:tc>
          <w:tcPr>
            <w:tcW w:w="443" w:type="pct"/>
            <w:tcBorders>
              <w:top w:val="single" w:sz="4" w:space="0" w:color="auto"/>
              <w:left w:val="nil"/>
              <w:bottom w:val="single" w:sz="4" w:space="0" w:color="auto"/>
              <w:right w:val="nil"/>
            </w:tcBorders>
            <w:hideMark/>
          </w:tcPr>
          <w:p w14:paraId="0EB15540" w14:textId="77777777" w:rsidR="00EE5072" w:rsidRPr="001F64A9" w:rsidRDefault="00EE5072" w:rsidP="00AB3534">
            <w:pPr>
              <w:spacing w:line="48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.000</w:t>
            </w:r>
          </w:p>
        </w:tc>
      </w:tr>
    </w:tbl>
    <w:p w14:paraId="04DE9083" w14:textId="2F7A2B9D" w:rsidR="00EE5072" w:rsidRPr="001F64A9" w:rsidRDefault="00EE5072">
      <w:pPr>
        <w:rPr>
          <w:rFonts w:asciiTheme="majorBidi" w:eastAsia="Times New Roman" w:hAnsiTheme="majorBidi" w:cstheme="majorBidi"/>
          <w:bCs/>
          <w:sz w:val="20"/>
          <w:szCs w:val="20"/>
        </w:rPr>
      </w:pPr>
      <w:r w:rsidRPr="001F64A9">
        <w:rPr>
          <w:rFonts w:asciiTheme="majorBidi" w:hAnsiTheme="majorBidi" w:cstheme="majorBidi"/>
          <w:i/>
          <w:iCs/>
          <w:sz w:val="20"/>
          <w:szCs w:val="20"/>
        </w:rPr>
        <w:t xml:space="preserve">Note. </w:t>
      </w:r>
      <w:r w:rsidRPr="001F64A9">
        <w:rPr>
          <w:rFonts w:asciiTheme="majorBidi" w:eastAsia="Times New Roman" w:hAnsiTheme="majorBidi" w:cstheme="majorBidi"/>
          <w:bCs/>
          <w:sz w:val="20"/>
          <w:szCs w:val="20"/>
        </w:rPr>
        <w:t>***</w:t>
      </w:r>
      <w:r w:rsidRPr="001F64A9">
        <w:rPr>
          <w:rFonts w:asciiTheme="majorBidi" w:eastAsia="Times New Roman" w:hAnsiTheme="majorBidi" w:cstheme="majorBidi"/>
          <w:bCs/>
          <w:i/>
          <w:iCs/>
          <w:sz w:val="20"/>
          <w:szCs w:val="20"/>
        </w:rPr>
        <w:t>p</w:t>
      </w:r>
      <w:r w:rsidRPr="001F64A9">
        <w:rPr>
          <w:rFonts w:asciiTheme="majorBidi" w:eastAsia="Times New Roman" w:hAnsiTheme="majorBidi" w:cstheme="majorBidi"/>
          <w:bCs/>
          <w:sz w:val="20"/>
          <w:szCs w:val="20"/>
        </w:rPr>
        <w:t xml:space="preserve"> &lt; .001</w:t>
      </w:r>
      <w:r w:rsidRPr="001F64A9">
        <w:rPr>
          <w:rFonts w:asciiTheme="majorBidi" w:eastAsia="Times New Roman" w:hAnsiTheme="majorBidi" w:cstheme="majorBidi"/>
          <w:bCs/>
          <w:sz w:val="20"/>
          <w:szCs w:val="20"/>
        </w:rPr>
        <w:t>.</w:t>
      </w:r>
    </w:p>
    <w:p w14:paraId="6A41D234" w14:textId="2EBC577E" w:rsidR="00EE5072" w:rsidRPr="001F64A9" w:rsidRDefault="00EE5072">
      <w:pPr>
        <w:spacing w:line="259" w:lineRule="auto"/>
        <w:rPr>
          <w:rFonts w:asciiTheme="majorBidi" w:hAnsiTheme="majorBidi" w:cstheme="majorBidi"/>
        </w:rPr>
      </w:pPr>
      <w:r w:rsidRPr="001F64A9">
        <w:rPr>
          <w:rFonts w:asciiTheme="majorBidi" w:hAnsiTheme="majorBidi" w:cstheme="majorBidi"/>
        </w:rPr>
        <w:br w:type="page"/>
      </w:r>
    </w:p>
    <w:p w14:paraId="51A2A10D" w14:textId="77777777" w:rsidR="00EE5072" w:rsidRPr="001F64A9" w:rsidRDefault="00EE5072" w:rsidP="00EE5072">
      <w:pPr>
        <w:spacing w:line="480" w:lineRule="auto"/>
        <w:jc w:val="both"/>
        <w:rPr>
          <w:rFonts w:asciiTheme="majorBidi" w:eastAsia="Times New Roman" w:hAnsiTheme="majorBidi" w:cstheme="majorBidi"/>
          <w:b/>
          <w:bCs/>
          <w:sz w:val="24"/>
          <w:szCs w:val="24"/>
        </w:rPr>
      </w:pPr>
      <w:r w:rsidRPr="001F64A9">
        <w:rPr>
          <w:rFonts w:asciiTheme="majorBidi" w:eastAsia="Times New Roman" w:hAnsiTheme="majorBidi" w:cstheme="majorBidi"/>
          <w:b/>
          <w:bCs/>
          <w:sz w:val="24"/>
          <w:szCs w:val="24"/>
        </w:rPr>
        <w:lastRenderedPageBreak/>
        <w:t>Table 19</w:t>
      </w:r>
    </w:p>
    <w:p w14:paraId="67095FE3" w14:textId="77777777" w:rsidR="00EE5072" w:rsidRPr="001F64A9" w:rsidRDefault="00EE5072" w:rsidP="00EE5072">
      <w:pPr>
        <w:spacing w:line="480" w:lineRule="auto"/>
        <w:jc w:val="both"/>
        <w:rPr>
          <w:rFonts w:asciiTheme="majorBidi" w:eastAsia="Times New Roman" w:hAnsiTheme="majorBidi" w:cstheme="majorBidi"/>
          <w:i/>
          <w:iCs/>
          <w:sz w:val="24"/>
          <w:szCs w:val="24"/>
        </w:rPr>
      </w:pPr>
      <w:r w:rsidRPr="001F64A9">
        <w:rPr>
          <w:rFonts w:asciiTheme="majorBidi" w:eastAsia="Times New Roman" w:hAnsiTheme="majorBidi" w:cstheme="majorBidi"/>
          <w:i/>
          <w:iCs/>
          <w:sz w:val="24"/>
          <w:szCs w:val="24"/>
        </w:rPr>
        <w:t>Turkey Post-Hoc Comparisons for Groups*Pre-Post CPR Attitude in Experiment 2</w:t>
      </w:r>
    </w:p>
    <w:tbl>
      <w:tblPr>
        <w:tblStyle w:val="TableGrid"/>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7"/>
        <w:gridCol w:w="3224"/>
        <w:gridCol w:w="1015"/>
        <w:gridCol w:w="526"/>
        <w:gridCol w:w="730"/>
        <w:gridCol w:w="768"/>
      </w:tblGrid>
      <w:tr w:rsidR="00EE5072" w:rsidRPr="001F64A9" w14:paraId="08C4358B" w14:textId="77777777" w:rsidTr="00AB3534">
        <w:tc>
          <w:tcPr>
            <w:tcW w:w="3377" w:type="pct"/>
            <w:gridSpan w:val="2"/>
            <w:tcBorders>
              <w:top w:val="single" w:sz="4" w:space="0" w:color="auto"/>
              <w:left w:val="nil"/>
              <w:bottom w:val="single" w:sz="4" w:space="0" w:color="auto"/>
              <w:right w:val="nil"/>
            </w:tcBorders>
            <w:vAlign w:val="center"/>
            <w:hideMark/>
          </w:tcPr>
          <w:p w14:paraId="6DB08471"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Groups * Pre-Post CPR Attitude</w:t>
            </w:r>
          </w:p>
        </w:tc>
        <w:tc>
          <w:tcPr>
            <w:tcW w:w="542" w:type="pct"/>
            <w:tcBorders>
              <w:top w:val="single" w:sz="4" w:space="0" w:color="auto"/>
              <w:left w:val="nil"/>
              <w:bottom w:val="single" w:sz="4" w:space="0" w:color="auto"/>
              <w:right w:val="nil"/>
            </w:tcBorders>
            <w:vAlign w:val="center"/>
            <w:hideMark/>
          </w:tcPr>
          <w:p w14:paraId="27D5E25B"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MD</w:t>
            </w:r>
          </w:p>
        </w:tc>
        <w:tc>
          <w:tcPr>
            <w:tcW w:w="281" w:type="pct"/>
            <w:tcBorders>
              <w:top w:val="single" w:sz="4" w:space="0" w:color="auto"/>
              <w:left w:val="nil"/>
              <w:bottom w:val="single" w:sz="4" w:space="0" w:color="auto"/>
              <w:right w:val="nil"/>
            </w:tcBorders>
            <w:vAlign w:val="center"/>
            <w:hideMark/>
          </w:tcPr>
          <w:p w14:paraId="535987E9"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SE</w:t>
            </w:r>
          </w:p>
        </w:tc>
        <w:tc>
          <w:tcPr>
            <w:tcW w:w="390" w:type="pct"/>
            <w:tcBorders>
              <w:top w:val="single" w:sz="4" w:space="0" w:color="auto"/>
              <w:left w:val="nil"/>
              <w:bottom w:val="single" w:sz="4" w:space="0" w:color="auto"/>
              <w:right w:val="nil"/>
            </w:tcBorders>
            <w:vAlign w:val="center"/>
            <w:hideMark/>
          </w:tcPr>
          <w:p w14:paraId="2CBFE118"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t</w:t>
            </w:r>
          </w:p>
        </w:tc>
        <w:tc>
          <w:tcPr>
            <w:tcW w:w="410" w:type="pct"/>
            <w:tcBorders>
              <w:top w:val="single" w:sz="4" w:space="0" w:color="auto"/>
              <w:left w:val="nil"/>
              <w:bottom w:val="single" w:sz="4" w:space="0" w:color="auto"/>
              <w:right w:val="nil"/>
            </w:tcBorders>
            <w:vAlign w:val="center"/>
            <w:hideMark/>
          </w:tcPr>
          <w:p w14:paraId="582B1B53" w14:textId="77777777" w:rsidR="00EE5072" w:rsidRPr="001F64A9" w:rsidRDefault="00EE5072" w:rsidP="00AB3534">
            <w:pPr>
              <w:spacing w:line="360" w:lineRule="auto"/>
              <w:jc w:val="center"/>
              <w:rPr>
                <w:rFonts w:asciiTheme="majorBidi" w:eastAsia="Times New Roman" w:hAnsiTheme="majorBidi" w:cstheme="majorBidi"/>
                <w:i/>
                <w:iCs/>
                <w:szCs w:val="24"/>
              </w:rPr>
            </w:pPr>
            <w:r w:rsidRPr="001F64A9">
              <w:rPr>
                <w:rFonts w:asciiTheme="majorBidi" w:eastAsia="Times New Roman" w:hAnsiTheme="majorBidi" w:cstheme="majorBidi"/>
                <w:i/>
                <w:iCs/>
                <w:szCs w:val="24"/>
              </w:rPr>
              <w:t>p</w:t>
            </w:r>
          </w:p>
        </w:tc>
      </w:tr>
      <w:tr w:rsidR="00EE5072" w:rsidRPr="001F64A9" w14:paraId="7913D7D0" w14:textId="77777777" w:rsidTr="00AB3534">
        <w:tc>
          <w:tcPr>
            <w:tcW w:w="1655" w:type="pct"/>
            <w:tcBorders>
              <w:top w:val="single" w:sz="4" w:space="0" w:color="auto"/>
              <w:left w:val="nil"/>
              <w:bottom w:val="nil"/>
              <w:right w:val="nil"/>
            </w:tcBorders>
            <w:vAlign w:val="center"/>
            <w:hideMark/>
          </w:tcPr>
          <w:p w14:paraId="6A46C8AB"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 Pre CPR Attitude</w:t>
            </w:r>
          </w:p>
        </w:tc>
        <w:tc>
          <w:tcPr>
            <w:tcW w:w="1722" w:type="pct"/>
            <w:tcBorders>
              <w:top w:val="single" w:sz="4" w:space="0" w:color="auto"/>
              <w:left w:val="nil"/>
              <w:bottom w:val="nil"/>
              <w:right w:val="nil"/>
            </w:tcBorders>
            <w:vAlign w:val="center"/>
            <w:hideMark/>
          </w:tcPr>
          <w:p w14:paraId="388D4AA6"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 Pre CPR Attitude</w:t>
            </w:r>
          </w:p>
        </w:tc>
        <w:tc>
          <w:tcPr>
            <w:tcW w:w="542" w:type="pct"/>
            <w:tcBorders>
              <w:top w:val="single" w:sz="4" w:space="0" w:color="auto"/>
              <w:left w:val="nil"/>
              <w:bottom w:val="nil"/>
              <w:right w:val="nil"/>
            </w:tcBorders>
            <w:vAlign w:val="center"/>
            <w:hideMark/>
          </w:tcPr>
          <w:p w14:paraId="1F7585D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-.66</w:t>
            </w:r>
          </w:p>
        </w:tc>
        <w:tc>
          <w:tcPr>
            <w:tcW w:w="281" w:type="pct"/>
            <w:tcBorders>
              <w:top w:val="single" w:sz="4" w:space="0" w:color="auto"/>
              <w:left w:val="nil"/>
              <w:bottom w:val="nil"/>
              <w:right w:val="nil"/>
            </w:tcBorders>
            <w:vAlign w:val="center"/>
            <w:hideMark/>
          </w:tcPr>
          <w:p w14:paraId="7A9B6FA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single" w:sz="4" w:space="0" w:color="auto"/>
              <w:left w:val="nil"/>
              <w:bottom w:val="nil"/>
              <w:right w:val="nil"/>
            </w:tcBorders>
            <w:vAlign w:val="center"/>
            <w:hideMark/>
          </w:tcPr>
          <w:p w14:paraId="3817338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-1.12</w:t>
            </w:r>
          </w:p>
        </w:tc>
        <w:tc>
          <w:tcPr>
            <w:tcW w:w="410" w:type="pct"/>
            <w:tcBorders>
              <w:top w:val="single" w:sz="4" w:space="0" w:color="auto"/>
              <w:left w:val="nil"/>
              <w:bottom w:val="nil"/>
              <w:right w:val="nil"/>
            </w:tcBorders>
            <w:vAlign w:val="center"/>
            <w:hideMark/>
          </w:tcPr>
          <w:p w14:paraId="6D1FD3F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790A542A" w14:textId="77777777" w:rsidTr="00AB3534">
        <w:tc>
          <w:tcPr>
            <w:tcW w:w="1655" w:type="pct"/>
            <w:tcBorders>
              <w:top w:val="nil"/>
              <w:left w:val="nil"/>
              <w:bottom w:val="nil"/>
              <w:right w:val="nil"/>
            </w:tcBorders>
            <w:vAlign w:val="center"/>
          </w:tcPr>
          <w:p w14:paraId="094B372F"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2590B9DA"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Pre CPR Attitude</w:t>
            </w:r>
          </w:p>
        </w:tc>
        <w:tc>
          <w:tcPr>
            <w:tcW w:w="542" w:type="pct"/>
            <w:tcBorders>
              <w:top w:val="nil"/>
              <w:left w:val="nil"/>
              <w:bottom w:val="nil"/>
              <w:right w:val="nil"/>
            </w:tcBorders>
            <w:vAlign w:val="center"/>
            <w:hideMark/>
          </w:tcPr>
          <w:p w14:paraId="3C36A76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.07</w:t>
            </w:r>
          </w:p>
        </w:tc>
        <w:tc>
          <w:tcPr>
            <w:tcW w:w="281" w:type="pct"/>
            <w:tcBorders>
              <w:top w:val="nil"/>
              <w:left w:val="nil"/>
              <w:bottom w:val="nil"/>
              <w:right w:val="nil"/>
            </w:tcBorders>
            <w:vAlign w:val="center"/>
            <w:hideMark/>
          </w:tcPr>
          <w:p w14:paraId="17BFFD2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3B5F442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.11</w:t>
            </w:r>
          </w:p>
        </w:tc>
        <w:tc>
          <w:tcPr>
            <w:tcW w:w="410" w:type="pct"/>
            <w:tcBorders>
              <w:top w:val="nil"/>
              <w:left w:val="nil"/>
              <w:bottom w:val="nil"/>
              <w:right w:val="nil"/>
            </w:tcBorders>
            <w:vAlign w:val="center"/>
            <w:hideMark/>
          </w:tcPr>
          <w:p w14:paraId="50C6E34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3CBD7C4D" w14:textId="77777777" w:rsidTr="00AB3534">
        <w:tc>
          <w:tcPr>
            <w:tcW w:w="1655" w:type="pct"/>
            <w:tcBorders>
              <w:top w:val="nil"/>
              <w:left w:val="nil"/>
              <w:bottom w:val="nil"/>
              <w:right w:val="nil"/>
            </w:tcBorders>
            <w:vAlign w:val="center"/>
          </w:tcPr>
          <w:p w14:paraId="1C4BB7A3"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1FD09CBE"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Pre CPR Attitude</w:t>
            </w:r>
          </w:p>
        </w:tc>
        <w:tc>
          <w:tcPr>
            <w:tcW w:w="542" w:type="pct"/>
            <w:tcBorders>
              <w:top w:val="nil"/>
              <w:left w:val="nil"/>
              <w:bottom w:val="nil"/>
              <w:right w:val="nil"/>
            </w:tcBorders>
            <w:vAlign w:val="center"/>
            <w:hideMark/>
          </w:tcPr>
          <w:p w14:paraId="2119E52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.50</w:t>
            </w:r>
          </w:p>
        </w:tc>
        <w:tc>
          <w:tcPr>
            <w:tcW w:w="281" w:type="pct"/>
            <w:tcBorders>
              <w:top w:val="nil"/>
              <w:left w:val="nil"/>
              <w:bottom w:val="nil"/>
              <w:right w:val="nil"/>
            </w:tcBorders>
            <w:vAlign w:val="center"/>
            <w:hideMark/>
          </w:tcPr>
          <w:p w14:paraId="7979425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3BF1F0E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.845</w:t>
            </w:r>
          </w:p>
        </w:tc>
        <w:tc>
          <w:tcPr>
            <w:tcW w:w="410" w:type="pct"/>
            <w:tcBorders>
              <w:top w:val="nil"/>
              <w:left w:val="nil"/>
              <w:bottom w:val="nil"/>
              <w:right w:val="nil"/>
            </w:tcBorders>
            <w:vAlign w:val="center"/>
            <w:hideMark/>
          </w:tcPr>
          <w:p w14:paraId="4BB3688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1DC237F0" w14:textId="77777777" w:rsidTr="00AB3534">
        <w:tc>
          <w:tcPr>
            <w:tcW w:w="1655" w:type="pct"/>
            <w:tcBorders>
              <w:top w:val="nil"/>
              <w:left w:val="nil"/>
              <w:bottom w:val="nil"/>
              <w:right w:val="nil"/>
            </w:tcBorders>
            <w:vAlign w:val="center"/>
          </w:tcPr>
          <w:p w14:paraId="4C566279"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290CA742"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 Post CPR Attitude</w:t>
            </w:r>
          </w:p>
        </w:tc>
        <w:tc>
          <w:tcPr>
            <w:tcW w:w="542" w:type="pct"/>
            <w:tcBorders>
              <w:top w:val="nil"/>
              <w:left w:val="nil"/>
              <w:bottom w:val="nil"/>
              <w:right w:val="nil"/>
            </w:tcBorders>
            <w:vAlign w:val="center"/>
            <w:hideMark/>
          </w:tcPr>
          <w:p w14:paraId="657946A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.57</w:t>
            </w:r>
          </w:p>
        </w:tc>
        <w:tc>
          <w:tcPr>
            <w:tcW w:w="281" w:type="pct"/>
            <w:tcBorders>
              <w:top w:val="nil"/>
              <w:left w:val="nil"/>
              <w:bottom w:val="nil"/>
              <w:right w:val="nil"/>
            </w:tcBorders>
            <w:vAlign w:val="center"/>
            <w:hideMark/>
          </w:tcPr>
          <w:p w14:paraId="7898269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.27</w:t>
            </w:r>
          </w:p>
        </w:tc>
        <w:tc>
          <w:tcPr>
            <w:tcW w:w="390" w:type="pct"/>
            <w:tcBorders>
              <w:top w:val="nil"/>
              <w:left w:val="nil"/>
              <w:bottom w:val="nil"/>
              <w:right w:val="nil"/>
            </w:tcBorders>
            <w:vAlign w:val="center"/>
            <w:hideMark/>
          </w:tcPr>
          <w:p w14:paraId="000C87D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2.08</w:t>
            </w:r>
          </w:p>
        </w:tc>
        <w:tc>
          <w:tcPr>
            <w:tcW w:w="410" w:type="pct"/>
            <w:tcBorders>
              <w:top w:val="nil"/>
              <w:left w:val="nil"/>
              <w:bottom w:val="nil"/>
              <w:right w:val="nil"/>
            </w:tcBorders>
            <w:vAlign w:val="center"/>
            <w:hideMark/>
          </w:tcPr>
          <w:p w14:paraId="7BC3B34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.728</w:t>
            </w:r>
          </w:p>
        </w:tc>
      </w:tr>
      <w:tr w:rsidR="00EE5072" w:rsidRPr="001F64A9" w14:paraId="20A09289" w14:textId="77777777" w:rsidTr="00AB3534">
        <w:tc>
          <w:tcPr>
            <w:tcW w:w="1655" w:type="pct"/>
            <w:tcBorders>
              <w:top w:val="nil"/>
              <w:left w:val="nil"/>
              <w:bottom w:val="nil"/>
              <w:right w:val="nil"/>
            </w:tcBorders>
            <w:vAlign w:val="center"/>
          </w:tcPr>
          <w:p w14:paraId="3EE8C4D5"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02D406A2"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 Post CPR Attitude</w:t>
            </w:r>
          </w:p>
        </w:tc>
        <w:tc>
          <w:tcPr>
            <w:tcW w:w="542" w:type="pct"/>
            <w:tcBorders>
              <w:top w:val="nil"/>
              <w:left w:val="nil"/>
              <w:bottom w:val="nil"/>
              <w:right w:val="nil"/>
            </w:tcBorders>
            <w:vAlign w:val="center"/>
            <w:hideMark/>
          </w:tcPr>
          <w:p w14:paraId="1B0F33DE"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-.39</w:t>
            </w:r>
          </w:p>
        </w:tc>
        <w:tc>
          <w:tcPr>
            <w:tcW w:w="281" w:type="pct"/>
            <w:tcBorders>
              <w:top w:val="nil"/>
              <w:left w:val="nil"/>
              <w:bottom w:val="nil"/>
              <w:right w:val="nil"/>
            </w:tcBorders>
            <w:vAlign w:val="center"/>
            <w:hideMark/>
          </w:tcPr>
          <w:p w14:paraId="31459C4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568904FE"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-.66</w:t>
            </w:r>
          </w:p>
        </w:tc>
        <w:tc>
          <w:tcPr>
            <w:tcW w:w="410" w:type="pct"/>
            <w:tcBorders>
              <w:top w:val="nil"/>
              <w:left w:val="nil"/>
              <w:bottom w:val="nil"/>
              <w:right w:val="nil"/>
            </w:tcBorders>
            <w:vAlign w:val="center"/>
            <w:hideMark/>
          </w:tcPr>
          <w:p w14:paraId="61915CC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34DD40BC" w14:textId="77777777" w:rsidTr="00AB3534">
        <w:tc>
          <w:tcPr>
            <w:tcW w:w="1655" w:type="pct"/>
            <w:tcBorders>
              <w:top w:val="nil"/>
              <w:left w:val="nil"/>
              <w:bottom w:val="nil"/>
              <w:right w:val="nil"/>
            </w:tcBorders>
            <w:vAlign w:val="center"/>
          </w:tcPr>
          <w:p w14:paraId="4B22689C"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02141685"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Post CPR Attitude</w:t>
            </w:r>
          </w:p>
        </w:tc>
        <w:tc>
          <w:tcPr>
            <w:tcW w:w="542" w:type="pct"/>
            <w:tcBorders>
              <w:top w:val="nil"/>
              <w:left w:val="nil"/>
              <w:bottom w:val="nil"/>
              <w:right w:val="nil"/>
            </w:tcBorders>
            <w:vAlign w:val="center"/>
            <w:hideMark/>
          </w:tcPr>
          <w:p w14:paraId="57B0AAB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2.57***</w:t>
            </w:r>
          </w:p>
        </w:tc>
        <w:tc>
          <w:tcPr>
            <w:tcW w:w="281" w:type="pct"/>
            <w:tcBorders>
              <w:top w:val="nil"/>
              <w:left w:val="nil"/>
              <w:bottom w:val="nil"/>
              <w:right w:val="nil"/>
            </w:tcBorders>
            <w:vAlign w:val="center"/>
            <w:hideMark/>
          </w:tcPr>
          <w:p w14:paraId="2F92AD8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29185D4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4.29</w:t>
            </w:r>
          </w:p>
        </w:tc>
        <w:tc>
          <w:tcPr>
            <w:tcW w:w="410" w:type="pct"/>
            <w:tcBorders>
              <w:top w:val="nil"/>
              <w:left w:val="nil"/>
              <w:bottom w:val="nil"/>
              <w:right w:val="nil"/>
            </w:tcBorders>
            <w:vAlign w:val="center"/>
            <w:hideMark/>
          </w:tcPr>
          <w:p w14:paraId="26C0287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.000</w:t>
            </w:r>
          </w:p>
        </w:tc>
      </w:tr>
      <w:tr w:rsidR="00EE5072" w:rsidRPr="001F64A9" w14:paraId="31FA62F7" w14:textId="77777777" w:rsidTr="00AB3534">
        <w:tc>
          <w:tcPr>
            <w:tcW w:w="1655" w:type="pct"/>
            <w:tcBorders>
              <w:top w:val="nil"/>
              <w:left w:val="nil"/>
              <w:bottom w:val="nil"/>
              <w:right w:val="nil"/>
            </w:tcBorders>
            <w:vAlign w:val="center"/>
          </w:tcPr>
          <w:p w14:paraId="27094E88"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2B166FE7"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Post CPR Attitude</w:t>
            </w:r>
          </w:p>
        </w:tc>
        <w:tc>
          <w:tcPr>
            <w:tcW w:w="542" w:type="pct"/>
            <w:tcBorders>
              <w:top w:val="nil"/>
              <w:left w:val="nil"/>
              <w:bottom w:val="nil"/>
              <w:right w:val="nil"/>
            </w:tcBorders>
            <w:vAlign w:val="center"/>
            <w:hideMark/>
          </w:tcPr>
          <w:p w14:paraId="16CFC91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.97</w:t>
            </w:r>
          </w:p>
        </w:tc>
        <w:tc>
          <w:tcPr>
            <w:tcW w:w="281" w:type="pct"/>
            <w:tcBorders>
              <w:top w:val="nil"/>
              <w:left w:val="nil"/>
              <w:bottom w:val="nil"/>
              <w:right w:val="nil"/>
            </w:tcBorders>
            <w:vAlign w:val="center"/>
            <w:hideMark/>
          </w:tcPr>
          <w:p w14:paraId="3C6308FE"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3E5CDF9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1.63</w:t>
            </w:r>
          </w:p>
        </w:tc>
        <w:tc>
          <w:tcPr>
            <w:tcW w:w="410" w:type="pct"/>
            <w:tcBorders>
              <w:top w:val="nil"/>
              <w:left w:val="nil"/>
              <w:bottom w:val="nil"/>
              <w:right w:val="nil"/>
            </w:tcBorders>
            <w:vAlign w:val="center"/>
            <w:hideMark/>
          </w:tcPr>
          <w:p w14:paraId="0BFADCE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0D60A1A7" w14:textId="77777777" w:rsidTr="00AB3534">
        <w:tc>
          <w:tcPr>
            <w:tcW w:w="1655" w:type="pct"/>
            <w:tcBorders>
              <w:top w:val="nil"/>
              <w:left w:val="nil"/>
              <w:bottom w:val="nil"/>
              <w:right w:val="nil"/>
            </w:tcBorders>
            <w:vAlign w:val="center"/>
            <w:hideMark/>
          </w:tcPr>
          <w:p w14:paraId="6DB362A9"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Negative-Pre CPR Attitude</w:t>
            </w:r>
          </w:p>
        </w:tc>
        <w:tc>
          <w:tcPr>
            <w:tcW w:w="1722" w:type="pct"/>
            <w:tcBorders>
              <w:top w:val="nil"/>
              <w:left w:val="nil"/>
              <w:bottom w:val="nil"/>
              <w:right w:val="nil"/>
            </w:tcBorders>
            <w:vAlign w:val="center"/>
            <w:hideMark/>
          </w:tcPr>
          <w:p w14:paraId="15DCF1CC"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Pre CPR Attitude</w:t>
            </w:r>
          </w:p>
        </w:tc>
        <w:tc>
          <w:tcPr>
            <w:tcW w:w="542" w:type="pct"/>
            <w:tcBorders>
              <w:top w:val="nil"/>
              <w:left w:val="nil"/>
              <w:bottom w:val="nil"/>
              <w:right w:val="nil"/>
            </w:tcBorders>
            <w:vAlign w:val="center"/>
            <w:hideMark/>
          </w:tcPr>
          <w:p w14:paraId="5834D11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.73</w:t>
            </w:r>
          </w:p>
        </w:tc>
        <w:tc>
          <w:tcPr>
            <w:tcW w:w="281" w:type="pct"/>
            <w:tcBorders>
              <w:top w:val="nil"/>
              <w:left w:val="nil"/>
              <w:bottom w:val="nil"/>
              <w:right w:val="nil"/>
            </w:tcBorders>
            <w:vAlign w:val="center"/>
            <w:hideMark/>
          </w:tcPr>
          <w:p w14:paraId="7D4618B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05305CD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1.22</w:t>
            </w:r>
          </w:p>
        </w:tc>
        <w:tc>
          <w:tcPr>
            <w:tcW w:w="410" w:type="pct"/>
            <w:tcBorders>
              <w:top w:val="nil"/>
              <w:left w:val="nil"/>
              <w:bottom w:val="nil"/>
              <w:right w:val="nil"/>
            </w:tcBorders>
            <w:vAlign w:val="center"/>
            <w:hideMark/>
          </w:tcPr>
          <w:p w14:paraId="2B66448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64EE907B" w14:textId="77777777" w:rsidTr="00AB3534">
        <w:tc>
          <w:tcPr>
            <w:tcW w:w="1655" w:type="pct"/>
            <w:tcBorders>
              <w:top w:val="nil"/>
              <w:left w:val="nil"/>
              <w:bottom w:val="nil"/>
              <w:right w:val="nil"/>
            </w:tcBorders>
            <w:vAlign w:val="center"/>
          </w:tcPr>
          <w:p w14:paraId="4F2641A2"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09B0C603"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Pre CPR Attitude</w:t>
            </w:r>
          </w:p>
        </w:tc>
        <w:tc>
          <w:tcPr>
            <w:tcW w:w="542" w:type="pct"/>
            <w:tcBorders>
              <w:top w:val="nil"/>
              <w:left w:val="nil"/>
              <w:bottom w:val="nil"/>
              <w:right w:val="nil"/>
            </w:tcBorders>
            <w:vAlign w:val="center"/>
            <w:hideMark/>
          </w:tcPr>
          <w:p w14:paraId="5DA9129E"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1.16</w:t>
            </w:r>
          </w:p>
        </w:tc>
        <w:tc>
          <w:tcPr>
            <w:tcW w:w="281" w:type="pct"/>
            <w:tcBorders>
              <w:top w:val="nil"/>
              <w:left w:val="nil"/>
              <w:bottom w:val="nil"/>
              <w:right w:val="nil"/>
            </w:tcBorders>
            <w:vAlign w:val="center"/>
            <w:hideMark/>
          </w:tcPr>
          <w:p w14:paraId="3A3C13B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2DCCFE9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1.96</w:t>
            </w:r>
          </w:p>
        </w:tc>
        <w:tc>
          <w:tcPr>
            <w:tcW w:w="410" w:type="pct"/>
            <w:tcBorders>
              <w:top w:val="nil"/>
              <w:left w:val="nil"/>
              <w:bottom w:val="nil"/>
              <w:right w:val="nil"/>
            </w:tcBorders>
            <w:vAlign w:val="center"/>
            <w:hideMark/>
          </w:tcPr>
          <w:p w14:paraId="2C4EC52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.858</w:t>
            </w:r>
          </w:p>
        </w:tc>
      </w:tr>
      <w:tr w:rsidR="00EE5072" w:rsidRPr="001F64A9" w14:paraId="2F125D77" w14:textId="77777777" w:rsidTr="00AB3534">
        <w:tc>
          <w:tcPr>
            <w:tcW w:w="1655" w:type="pct"/>
            <w:tcBorders>
              <w:top w:val="nil"/>
              <w:left w:val="nil"/>
              <w:bottom w:val="nil"/>
              <w:right w:val="nil"/>
            </w:tcBorders>
            <w:vAlign w:val="center"/>
          </w:tcPr>
          <w:p w14:paraId="2F29AFAD"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6D455663"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 Post CPR Attitude</w:t>
            </w:r>
          </w:p>
        </w:tc>
        <w:tc>
          <w:tcPr>
            <w:tcW w:w="542" w:type="pct"/>
            <w:tcBorders>
              <w:top w:val="nil"/>
              <w:left w:val="nil"/>
              <w:bottom w:val="nil"/>
              <w:right w:val="nil"/>
            </w:tcBorders>
            <w:vAlign w:val="center"/>
            <w:hideMark/>
          </w:tcPr>
          <w:p w14:paraId="18100C4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1.23</w:t>
            </w:r>
          </w:p>
        </w:tc>
        <w:tc>
          <w:tcPr>
            <w:tcW w:w="281" w:type="pct"/>
            <w:tcBorders>
              <w:top w:val="nil"/>
              <w:left w:val="nil"/>
              <w:bottom w:val="nil"/>
              <w:right w:val="nil"/>
            </w:tcBorders>
            <w:vAlign w:val="center"/>
            <w:hideMark/>
          </w:tcPr>
          <w:p w14:paraId="3AB4B50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419172D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2.08</w:t>
            </w:r>
          </w:p>
        </w:tc>
        <w:tc>
          <w:tcPr>
            <w:tcW w:w="410" w:type="pct"/>
            <w:tcBorders>
              <w:top w:val="nil"/>
              <w:left w:val="nil"/>
              <w:bottom w:val="nil"/>
              <w:right w:val="nil"/>
            </w:tcBorders>
            <w:vAlign w:val="center"/>
            <w:hideMark/>
          </w:tcPr>
          <w:p w14:paraId="03F026E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.728</w:t>
            </w:r>
          </w:p>
        </w:tc>
      </w:tr>
      <w:tr w:rsidR="00EE5072" w:rsidRPr="001F64A9" w14:paraId="7347B8A7" w14:textId="77777777" w:rsidTr="00AB3534">
        <w:tc>
          <w:tcPr>
            <w:tcW w:w="1655" w:type="pct"/>
            <w:tcBorders>
              <w:top w:val="nil"/>
              <w:left w:val="nil"/>
              <w:bottom w:val="nil"/>
              <w:right w:val="nil"/>
            </w:tcBorders>
            <w:vAlign w:val="center"/>
          </w:tcPr>
          <w:p w14:paraId="6E98725F"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6968A60A"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 Post CPR Attitude</w:t>
            </w:r>
          </w:p>
        </w:tc>
        <w:tc>
          <w:tcPr>
            <w:tcW w:w="542" w:type="pct"/>
            <w:tcBorders>
              <w:top w:val="nil"/>
              <w:left w:val="nil"/>
              <w:bottom w:val="nil"/>
              <w:right w:val="nil"/>
            </w:tcBorders>
            <w:vAlign w:val="center"/>
            <w:hideMark/>
          </w:tcPr>
          <w:p w14:paraId="6EB6AD7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.27</w:t>
            </w:r>
          </w:p>
        </w:tc>
        <w:tc>
          <w:tcPr>
            <w:tcW w:w="281" w:type="pct"/>
            <w:tcBorders>
              <w:top w:val="nil"/>
              <w:left w:val="nil"/>
              <w:bottom w:val="nil"/>
              <w:right w:val="nil"/>
            </w:tcBorders>
            <w:vAlign w:val="center"/>
            <w:hideMark/>
          </w:tcPr>
          <w:p w14:paraId="7129944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.27</w:t>
            </w:r>
          </w:p>
        </w:tc>
        <w:tc>
          <w:tcPr>
            <w:tcW w:w="390" w:type="pct"/>
            <w:tcBorders>
              <w:top w:val="nil"/>
              <w:left w:val="nil"/>
              <w:bottom w:val="nil"/>
              <w:right w:val="nil"/>
            </w:tcBorders>
            <w:vAlign w:val="center"/>
            <w:hideMark/>
          </w:tcPr>
          <w:p w14:paraId="632A774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.98</w:t>
            </w:r>
          </w:p>
        </w:tc>
        <w:tc>
          <w:tcPr>
            <w:tcW w:w="410" w:type="pct"/>
            <w:tcBorders>
              <w:top w:val="nil"/>
              <w:left w:val="nil"/>
              <w:bottom w:val="nil"/>
              <w:right w:val="nil"/>
            </w:tcBorders>
            <w:vAlign w:val="center"/>
            <w:hideMark/>
          </w:tcPr>
          <w:p w14:paraId="6F2ED90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6FDB1E2F" w14:textId="77777777" w:rsidTr="00AB3534">
        <w:tc>
          <w:tcPr>
            <w:tcW w:w="1655" w:type="pct"/>
            <w:tcBorders>
              <w:top w:val="nil"/>
              <w:left w:val="nil"/>
              <w:bottom w:val="nil"/>
              <w:right w:val="nil"/>
            </w:tcBorders>
            <w:vAlign w:val="center"/>
          </w:tcPr>
          <w:p w14:paraId="2183CEFD"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58A87E2D"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Post CPR Attitude</w:t>
            </w:r>
          </w:p>
        </w:tc>
        <w:tc>
          <w:tcPr>
            <w:tcW w:w="542" w:type="pct"/>
            <w:tcBorders>
              <w:top w:val="nil"/>
              <w:left w:val="nil"/>
              <w:bottom w:val="nil"/>
              <w:right w:val="nil"/>
            </w:tcBorders>
            <w:vAlign w:val="center"/>
            <w:hideMark/>
          </w:tcPr>
          <w:p w14:paraId="52FD5C0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3.23***</w:t>
            </w:r>
          </w:p>
        </w:tc>
        <w:tc>
          <w:tcPr>
            <w:tcW w:w="281" w:type="pct"/>
            <w:tcBorders>
              <w:top w:val="nil"/>
              <w:left w:val="nil"/>
              <w:bottom w:val="nil"/>
              <w:right w:val="nil"/>
            </w:tcBorders>
            <w:vAlign w:val="center"/>
            <w:hideMark/>
          </w:tcPr>
          <w:p w14:paraId="5CBFCCD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4522F1B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5.39</w:t>
            </w:r>
          </w:p>
        </w:tc>
        <w:tc>
          <w:tcPr>
            <w:tcW w:w="410" w:type="pct"/>
            <w:tcBorders>
              <w:top w:val="nil"/>
              <w:left w:val="nil"/>
              <w:bottom w:val="nil"/>
              <w:right w:val="nil"/>
            </w:tcBorders>
            <w:vAlign w:val="center"/>
            <w:hideMark/>
          </w:tcPr>
          <w:p w14:paraId="68A07CA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.000</w:t>
            </w:r>
          </w:p>
        </w:tc>
      </w:tr>
      <w:tr w:rsidR="00EE5072" w:rsidRPr="001F64A9" w14:paraId="56E0CD11" w14:textId="77777777" w:rsidTr="00AB3534">
        <w:tc>
          <w:tcPr>
            <w:tcW w:w="1655" w:type="pct"/>
            <w:tcBorders>
              <w:top w:val="nil"/>
              <w:left w:val="nil"/>
              <w:bottom w:val="nil"/>
              <w:right w:val="nil"/>
            </w:tcBorders>
            <w:vAlign w:val="center"/>
          </w:tcPr>
          <w:p w14:paraId="4421D328"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60AE7687"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Post CPR Attitude</w:t>
            </w:r>
          </w:p>
        </w:tc>
        <w:tc>
          <w:tcPr>
            <w:tcW w:w="542" w:type="pct"/>
            <w:tcBorders>
              <w:top w:val="nil"/>
              <w:left w:val="nil"/>
              <w:bottom w:val="nil"/>
              <w:right w:val="nil"/>
            </w:tcBorders>
            <w:vAlign w:val="center"/>
            <w:hideMark/>
          </w:tcPr>
          <w:p w14:paraId="2006007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1.63</w:t>
            </w:r>
          </w:p>
        </w:tc>
        <w:tc>
          <w:tcPr>
            <w:tcW w:w="281" w:type="pct"/>
            <w:tcBorders>
              <w:top w:val="nil"/>
              <w:left w:val="nil"/>
              <w:bottom w:val="nil"/>
              <w:right w:val="nil"/>
            </w:tcBorders>
            <w:vAlign w:val="center"/>
            <w:hideMark/>
          </w:tcPr>
          <w:p w14:paraId="214BE25E"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7737F88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2.74</w:t>
            </w:r>
          </w:p>
        </w:tc>
        <w:tc>
          <w:tcPr>
            <w:tcW w:w="410" w:type="pct"/>
            <w:tcBorders>
              <w:top w:val="nil"/>
              <w:left w:val="nil"/>
              <w:bottom w:val="nil"/>
              <w:right w:val="nil"/>
            </w:tcBorders>
            <w:vAlign w:val="center"/>
            <w:hideMark/>
          </w:tcPr>
          <w:p w14:paraId="39463EB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.140</w:t>
            </w:r>
          </w:p>
        </w:tc>
      </w:tr>
      <w:tr w:rsidR="00EE5072" w:rsidRPr="001F64A9" w14:paraId="130AFF5E" w14:textId="77777777" w:rsidTr="00AB3534">
        <w:tc>
          <w:tcPr>
            <w:tcW w:w="1655" w:type="pct"/>
            <w:tcBorders>
              <w:top w:val="nil"/>
              <w:left w:val="nil"/>
              <w:bottom w:val="nil"/>
              <w:right w:val="nil"/>
            </w:tcBorders>
            <w:vAlign w:val="center"/>
            <w:hideMark/>
          </w:tcPr>
          <w:p w14:paraId="0927F62C"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Education-Pre CPR Attitude</w:t>
            </w:r>
          </w:p>
        </w:tc>
        <w:tc>
          <w:tcPr>
            <w:tcW w:w="1722" w:type="pct"/>
            <w:tcBorders>
              <w:top w:val="nil"/>
              <w:left w:val="nil"/>
              <w:bottom w:val="nil"/>
              <w:right w:val="nil"/>
            </w:tcBorders>
            <w:vAlign w:val="center"/>
            <w:hideMark/>
          </w:tcPr>
          <w:p w14:paraId="5D1BA629"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Pre CPR Attitude</w:t>
            </w:r>
          </w:p>
        </w:tc>
        <w:tc>
          <w:tcPr>
            <w:tcW w:w="542" w:type="pct"/>
            <w:tcBorders>
              <w:top w:val="nil"/>
              <w:left w:val="nil"/>
              <w:bottom w:val="nil"/>
              <w:right w:val="nil"/>
            </w:tcBorders>
            <w:vAlign w:val="center"/>
            <w:hideMark/>
          </w:tcPr>
          <w:p w14:paraId="08C26B3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.44</w:t>
            </w:r>
          </w:p>
        </w:tc>
        <w:tc>
          <w:tcPr>
            <w:tcW w:w="281" w:type="pct"/>
            <w:tcBorders>
              <w:top w:val="nil"/>
              <w:left w:val="nil"/>
              <w:bottom w:val="nil"/>
              <w:right w:val="nil"/>
            </w:tcBorders>
            <w:vAlign w:val="center"/>
            <w:hideMark/>
          </w:tcPr>
          <w:p w14:paraId="2598855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673FF1F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.72</w:t>
            </w:r>
          </w:p>
        </w:tc>
        <w:tc>
          <w:tcPr>
            <w:tcW w:w="410" w:type="pct"/>
            <w:tcBorders>
              <w:top w:val="nil"/>
              <w:left w:val="nil"/>
              <w:bottom w:val="nil"/>
              <w:right w:val="nil"/>
            </w:tcBorders>
            <w:vAlign w:val="center"/>
            <w:hideMark/>
          </w:tcPr>
          <w:p w14:paraId="1B331DC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717026A6" w14:textId="77777777" w:rsidTr="00AB3534">
        <w:tc>
          <w:tcPr>
            <w:tcW w:w="1655" w:type="pct"/>
            <w:tcBorders>
              <w:top w:val="nil"/>
              <w:left w:val="nil"/>
              <w:bottom w:val="nil"/>
              <w:right w:val="nil"/>
            </w:tcBorders>
            <w:vAlign w:val="center"/>
          </w:tcPr>
          <w:p w14:paraId="27F36DFA"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40CEC578"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 Post CPR Attitude</w:t>
            </w:r>
          </w:p>
        </w:tc>
        <w:tc>
          <w:tcPr>
            <w:tcW w:w="542" w:type="pct"/>
            <w:tcBorders>
              <w:top w:val="nil"/>
              <w:left w:val="nil"/>
              <w:bottom w:val="nil"/>
              <w:right w:val="nil"/>
            </w:tcBorders>
            <w:vAlign w:val="center"/>
            <w:hideMark/>
          </w:tcPr>
          <w:p w14:paraId="577A688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.50</w:t>
            </w:r>
          </w:p>
        </w:tc>
        <w:tc>
          <w:tcPr>
            <w:tcW w:w="281" w:type="pct"/>
            <w:tcBorders>
              <w:top w:val="nil"/>
              <w:left w:val="nil"/>
              <w:bottom w:val="nil"/>
              <w:right w:val="nil"/>
            </w:tcBorders>
            <w:vAlign w:val="center"/>
            <w:hideMark/>
          </w:tcPr>
          <w:p w14:paraId="0E08FE6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0A1381F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.83</w:t>
            </w:r>
          </w:p>
        </w:tc>
        <w:tc>
          <w:tcPr>
            <w:tcW w:w="410" w:type="pct"/>
            <w:tcBorders>
              <w:top w:val="nil"/>
              <w:left w:val="nil"/>
              <w:bottom w:val="nil"/>
              <w:right w:val="nil"/>
            </w:tcBorders>
            <w:vAlign w:val="center"/>
            <w:hideMark/>
          </w:tcPr>
          <w:p w14:paraId="296DB97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47EDFCAC" w14:textId="77777777" w:rsidTr="00AB3534">
        <w:tc>
          <w:tcPr>
            <w:tcW w:w="1655" w:type="pct"/>
            <w:tcBorders>
              <w:top w:val="nil"/>
              <w:left w:val="nil"/>
              <w:bottom w:val="nil"/>
              <w:right w:val="nil"/>
            </w:tcBorders>
            <w:vAlign w:val="center"/>
          </w:tcPr>
          <w:p w14:paraId="76879F25"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4BF13D8F"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 Post CPR Attitude</w:t>
            </w:r>
          </w:p>
        </w:tc>
        <w:tc>
          <w:tcPr>
            <w:tcW w:w="542" w:type="pct"/>
            <w:tcBorders>
              <w:top w:val="nil"/>
              <w:left w:val="nil"/>
              <w:bottom w:val="nil"/>
              <w:right w:val="nil"/>
            </w:tcBorders>
            <w:vAlign w:val="center"/>
            <w:hideMark/>
          </w:tcPr>
          <w:p w14:paraId="00D37F2E"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-.46</w:t>
            </w:r>
          </w:p>
        </w:tc>
        <w:tc>
          <w:tcPr>
            <w:tcW w:w="281" w:type="pct"/>
            <w:tcBorders>
              <w:top w:val="nil"/>
              <w:left w:val="nil"/>
              <w:bottom w:val="nil"/>
              <w:right w:val="nil"/>
            </w:tcBorders>
            <w:vAlign w:val="center"/>
            <w:hideMark/>
          </w:tcPr>
          <w:p w14:paraId="4CC2AE3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63A2A87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-.77</w:t>
            </w:r>
          </w:p>
        </w:tc>
        <w:tc>
          <w:tcPr>
            <w:tcW w:w="410" w:type="pct"/>
            <w:tcBorders>
              <w:top w:val="nil"/>
              <w:left w:val="nil"/>
              <w:bottom w:val="nil"/>
              <w:right w:val="nil"/>
            </w:tcBorders>
            <w:vAlign w:val="center"/>
            <w:hideMark/>
          </w:tcPr>
          <w:p w14:paraId="722671F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3682D2AE" w14:textId="77777777" w:rsidTr="00AB3534">
        <w:tc>
          <w:tcPr>
            <w:tcW w:w="1655" w:type="pct"/>
            <w:tcBorders>
              <w:top w:val="nil"/>
              <w:left w:val="nil"/>
              <w:bottom w:val="nil"/>
              <w:right w:val="nil"/>
            </w:tcBorders>
            <w:vAlign w:val="center"/>
          </w:tcPr>
          <w:p w14:paraId="10032F53"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653B38A6"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Post CPR Attitude</w:t>
            </w:r>
          </w:p>
        </w:tc>
        <w:tc>
          <w:tcPr>
            <w:tcW w:w="542" w:type="pct"/>
            <w:tcBorders>
              <w:top w:val="nil"/>
              <w:left w:val="nil"/>
              <w:bottom w:val="nil"/>
              <w:right w:val="nil"/>
            </w:tcBorders>
            <w:vAlign w:val="center"/>
            <w:hideMark/>
          </w:tcPr>
          <w:p w14:paraId="2BF92CA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2.50***</w:t>
            </w:r>
          </w:p>
        </w:tc>
        <w:tc>
          <w:tcPr>
            <w:tcW w:w="281" w:type="pct"/>
            <w:tcBorders>
              <w:top w:val="nil"/>
              <w:left w:val="nil"/>
              <w:bottom w:val="nil"/>
              <w:right w:val="nil"/>
            </w:tcBorders>
            <w:vAlign w:val="center"/>
            <w:hideMark/>
          </w:tcPr>
          <w:p w14:paraId="1133795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.28</w:t>
            </w:r>
          </w:p>
        </w:tc>
        <w:tc>
          <w:tcPr>
            <w:tcW w:w="390" w:type="pct"/>
            <w:tcBorders>
              <w:top w:val="nil"/>
              <w:left w:val="nil"/>
              <w:bottom w:val="nil"/>
              <w:right w:val="nil"/>
            </w:tcBorders>
            <w:vAlign w:val="center"/>
            <w:hideMark/>
          </w:tcPr>
          <w:p w14:paraId="7EC28A3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8.92</w:t>
            </w:r>
          </w:p>
        </w:tc>
        <w:tc>
          <w:tcPr>
            <w:tcW w:w="410" w:type="pct"/>
            <w:tcBorders>
              <w:top w:val="nil"/>
              <w:left w:val="nil"/>
              <w:bottom w:val="nil"/>
              <w:right w:val="nil"/>
            </w:tcBorders>
            <w:vAlign w:val="center"/>
            <w:hideMark/>
          </w:tcPr>
          <w:p w14:paraId="083D661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.000</w:t>
            </w:r>
          </w:p>
        </w:tc>
      </w:tr>
      <w:tr w:rsidR="00EE5072" w:rsidRPr="001F64A9" w14:paraId="21ED2DDC" w14:textId="77777777" w:rsidTr="00AB3534">
        <w:tc>
          <w:tcPr>
            <w:tcW w:w="1655" w:type="pct"/>
            <w:tcBorders>
              <w:top w:val="nil"/>
              <w:left w:val="nil"/>
              <w:bottom w:val="nil"/>
              <w:right w:val="nil"/>
            </w:tcBorders>
            <w:vAlign w:val="center"/>
          </w:tcPr>
          <w:p w14:paraId="53D931E1"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4E5B6851"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Post CPR Attitude</w:t>
            </w:r>
          </w:p>
        </w:tc>
        <w:tc>
          <w:tcPr>
            <w:tcW w:w="542" w:type="pct"/>
            <w:tcBorders>
              <w:top w:val="nil"/>
              <w:left w:val="nil"/>
              <w:bottom w:val="nil"/>
              <w:right w:val="nil"/>
            </w:tcBorders>
            <w:vAlign w:val="center"/>
            <w:hideMark/>
          </w:tcPr>
          <w:p w14:paraId="23BDD4A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.90</w:t>
            </w:r>
          </w:p>
        </w:tc>
        <w:tc>
          <w:tcPr>
            <w:tcW w:w="281" w:type="pct"/>
            <w:tcBorders>
              <w:top w:val="nil"/>
              <w:left w:val="nil"/>
              <w:bottom w:val="nil"/>
              <w:right w:val="nil"/>
            </w:tcBorders>
            <w:vAlign w:val="center"/>
            <w:hideMark/>
          </w:tcPr>
          <w:p w14:paraId="4492D8D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50966ED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1.50</w:t>
            </w:r>
          </w:p>
        </w:tc>
        <w:tc>
          <w:tcPr>
            <w:tcW w:w="410" w:type="pct"/>
            <w:tcBorders>
              <w:top w:val="nil"/>
              <w:left w:val="nil"/>
              <w:bottom w:val="nil"/>
              <w:right w:val="nil"/>
            </w:tcBorders>
            <w:vAlign w:val="center"/>
            <w:hideMark/>
          </w:tcPr>
          <w:p w14:paraId="36276F7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01ED8039" w14:textId="77777777" w:rsidTr="00AB3534">
        <w:tc>
          <w:tcPr>
            <w:tcW w:w="1655" w:type="pct"/>
            <w:tcBorders>
              <w:top w:val="nil"/>
              <w:left w:val="nil"/>
              <w:bottom w:val="nil"/>
              <w:right w:val="nil"/>
            </w:tcBorders>
            <w:vAlign w:val="center"/>
            <w:hideMark/>
          </w:tcPr>
          <w:p w14:paraId="230518C8"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Irrelevant-Pre CPR Attitude</w:t>
            </w:r>
          </w:p>
        </w:tc>
        <w:tc>
          <w:tcPr>
            <w:tcW w:w="1722" w:type="pct"/>
            <w:tcBorders>
              <w:top w:val="nil"/>
              <w:left w:val="nil"/>
              <w:bottom w:val="nil"/>
              <w:right w:val="nil"/>
            </w:tcBorders>
            <w:vAlign w:val="center"/>
            <w:hideMark/>
          </w:tcPr>
          <w:p w14:paraId="15946B8E"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 – Post CPR Attitude</w:t>
            </w:r>
          </w:p>
        </w:tc>
        <w:tc>
          <w:tcPr>
            <w:tcW w:w="542" w:type="pct"/>
            <w:tcBorders>
              <w:top w:val="nil"/>
              <w:left w:val="nil"/>
              <w:bottom w:val="nil"/>
              <w:right w:val="nil"/>
            </w:tcBorders>
            <w:vAlign w:val="center"/>
            <w:hideMark/>
          </w:tcPr>
          <w:p w14:paraId="79EED13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.06</w:t>
            </w:r>
          </w:p>
        </w:tc>
        <w:tc>
          <w:tcPr>
            <w:tcW w:w="281" w:type="pct"/>
            <w:tcBorders>
              <w:top w:val="nil"/>
              <w:left w:val="nil"/>
              <w:bottom w:val="nil"/>
              <w:right w:val="nil"/>
            </w:tcBorders>
            <w:vAlign w:val="center"/>
            <w:hideMark/>
          </w:tcPr>
          <w:p w14:paraId="59DD38BE"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16D6C45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.11</w:t>
            </w:r>
          </w:p>
        </w:tc>
        <w:tc>
          <w:tcPr>
            <w:tcW w:w="410" w:type="pct"/>
            <w:tcBorders>
              <w:top w:val="nil"/>
              <w:left w:val="nil"/>
              <w:bottom w:val="nil"/>
              <w:right w:val="nil"/>
            </w:tcBorders>
            <w:vAlign w:val="center"/>
            <w:hideMark/>
          </w:tcPr>
          <w:p w14:paraId="483705F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12BC22B7" w14:textId="77777777" w:rsidTr="00AB3534">
        <w:tc>
          <w:tcPr>
            <w:tcW w:w="1655" w:type="pct"/>
            <w:tcBorders>
              <w:top w:val="nil"/>
              <w:left w:val="nil"/>
              <w:bottom w:val="nil"/>
              <w:right w:val="nil"/>
            </w:tcBorders>
            <w:vAlign w:val="center"/>
          </w:tcPr>
          <w:p w14:paraId="0F5CBEDC"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7412C195"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 Post CPR Attitude</w:t>
            </w:r>
          </w:p>
        </w:tc>
        <w:tc>
          <w:tcPr>
            <w:tcW w:w="542" w:type="pct"/>
            <w:tcBorders>
              <w:top w:val="nil"/>
              <w:left w:val="nil"/>
              <w:bottom w:val="nil"/>
              <w:right w:val="nil"/>
            </w:tcBorders>
            <w:vAlign w:val="center"/>
            <w:hideMark/>
          </w:tcPr>
          <w:p w14:paraId="0E9962C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-.90</w:t>
            </w:r>
          </w:p>
        </w:tc>
        <w:tc>
          <w:tcPr>
            <w:tcW w:w="281" w:type="pct"/>
            <w:tcBorders>
              <w:top w:val="nil"/>
              <w:left w:val="nil"/>
              <w:bottom w:val="nil"/>
              <w:right w:val="nil"/>
            </w:tcBorders>
            <w:vAlign w:val="center"/>
            <w:hideMark/>
          </w:tcPr>
          <w:p w14:paraId="2D6FF4B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3B0BEAB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-1.51</w:t>
            </w:r>
          </w:p>
        </w:tc>
        <w:tc>
          <w:tcPr>
            <w:tcW w:w="410" w:type="pct"/>
            <w:tcBorders>
              <w:top w:val="nil"/>
              <w:left w:val="nil"/>
              <w:bottom w:val="nil"/>
              <w:right w:val="nil"/>
            </w:tcBorders>
            <w:vAlign w:val="center"/>
            <w:hideMark/>
          </w:tcPr>
          <w:p w14:paraId="53377CD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5A616D17" w14:textId="77777777" w:rsidTr="00AB3534">
        <w:tc>
          <w:tcPr>
            <w:tcW w:w="1655" w:type="pct"/>
            <w:tcBorders>
              <w:top w:val="nil"/>
              <w:left w:val="nil"/>
              <w:bottom w:val="nil"/>
              <w:right w:val="nil"/>
            </w:tcBorders>
            <w:vAlign w:val="center"/>
          </w:tcPr>
          <w:p w14:paraId="568C7037"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64B9CE7C"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Post CPR Attitude</w:t>
            </w:r>
          </w:p>
        </w:tc>
        <w:tc>
          <w:tcPr>
            <w:tcW w:w="542" w:type="pct"/>
            <w:tcBorders>
              <w:top w:val="nil"/>
              <w:left w:val="nil"/>
              <w:bottom w:val="nil"/>
              <w:right w:val="nil"/>
            </w:tcBorders>
            <w:vAlign w:val="center"/>
            <w:hideMark/>
          </w:tcPr>
          <w:p w14:paraId="4733697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2.06*</w:t>
            </w:r>
          </w:p>
        </w:tc>
        <w:tc>
          <w:tcPr>
            <w:tcW w:w="281" w:type="pct"/>
            <w:tcBorders>
              <w:top w:val="nil"/>
              <w:left w:val="nil"/>
              <w:bottom w:val="nil"/>
              <w:right w:val="nil"/>
            </w:tcBorders>
            <w:vAlign w:val="center"/>
            <w:hideMark/>
          </w:tcPr>
          <w:p w14:paraId="1A614B0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218814C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3.43</w:t>
            </w:r>
          </w:p>
        </w:tc>
        <w:tc>
          <w:tcPr>
            <w:tcW w:w="410" w:type="pct"/>
            <w:tcBorders>
              <w:top w:val="nil"/>
              <w:left w:val="nil"/>
              <w:bottom w:val="nil"/>
              <w:right w:val="nil"/>
            </w:tcBorders>
            <w:vAlign w:val="center"/>
            <w:hideMark/>
          </w:tcPr>
          <w:p w14:paraId="7C90CEF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.016</w:t>
            </w:r>
          </w:p>
        </w:tc>
      </w:tr>
      <w:tr w:rsidR="00EE5072" w:rsidRPr="001F64A9" w14:paraId="3CFA344B" w14:textId="77777777" w:rsidTr="00AB3534">
        <w:tc>
          <w:tcPr>
            <w:tcW w:w="1655" w:type="pct"/>
            <w:tcBorders>
              <w:top w:val="nil"/>
              <w:left w:val="nil"/>
              <w:bottom w:val="nil"/>
              <w:right w:val="nil"/>
            </w:tcBorders>
            <w:vAlign w:val="center"/>
          </w:tcPr>
          <w:p w14:paraId="66A2F993"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154D5DAA"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Post CPR Attitude</w:t>
            </w:r>
          </w:p>
        </w:tc>
        <w:tc>
          <w:tcPr>
            <w:tcW w:w="542" w:type="pct"/>
            <w:tcBorders>
              <w:top w:val="nil"/>
              <w:left w:val="nil"/>
              <w:bottom w:val="nil"/>
              <w:right w:val="nil"/>
            </w:tcBorders>
            <w:vAlign w:val="center"/>
            <w:hideMark/>
          </w:tcPr>
          <w:p w14:paraId="540EED64"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.46</w:t>
            </w:r>
          </w:p>
        </w:tc>
        <w:tc>
          <w:tcPr>
            <w:tcW w:w="281" w:type="pct"/>
            <w:tcBorders>
              <w:top w:val="nil"/>
              <w:left w:val="nil"/>
              <w:bottom w:val="nil"/>
              <w:right w:val="nil"/>
            </w:tcBorders>
            <w:vAlign w:val="center"/>
            <w:hideMark/>
          </w:tcPr>
          <w:p w14:paraId="5BB5FCB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.28</w:t>
            </w:r>
          </w:p>
        </w:tc>
        <w:tc>
          <w:tcPr>
            <w:tcW w:w="390" w:type="pct"/>
            <w:tcBorders>
              <w:top w:val="nil"/>
              <w:left w:val="nil"/>
              <w:bottom w:val="nil"/>
              <w:right w:val="nil"/>
            </w:tcBorders>
            <w:vAlign w:val="center"/>
            <w:hideMark/>
          </w:tcPr>
          <w:p w14:paraId="6FAD5EE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1.68</w:t>
            </w:r>
          </w:p>
        </w:tc>
        <w:tc>
          <w:tcPr>
            <w:tcW w:w="410" w:type="pct"/>
            <w:tcBorders>
              <w:top w:val="nil"/>
              <w:left w:val="nil"/>
              <w:bottom w:val="nil"/>
              <w:right w:val="nil"/>
            </w:tcBorders>
            <w:vAlign w:val="center"/>
            <w:hideMark/>
          </w:tcPr>
          <w:p w14:paraId="691DF2D8"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383D7C6F" w14:textId="77777777" w:rsidTr="00AB3534">
        <w:tc>
          <w:tcPr>
            <w:tcW w:w="1655" w:type="pct"/>
            <w:tcBorders>
              <w:top w:val="nil"/>
              <w:left w:val="nil"/>
              <w:bottom w:val="nil"/>
              <w:right w:val="nil"/>
            </w:tcBorders>
            <w:vAlign w:val="center"/>
            <w:hideMark/>
          </w:tcPr>
          <w:p w14:paraId="65B4E355"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Positive-Post CPR Attitude</w:t>
            </w:r>
          </w:p>
        </w:tc>
        <w:tc>
          <w:tcPr>
            <w:tcW w:w="1722" w:type="pct"/>
            <w:tcBorders>
              <w:top w:val="nil"/>
              <w:left w:val="nil"/>
              <w:bottom w:val="nil"/>
              <w:right w:val="nil"/>
            </w:tcBorders>
            <w:vAlign w:val="center"/>
            <w:hideMark/>
          </w:tcPr>
          <w:p w14:paraId="678215A9"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 – Post CPR Attitude</w:t>
            </w:r>
          </w:p>
        </w:tc>
        <w:tc>
          <w:tcPr>
            <w:tcW w:w="542" w:type="pct"/>
            <w:tcBorders>
              <w:top w:val="nil"/>
              <w:left w:val="nil"/>
              <w:bottom w:val="nil"/>
              <w:right w:val="nil"/>
            </w:tcBorders>
            <w:vAlign w:val="center"/>
            <w:hideMark/>
          </w:tcPr>
          <w:p w14:paraId="0485CFD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-.96</w:t>
            </w:r>
          </w:p>
        </w:tc>
        <w:tc>
          <w:tcPr>
            <w:tcW w:w="281" w:type="pct"/>
            <w:tcBorders>
              <w:top w:val="nil"/>
              <w:left w:val="nil"/>
              <w:bottom w:val="nil"/>
              <w:right w:val="nil"/>
            </w:tcBorders>
            <w:vAlign w:val="center"/>
            <w:hideMark/>
          </w:tcPr>
          <w:p w14:paraId="1C8202C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42B075B0"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-1.62</w:t>
            </w:r>
          </w:p>
        </w:tc>
        <w:tc>
          <w:tcPr>
            <w:tcW w:w="410" w:type="pct"/>
            <w:tcBorders>
              <w:top w:val="nil"/>
              <w:left w:val="nil"/>
              <w:bottom w:val="nil"/>
              <w:right w:val="nil"/>
            </w:tcBorders>
            <w:vAlign w:val="center"/>
            <w:hideMark/>
          </w:tcPr>
          <w:p w14:paraId="069FB70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242141B0" w14:textId="77777777" w:rsidTr="00AB3534">
        <w:tc>
          <w:tcPr>
            <w:tcW w:w="1655" w:type="pct"/>
            <w:tcBorders>
              <w:top w:val="nil"/>
              <w:left w:val="nil"/>
              <w:bottom w:val="nil"/>
              <w:right w:val="nil"/>
            </w:tcBorders>
            <w:vAlign w:val="center"/>
          </w:tcPr>
          <w:p w14:paraId="29DB6F97"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6254AF59"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Post CPR Attitude</w:t>
            </w:r>
          </w:p>
        </w:tc>
        <w:tc>
          <w:tcPr>
            <w:tcW w:w="542" w:type="pct"/>
            <w:tcBorders>
              <w:top w:val="nil"/>
              <w:left w:val="nil"/>
              <w:bottom w:val="nil"/>
              <w:right w:val="nil"/>
            </w:tcBorders>
            <w:vAlign w:val="center"/>
            <w:hideMark/>
          </w:tcPr>
          <w:p w14:paraId="65D7CBB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2.00*</w:t>
            </w:r>
          </w:p>
        </w:tc>
        <w:tc>
          <w:tcPr>
            <w:tcW w:w="281" w:type="pct"/>
            <w:tcBorders>
              <w:top w:val="nil"/>
              <w:left w:val="nil"/>
              <w:bottom w:val="nil"/>
              <w:right w:val="nil"/>
            </w:tcBorders>
            <w:vAlign w:val="center"/>
            <w:hideMark/>
          </w:tcPr>
          <w:p w14:paraId="22AEF1E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2C836DF5"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3.34</w:t>
            </w:r>
          </w:p>
        </w:tc>
        <w:tc>
          <w:tcPr>
            <w:tcW w:w="410" w:type="pct"/>
            <w:tcBorders>
              <w:top w:val="nil"/>
              <w:left w:val="nil"/>
              <w:bottom w:val="nil"/>
              <w:right w:val="nil"/>
            </w:tcBorders>
            <w:vAlign w:val="center"/>
            <w:hideMark/>
          </w:tcPr>
          <w:p w14:paraId="491E229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.021</w:t>
            </w:r>
          </w:p>
        </w:tc>
      </w:tr>
      <w:tr w:rsidR="00EE5072" w:rsidRPr="001F64A9" w14:paraId="563642E1" w14:textId="77777777" w:rsidTr="00AB3534">
        <w:tc>
          <w:tcPr>
            <w:tcW w:w="1655" w:type="pct"/>
            <w:tcBorders>
              <w:top w:val="nil"/>
              <w:left w:val="nil"/>
              <w:bottom w:val="nil"/>
              <w:right w:val="nil"/>
            </w:tcBorders>
            <w:vAlign w:val="center"/>
          </w:tcPr>
          <w:p w14:paraId="2AE1C013"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31926927"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Post CPR Attitude</w:t>
            </w:r>
          </w:p>
        </w:tc>
        <w:tc>
          <w:tcPr>
            <w:tcW w:w="542" w:type="pct"/>
            <w:tcBorders>
              <w:top w:val="nil"/>
              <w:left w:val="nil"/>
              <w:bottom w:val="nil"/>
              <w:right w:val="nil"/>
            </w:tcBorders>
            <w:vAlign w:val="center"/>
            <w:hideMark/>
          </w:tcPr>
          <w:p w14:paraId="58D8C53F"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.40</w:t>
            </w:r>
          </w:p>
        </w:tc>
        <w:tc>
          <w:tcPr>
            <w:tcW w:w="281" w:type="pct"/>
            <w:tcBorders>
              <w:top w:val="nil"/>
              <w:left w:val="nil"/>
              <w:bottom w:val="nil"/>
              <w:right w:val="nil"/>
            </w:tcBorders>
            <w:vAlign w:val="center"/>
            <w:hideMark/>
          </w:tcPr>
          <w:p w14:paraId="0F13F80D"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0C1FCF5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.68</w:t>
            </w:r>
          </w:p>
        </w:tc>
        <w:tc>
          <w:tcPr>
            <w:tcW w:w="410" w:type="pct"/>
            <w:tcBorders>
              <w:top w:val="nil"/>
              <w:left w:val="nil"/>
              <w:bottom w:val="nil"/>
              <w:right w:val="nil"/>
            </w:tcBorders>
            <w:vAlign w:val="center"/>
            <w:hideMark/>
          </w:tcPr>
          <w:p w14:paraId="3B62BE96"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1.000</w:t>
            </w:r>
          </w:p>
        </w:tc>
      </w:tr>
      <w:tr w:rsidR="00EE5072" w:rsidRPr="001F64A9" w14:paraId="339B6473" w14:textId="77777777" w:rsidTr="00AB3534">
        <w:tc>
          <w:tcPr>
            <w:tcW w:w="1655" w:type="pct"/>
            <w:tcBorders>
              <w:top w:val="nil"/>
              <w:left w:val="nil"/>
              <w:bottom w:val="nil"/>
              <w:right w:val="nil"/>
            </w:tcBorders>
            <w:vAlign w:val="center"/>
            <w:hideMark/>
          </w:tcPr>
          <w:p w14:paraId="7AB08907"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Negative-Post CPR Attitude</w:t>
            </w:r>
          </w:p>
        </w:tc>
        <w:tc>
          <w:tcPr>
            <w:tcW w:w="1722" w:type="pct"/>
            <w:tcBorders>
              <w:top w:val="nil"/>
              <w:left w:val="nil"/>
              <w:bottom w:val="nil"/>
              <w:right w:val="nil"/>
            </w:tcBorders>
            <w:vAlign w:val="center"/>
            <w:hideMark/>
          </w:tcPr>
          <w:p w14:paraId="6185C2D5"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 - Post CPR Attitude</w:t>
            </w:r>
          </w:p>
        </w:tc>
        <w:tc>
          <w:tcPr>
            <w:tcW w:w="542" w:type="pct"/>
            <w:tcBorders>
              <w:top w:val="nil"/>
              <w:left w:val="nil"/>
              <w:bottom w:val="nil"/>
              <w:right w:val="nil"/>
            </w:tcBorders>
            <w:vAlign w:val="center"/>
            <w:hideMark/>
          </w:tcPr>
          <w:p w14:paraId="639057CB"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2.96***</w:t>
            </w:r>
          </w:p>
        </w:tc>
        <w:tc>
          <w:tcPr>
            <w:tcW w:w="281" w:type="pct"/>
            <w:tcBorders>
              <w:top w:val="nil"/>
              <w:left w:val="nil"/>
              <w:bottom w:val="nil"/>
              <w:right w:val="nil"/>
            </w:tcBorders>
            <w:vAlign w:val="center"/>
            <w:hideMark/>
          </w:tcPr>
          <w:p w14:paraId="3384EE9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0DC233F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4.94</w:t>
            </w:r>
          </w:p>
        </w:tc>
        <w:tc>
          <w:tcPr>
            <w:tcW w:w="410" w:type="pct"/>
            <w:tcBorders>
              <w:top w:val="nil"/>
              <w:left w:val="nil"/>
              <w:bottom w:val="nil"/>
              <w:right w:val="nil"/>
            </w:tcBorders>
            <w:vAlign w:val="center"/>
            <w:hideMark/>
          </w:tcPr>
          <w:p w14:paraId="6E50FA33"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.000</w:t>
            </w:r>
          </w:p>
        </w:tc>
      </w:tr>
      <w:tr w:rsidR="00EE5072" w:rsidRPr="001F64A9" w14:paraId="5D3A3D66" w14:textId="77777777" w:rsidTr="00AB3534">
        <w:tc>
          <w:tcPr>
            <w:tcW w:w="1655" w:type="pct"/>
            <w:tcBorders>
              <w:top w:val="nil"/>
              <w:left w:val="nil"/>
              <w:bottom w:val="nil"/>
              <w:right w:val="nil"/>
            </w:tcBorders>
            <w:vAlign w:val="center"/>
          </w:tcPr>
          <w:p w14:paraId="6B69553C" w14:textId="77777777" w:rsidR="00EE5072" w:rsidRPr="001F64A9" w:rsidRDefault="00EE5072" w:rsidP="00AB3534">
            <w:pPr>
              <w:spacing w:line="360" w:lineRule="auto"/>
              <w:rPr>
                <w:rFonts w:asciiTheme="majorBidi" w:eastAsia="Times New Roman" w:hAnsiTheme="majorBidi" w:cstheme="majorBidi"/>
                <w:szCs w:val="24"/>
              </w:rPr>
            </w:pPr>
          </w:p>
        </w:tc>
        <w:tc>
          <w:tcPr>
            <w:tcW w:w="1722" w:type="pct"/>
            <w:tcBorders>
              <w:top w:val="nil"/>
              <w:left w:val="nil"/>
              <w:bottom w:val="nil"/>
              <w:right w:val="nil"/>
            </w:tcBorders>
            <w:vAlign w:val="center"/>
            <w:hideMark/>
          </w:tcPr>
          <w:p w14:paraId="42F7C73F"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Post CPR Attitude</w:t>
            </w:r>
          </w:p>
        </w:tc>
        <w:tc>
          <w:tcPr>
            <w:tcW w:w="542" w:type="pct"/>
            <w:tcBorders>
              <w:top w:val="nil"/>
              <w:left w:val="nil"/>
              <w:bottom w:val="nil"/>
              <w:right w:val="nil"/>
            </w:tcBorders>
            <w:vAlign w:val="center"/>
            <w:hideMark/>
          </w:tcPr>
          <w:p w14:paraId="36A39DD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1.36</w:t>
            </w:r>
          </w:p>
        </w:tc>
        <w:tc>
          <w:tcPr>
            <w:tcW w:w="281" w:type="pct"/>
            <w:tcBorders>
              <w:top w:val="nil"/>
              <w:left w:val="nil"/>
              <w:bottom w:val="nil"/>
              <w:right w:val="nil"/>
            </w:tcBorders>
            <w:vAlign w:val="center"/>
            <w:hideMark/>
          </w:tcPr>
          <w:p w14:paraId="3DEA444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nil"/>
              <w:right w:val="nil"/>
            </w:tcBorders>
            <w:vAlign w:val="center"/>
            <w:hideMark/>
          </w:tcPr>
          <w:p w14:paraId="5F4A1A1A"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2.29</w:t>
            </w:r>
          </w:p>
        </w:tc>
        <w:tc>
          <w:tcPr>
            <w:tcW w:w="410" w:type="pct"/>
            <w:tcBorders>
              <w:top w:val="nil"/>
              <w:left w:val="nil"/>
              <w:bottom w:val="nil"/>
              <w:right w:val="nil"/>
            </w:tcBorders>
            <w:vAlign w:val="center"/>
            <w:hideMark/>
          </w:tcPr>
          <w:p w14:paraId="38D84E22"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.450</w:t>
            </w:r>
          </w:p>
        </w:tc>
      </w:tr>
      <w:tr w:rsidR="00EE5072" w:rsidRPr="001F64A9" w14:paraId="34ADF380" w14:textId="77777777" w:rsidTr="00AB3534">
        <w:tc>
          <w:tcPr>
            <w:tcW w:w="1655" w:type="pct"/>
            <w:tcBorders>
              <w:top w:val="nil"/>
              <w:left w:val="nil"/>
              <w:bottom w:val="single" w:sz="4" w:space="0" w:color="auto"/>
              <w:right w:val="nil"/>
            </w:tcBorders>
            <w:vAlign w:val="center"/>
            <w:hideMark/>
          </w:tcPr>
          <w:p w14:paraId="1E526419"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Education-Post CPR Attitude</w:t>
            </w:r>
          </w:p>
        </w:tc>
        <w:tc>
          <w:tcPr>
            <w:tcW w:w="1722" w:type="pct"/>
            <w:tcBorders>
              <w:top w:val="nil"/>
              <w:left w:val="nil"/>
              <w:bottom w:val="single" w:sz="4" w:space="0" w:color="auto"/>
              <w:right w:val="nil"/>
            </w:tcBorders>
            <w:vAlign w:val="center"/>
            <w:hideMark/>
          </w:tcPr>
          <w:p w14:paraId="59D6D817" w14:textId="77777777" w:rsidR="00EE5072" w:rsidRPr="001F64A9" w:rsidRDefault="00EE5072" w:rsidP="00AB3534">
            <w:pPr>
              <w:spacing w:line="360" w:lineRule="auto"/>
              <w:rPr>
                <w:rFonts w:asciiTheme="majorBidi" w:eastAsia="Times New Roman" w:hAnsiTheme="majorBidi" w:cstheme="majorBidi"/>
                <w:szCs w:val="24"/>
              </w:rPr>
            </w:pPr>
            <w:r w:rsidRPr="001F64A9">
              <w:rPr>
                <w:rFonts w:asciiTheme="majorBidi" w:eastAsia="Times New Roman" w:hAnsiTheme="majorBidi" w:cstheme="majorBidi"/>
                <w:szCs w:val="24"/>
              </w:rPr>
              <w:t>Irrelevant – Post CPR Attitude</w:t>
            </w:r>
          </w:p>
        </w:tc>
        <w:tc>
          <w:tcPr>
            <w:tcW w:w="542" w:type="pct"/>
            <w:tcBorders>
              <w:top w:val="nil"/>
              <w:left w:val="nil"/>
              <w:bottom w:val="single" w:sz="4" w:space="0" w:color="auto"/>
              <w:right w:val="nil"/>
            </w:tcBorders>
            <w:vAlign w:val="center"/>
            <w:hideMark/>
          </w:tcPr>
          <w:p w14:paraId="222CCF5C"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-1.60</w:t>
            </w:r>
          </w:p>
        </w:tc>
        <w:tc>
          <w:tcPr>
            <w:tcW w:w="281" w:type="pct"/>
            <w:tcBorders>
              <w:top w:val="nil"/>
              <w:left w:val="nil"/>
              <w:bottom w:val="single" w:sz="4" w:space="0" w:color="auto"/>
              <w:right w:val="nil"/>
            </w:tcBorders>
            <w:vAlign w:val="center"/>
            <w:hideMark/>
          </w:tcPr>
          <w:p w14:paraId="2C1BD091"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.60</w:t>
            </w:r>
          </w:p>
        </w:tc>
        <w:tc>
          <w:tcPr>
            <w:tcW w:w="390" w:type="pct"/>
            <w:tcBorders>
              <w:top w:val="nil"/>
              <w:left w:val="nil"/>
              <w:bottom w:val="single" w:sz="4" w:space="0" w:color="auto"/>
              <w:right w:val="nil"/>
            </w:tcBorders>
            <w:vAlign w:val="center"/>
            <w:hideMark/>
          </w:tcPr>
          <w:p w14:paraId="421D23D7"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-2.66</w:t>
            </w:r>
          </w:p>
        </w:tc>
        <w:tc>
          <w:tcPr>
            <w:tcW w:w="410" w:type="pct"/>
            <w:tcBorders>
              <w:top w:val="nil"/>
              <w:left w:val="nil"/>
              <w:bottom w:val="single" w:sz="4" w:space="0" w:color="auto"/>
              <w:right w:val="nil"/>
            </w:tcBorders>
            <w:vAlign w:val="center"/>
            <w:hideMark/>
          </w:tcPr>
          <w:p w14:paraId="72F4CEC9" w14:textId="77777777" w:rsidR="00EE5072" w:rsidRPr="001F64A9" w:rsidRDefault="00EE5072" w:rsidP="00AB3534">
            <w:pPr>
              <w:spacing w:line="360" w:lineRule="auto"/>
              <w:jc w:val="center"/>
              <w:rPr>
                <w:rFonts w:asciiTheme="majorBidi" w:eastAsia="Times New Roman" w:hAnsiTheme="majorBidi" w:cstheme="majorBidi"/>
                <w:szCs w:val="24"/>
              </w:rPr>
            </w:pPr>
            <w:r w:rsidRPr="001F64A9">
              <w:rPr>
                <w:rFonts w:asciiTheme="majorBidi" w:eastAsia="Times New Roman" w:hAnsiTheme="majorBidi" w:cstheme="majorBidi"/>
                <w:szCs w:val="24"/>
              </w:rPr>
              <w:t>.169</w:t>
            </w:r>
          </w:p>
        </w:tc>
      </w:tr>
    </w:tbl>
    <w:p w14:paraId="0A75509F" w14:textId="1063405B" w:rsidR="00EE5072" w:rsidRPr="001F64A9" w:rsidRDefault="00EE5072">
      <w:pPr>
        <w:rPr>
          <w:rFonts w:asciiTheme="majorBidi" w:eastAsia="Times New Roman" w:hAnsiTheme="majorBidi" w:cstheme="majorBidi"/>
          <w:bCs/>
          <w:sz w:val="20"/>
          <w:szCs w:val="20"/>
        </w:rPr>
      </w:pPr>
      <w:r w:rsidRPr="001F64A9">
        <w:rPr>
          <w:rFonts w:asciiTheme="majorBidi" w:hAnsiTheme="majorBidi" w:cstheme="majorBidi"/>
          <w:i/>
          <w:iCs/>
          <w:sz w:val="20"/>
          <w:szCs w:val="20"/>
        </w:rPr>
        <w:t xml:space="preserve">Note. </w:t>
      </w:r>
      <w:r w:rsidRPr="001F64A9">
        <w:rPr>
          <w:rFonts w:asciiTheme="majorBidi" w:eastAsia="Times New Roman" w:hAnsiTheme="majorBidi" w:cstheme="majorBidi"/>
          <w:bCs/>
          <w:sz w:val="20"/>
          <w:szCs w:val="20"/>
        </w:rPr>
        <w:t>*</w:t>
      </w:r>
      <w:r w:rsidRPr="001F64A9">
        <w:rPr>
          <w:rFonts w:asciiTheme="majorBidi" w:eastAsia="Times New Roman" w:hAnsiTheme="majorBidi" w:cstheme="majorBidi"/>
          <w:bCs/>
          <w:i/>
          <w:iCs/>
          <w:sz w:val="20"/>
          <w:szCs w:val="20"/>
        </w:rPr>
        <w:t>p</w:t>
      </w:r>
      <w:r w:rsidRPr="001F64A9">
        <w:rPr>
          <w:rFonts w:asciiTheme="majorBidi" w:eastAsia="Times New Roman" w:hAnsiTheme="majorBidi" w:cstheme="majorBidi"/>
          <w:bCs/>
          <w:sz w:val="20"/>
          <w:szCs w:val="20"/>
        </w:rPr>
        <w:t xml:space="preserve"> &lt; .05, ***</w:t>
      </w:r>
      <w:r w:rsidRPr="001F64A9">
        <w:rPr>
          <w:rFonts w:asciiTheme="majorBidi" w:eastAsia="Times New Roman" w:hAnsiTheme="majorBidi" w:cstheme="majorBidi"/>
          <w:bCs/>
          <w:i/>
          <w:iCs/>
          <w:sz w:val="20"/>
          <w:szCs w:val="20"/>
        </w:rPr>
        <w:t>p</w:t>
      </w:r>
      <w:r w:rsidRPr="001F64A9">
        <w:rPr>
          <w:rFonts w:asciiTheme="majorBidi" w:eastAsia="Times New Roman" w:hAnsiTheme="majorBidi" w:cstheme="majorBidi"/>
          <w:bCs/>
          <w:sz w:val="20"/>
          <w:szCs w:val="20"/>
        </w:rPr>
        <w:t xml:space="preserve"> &lt; .001</w:t>
      </w:r>
    </w:p>
    <w:p w14:paraId="07A7D6AE" w14:textId="4CE393E6" w:rsidR="00EE5072" w:rsidRPr="001F64A9" w:rsidRDefault="00EE5072">
      <w:pPr>
        <w:spacing w:line="259" w:lineRule="auto"/>
        <w:rPr>
          <w:rFonts w:asciiTheme="majorBidi" w:eastAsia="Times New Roman" w:hAnsiTheme="majorBidi" w:cstheme="majorBidi"/>
          <w:bCs/>
          <w:sz w:val="20"/>
          <w:szCs w:val="20"/>
        </w:rPr>
      </w:pPr>
      <w:r w:rsidRPr="001F64A9">
        <w:rPr>
          <w:rFonts w:asciiTheme="majorBidi" w:eastAsia="Times New Roman" w:hAnsiTheme="majorBidi" w:cstheme="majorBidi"/>
          <w:bCs/>
          <w:sz w:val="20"/>
          <w:szCs w:val="20"/>
        </w:rPr>
        <w:br w:type="page"/>
      </w:r>
    </w:p>
    <w:p w14:paraId="6AF3CEEB"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lastRenderedPageBreak/>
        <w:t>Table 20</w:t>
      </w:r>
    </w:p>
    <w:p w14:paraId="2655EBEF" w14:textId="77777777" w:rsidR="00EE5072" w:rsidRPr="001F64A9" w:rsidRDefault="00EE5072" w:rsidP="00EE5072">
      <w:pPr>
        <w:rPr>
          <w:rFonts w:asciiTheme="majorBidi" w:hAnsiTheme="majorBidi" w:cstheme="majorBidi"/>
          <w:i/>
          <w:iCs/>
          <w:sz w:val="24"/>
          <w:szCs w:val="24"/>
        </w:rPr>
      </w:pPr>
      <w:r w:rsidRPr="001F64A9">
        <w:rPr>
          <w:rFonts w:asciiTheme="majorBidi" w:hAnsiTheme="majorBidi" w:cstheme="majorBidi"/>
          <w:i/>
          <w:iCs/>
          <w:sz w:val="24"/>
          <w:szCs w:val="24"/>
        </w:rPr>
        <w:t>IRT Properties of DNR Knowledge Scale in Experiment 2</w:t>
      </w:r>
    </w:p>
    <w:tbl>
      <w:tblPr>
        <w:tblW w:w="0" w:type="auto"/>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36"/>
        <w:gridCol w:w="4726"/>
        <w:gridCol w:w="1262"/>
        <w:gridCol w:w="1714"/>
        <w:gridCol w:w="1194"/>
      </w:tblGrid>
      <w:tr w:rsidR="00EE5072" w:rsidRPr="001F64A9" w14:paraId="366A6C70" w14:textId="77777777" w:rsidTr="00AB3534">
        <w:trPr>
          <w:trHeight w:val="60"/>
        </w:trPr>
        <w:tc>
          <w:tcPr>
            <w:tcW w:w="0" w:type="auto"/>
            <w:vMerge w:val="restart"/>
            <w:tcBorders>
              <w:top w:val="single" w:sz="8" w:space="0" w:color="000000"/>
              <w:left w:val="single" w:sz="8" w:space="0" w:color="000000"/>
              <w:bottom w:val="single" w:sz="8" w:space="0" w:color="000000"/>
              <w:right w:val="single" w:sz="8" w:space="0" w:color="000000"/>
            </w:tcBorders>
          </w:tcPr>
          <w:p w14:paraId="4948EC4B" w14:textId="77777777" w:rsidR="00EE5072" w:rsidRPr="001F64A9" w:rsidRDefault="00EE5072" w:rsidP="00AB3534">
            <w:pPr>
              <w:widowControl w:val="0"/>
              <w:spacing w:after="0" w:line="240" w:lineRule="auto"/>
              <w:rPr>
                <w:rFonts w:asciiTheme="majorBidi" w:eastAsia="Times New Roman" w:hAnsiTheme="majorBidi" w:cstheme="majorBidi"/>
                <w:b/>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9DC321" w14:textId="77777777" w:rsidR="00EE5072" w:rsidRPr="001F64A9" w:rsidRDefault="00EE5072" w:rsidP="00AB3534">
            <w:pPr>
              <w:widowControl w:val="0"/>
              <w:spacing w:after="0" w:line="240" w:lineRule="auto"/>
              <w:rPr>
                <w:rFonts w:asciiTheme="majorBidi" w:eastAsia="Times New Roman" w:hAnsiTheme="majorBidi" w:cstheme="majorBidi"/>
                <w:b/>
              </w:rPr>
            </w:pPr>
            <w:r w:rsidRPr="001F64A9">
              <w:rPr>
                <w:rFonts w:asciiTheme="majorBidi" w:eastAsia="Times New Roman" w:hAnsiTheme="majorBidi" w:cstheme="majorBidi"/>
                <w:bCs/>
              </w:rPr>
              <w:t>Items</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538035" w14:textId="77777777" w:rsidR="00EE5072" w:rsidRPr="001F64A9" w:rsidRDefault="00EE5072" w:rsidP="00AB3534">
            <w:pPr>
              <w:widowControl w:val="0"/>
              <w:spacing w:after="0" w:line="240" w:lineRule="auto"/>
              <w:jc w:val="center"/>
              <w:rPr>
                <w:rFonts w:asciiTheme="majorBidi" w:eastAsia="Times New Roman" w:hAnsiTheme="majorBidi" w:cstheme="majorBidi"/>
                <w:b/>
              </w:rPr>
            </w:pPr>
            <w:r w:rsidRPr="001F64A9">
              <w:rPr>
                <w:rFonts w:asciiTheme="majorBidi" w:eastAsia="Times New Roman" w:hAnsiTheme="majorBidi" w:cstheme="majorBidi"/>
                <w:b/>
              </w:rPr>
              <w:t>IRT Properties</w:t>
            </w:r>
          </w:p>
        </w:tc>
      </w:tr>
      <w:tr w:rsidR="00EE5072" w:rsidRPr="001F64A9" w14:paraId="6FC1E252" w14:textId="77777777" w:rsidTr="00AB3534">
        <w:trPr>
          <w:trHeight w:val="31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BCECFD8" w14:textId="77777777" w:rsidR="00EE5072" w:rsidRPr="001F64A9" w:rsidRDefault="00EE5072" w:rsidP="00AB3534">
            <w:pPr>
              <w:spacing w:after="0"/>
              <w:rPr>
                <w:rFonts w:asciiTheme="majorBidi" w:eastAsia="Times New Roman" w:hAnsiTheme="majorBidi" w:cstheme="majorBidi"/>
                <w: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084C10" w14:textId="77777777" w:rsidR="00EE5072" w:rsidRPr="001F64A9" w:rsidRDefault="00EE5072" w:rsidP="00AB3534">
            <w:pPr>
              <w:spacing w:after="0"/>
              <w:rPr>
                <w:rFonts w:asciiTheme="majorBidi" w:eastAsia="Times New Roman" w:hAnsiTheme="majorBidi" w:cstheme="majorBidi"/>
                <w: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5ADD4D" w14:textId="77777777" w:rsidR="00EE5072" w:rsidRPr="001F64A9" w:rsidRDefault="00EE5072" w:rsidP="00AB3534">
            <w:pPr>
              <w:widowControl w:val="0"/>
              <w:spacing w:after="0" w:line="240" w:lineRule="auto"/>
              <w:jc w:val="center"/>
              <w:rPr>
                <w:rFonts w:asciiTheme="majorBidi" w:eastAsia="Times New Roman" w:hAnsiTheme="majorBidi" w:cstheme="majorBidi"/>
                <w:bCs/>
              </w:rPr>
            </w:pPr>
            <w:r w:rsidRPr="001F64A9">
              <w:rPr>
                <w:rFonts w:asciiTheme="majorBidi" w:eastAsia="Times New Roman" w:hAnsiTheme="majorBidi" w:cstheme="majorBidi"/>
                <w:bCs/>
              </w:rPr>
              <w:t>Difficulty Index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E8A480" w14:textId="77777777" w:rsidR="00EE5072" w:rsidRPr="001F64A9" w:rsidRDefault="00EE5072" w:rsidP="00AB3534">
            <w:pPr>
              <w:widowControl w:val="0"/>
              <w:spacing w:after="0" w:line="240" w:lineRule="auto"/>
              <w:jc w:val="center"/>
              <w:rPr>
                <w:rFonts w:asciiTheme="majorBidi" w:eastAsia="Times New Roman" w:hAnsiTheme="majorBidi" w:cstheme="majorBidi"/>
                <w:bCs/>
              </w:rPr>
            </w:pPr>
            <w:r w:rsidRPr="001F64A9">
              <w:rPr>
                <w:rFonts w:asciiTheme="majorBidi" w:eastAsia="Times New Roman" w:hAnsiTheme="majorBidi" w:cstheme="majorBidi"/>
                <w:bCs/>
              </w:rPr>
              <w:t>Discrimination Index</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8FB6797" w14:textId="77777777" w:rsidR="00EE5072" w:rsidRPr="001F64A9" w:rsidRDefault="00EE5072" w:rsidP="00AB3534">
            <w:pPr>
              <w:widowControl w:val="0"/>
              <w:spacing w:after="0" w:line="240" w:lineRule="auto"/>
              <w:jc w:val="center"/>
              <w:rPr>
                <w:rFonts w:asciiTheme="majorBidi" w:eastAsia="Times New Roman" w:hAnsiTheme="majorBidi" w:cstheme="majorBidi"/>
                <w:bCs/>
              </w:rPr>
            </w:pPr>
            <w:r w:rsidRPr="001F64A9">
              <w:rPr>
                <w:rFonts w:asciiTheme="majorBidi" w:eastAsia="Times New Roman" w:hAnsiTheme="majorBidi" w:cstheme="majorBidi"/>
                <w:bCs/>
              </w:rPr>
              <w:t>Probability</w:t>
            </w:r>
          </w:p>
        </w:tc>
      </w:tr>
      <w:tr w:rsidR="00EE5072" w:rsidRPr="001F64A9" w14:paraId="35247740" w14:textId="77777777" w:rsidTr="00AB3534">
        <w:trPr>
          <w:trHeight w:val="483"/>
        </w:trPr>
        <w:tc>
          <w:tcPr>
            <w:tcW w:w="0" w:type="auto"/>
            <w:tcBorders>
              <w:top w:val="single" w:sz="8" w:space="0" w:color="000000"/>
              <w:left w:val="single" w:sz="8" w:space="0" w:color="000000"/>
              <w:bottom w:val="single" w:sz="8" w:space="0" w:color="000000"/>
              <w:right w:val="single" w:sz="8" w:space="0" w:color="000000"/>
            </w:tcBorders>
            <w:hideMark/>
          </w:tcPr>
          <w:p w14:paraId="7C145527"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13B2A1"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Do not resuscitate orders (DNR) are not official medical documents. (R)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B88EE7"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-1.11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4EE12C"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1.30</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1214A19"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.81</w:t>
            </w:r>
          </w:p>
        </w:tc>
      </w:tr>
      <w:tr w:rsidR="00EE5072" w:rsidRPr="001F64A9" w14:paraId="5DE601B9" w14:textId="77777777" w:rsidTr="00AB3534">
        <w:tc>
          <w:tcPr>
            <w:tcW w:w="0" w:type="auto"/>
            <w:tcBorders>
              <w:top w:val="single" w:sz="8" w:space="0" w:color="000000"/>
              <w:left w:val="single" w:sz="8" w:space="0" w:color="000000"/>
              <w:bottom w:val="single" w:sz="8" w:space="0" w:color="000000"/>
              <w:right w:val="single" w:sz="8" w:space="0" w:color="000000"/>
            </w:tcBorders>
            <w:hideMark/>
          </w:tcPr>
          <w:p w14:paraId="52FFA7BE"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D30787"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Cardiopulmonary resuscitation (CPR) includes chest compression and artificial ventilation.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D4A847"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-1.72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48644A"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1.35</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73C4312"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.91</w:t>
            </w:r>
          </w:p>
        </w:tc>
      </w:tr>
      <w:tr w:rsidR="00EE5072" w:rsidRPr="001F64A9" w14:paraId="453E0B59" w14:textId="77777777" w:rsidTr="00AB3534">
        <w:tc>
          <w:tcPr>
            <w:tcW w:w="0" w:type="auto"/>
            <w:tcBorders>
              <w:top w:val="single" w:sz="8" w:space="0" w:color="000000"/>
              <w:left w:val="single" w:sz="8" w:space="0" w:color="000000"/>
              <w:bottom w:val="single" w:sz="8" w:space="0" w:color="000000"/>
              <w:right w:val="single" w:sz="8" w:space="0" w:color="000000"/>
            </w:tcBorders>
            <w:hideMark/>
          </w:tcPr>
          <w:p w14:paraId="5BDCFD88"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F736C1"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Do not resuscitate orders (DNR) sabotage individuals’ right to exercise control over their medical care wishes. (R)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FC569D"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eastAsia="Times New Roman" w:hAnsiTheme="majorBidi" w:cstheme="majorBidi"/>
              </w:rPr>
              <w:t>-1.19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93B054"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eastAsia="Times New Roman" w:hAnsiTheme="majorBidi" w:cstheme="majorBidi"/>
              </w:rPr>
              <w:t>1.58</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4E08AEA"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.87</w:t>
            </w:r>
          </w:p>
        </w:tc>
      </w:tr>
      <w:tr w:rsidR="00EE5072" w:rsidRPr="001F64A9" w14:paraId="57BCE6A0" w14:textId="77777777" w:rsidTr="00AB3534">
        <w:trPr>
          <w:trHeight w:val="303"/>
        </w:trPr>
        <w:tc>
          <w:tcPr>
            <w:tcW w:w="0" w:type="auto"/>
            <w:tcBorders>
              <w:top w:val="single" w:sz="8" w:space="0" w:color="000000"/>
              <w:left w:val="single" w:sz="8" w:space="0" w:color="000000"/>
              <w:bottom w:val="single" w:sz="8" w:space="0" w:color="000000"/>
              <w:right w:val="single" w:sz="8" w:space="0" w:color="000000"/>
            </w:tcBorders>
            <w:hideMark/>
          </w:tcPr>
          <w:p w14:paraId="78463516"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6F9271"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A do-not-resuscitate (DNR) order is an order not to apply cardiopulmonary resuscitation (CPR).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51BFDC"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-1.30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3A2758"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eastAsia="Times New Roman" w:hAnsiTheme="majorBidi" w:cstheme="majorBidi"/>
              </w:rPr>
              <w:t>.82</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40465AA"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.74</w:t>
            </w:r>
          </w:p>
        </w:tc>
      </w:tr>
      <w:tr w:rsidR="00EE5072" w:rsidRPr="001F64A9" w14:paraId="50158D67" w14:textId="77777777" w:rsidTr="00AB3534">
        <w:tc>
          <w:tcPr>
            <w:tcW w:w="0" w:type="auto"/>
            <w:tcBorders>
              <w:top w:val="single" w:sz="8" w:space="0" w:color="000000"/>
              <w:left w:val="single" w:sz="8" w:space="0" w:color="000000"/>
              <w:bottom w:val="single" w:sz="8" w:space="0" w:color="000000"/>
              <w:right w:val="single" w:sz="8" w:space="0" w:color="000000"/>
            </w:tcBorders>
            <w:hideMark/>
          </w:tcPr>
          <w:p w14:paraId="04E866FD"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C3A9BC"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Individuals have the right to a doctor who is willing to administer cardiopulmonary resuscitation (CPR).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53897C"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-1.28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CE1B03"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eastAsia="Times New Roman" w:hAnsiTheme="majorBidi" w:cstheme="majorBidi"/>
              </w:rPr>
              <w:t>1.74</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FEF0813"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.90</w:t>
            </w:r>
          </w:p>
        </w:tc>
      </w:tr>
      <w:tr w:rsidR="00EE5072" w:rsidRPr="001F64A9" w14:paraId="43F4C92D" w14:textId="77777777" w:rsidTr="00AB3534">
        <w:tc>
          <w:tcPr>
            <w:tcW w:w="0" w:type="auto"/>
            <w:tcBorders>
              <w:top w:val="single" w:sz="8" w:space="0" w:color="000000"/>
              <w:left w:val="single" w:sz="8" w:space="0" w:color="000000"/>
              <w:bottom w:val="single" w:sz="8" w:space="0" w:color="000000"/>
              <w:right w:val="single" w:sz="8" w:space="0" w:color="000000"/>
            </w:tcBorders>
            <w:hideMark/>
          </w:tcPr>
          <w:p w14:paraId="65DE93B7"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D5B184"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Individuals should not discuss their wishes about do-not-resuscitate (DNR) orders before they are sick. (R)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07ED37"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-1.68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245623"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eastAsia="Times New Roman" w:hAnsiTheme="majorBidi" w:cstheme="majorBidi"/>
              </w:rPr>
              <w:t>1.56</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30939A1"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.93</w:t>
            </w:r>
          </w:p>
        </w:tc>
      </w:tr>
      <w:tr w:rsidR="00EE5072" w:rsidRPr="001F64A9" w14:paraId="02C75CD1" w14:textId="77777777" w:rsidTr="00AB3534">
        <w:tc>
          <w:tcPr>
            <w:tcW w:w="0" w:type="auto"/>
            <w:tcBorders>
              <w:top w:val="single" w:sz="8" w:space="0" w:color="000000"/>
              <w:left w:val="single" w:sz="8" w:space="0" w:color="000000"/>
              <w:bottom w:val="single" w:sz="8" w:space="0" w:color="000000"/>
              <w:right w:val="single" w:sz="8" w:space="0" w:color="000000"/>
            </w:tcBorders>
            <w:hideMark/>
          </w:tcPr>
          <w:p w14:paraId="20D6AE93"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F3EE1B"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Unless there are good reasons not to, all patients receive cardiopulmonary resuscitation (CPR) if needed.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025E32"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-1.28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E47C94"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eastAsia="Times New Roman" w:hAnsiTheme="majorBidi" w:cstheme="majorBidi"/>
              </w:rPr>
              <w:t>1.18</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88C207F"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.82</w:t>
            </w:r>
          </w:p>
        </w:tc>
      </w:tr>
      <w:tr w:rsidR="00EE5072" w:rsidRPr="001F64A9" w14:paraId="498E3399" w14:textId="77777777" w:rsidTr="00AB3534">
        <w:tc>
          <w:tcPr>
            <w:tcW w:w="0" w:type="auto"/>
            <w:tcBorders>
              <w:top w:val="single" w:sz="8" w:space="0" w:color="000000"/>
              <w:left w:val="single" w:sz="8" w:space="0" w:color="000000"/>
              <w:bottom w:val="single" w:sz="8" w:space="0" w:color="000000"/>
              <w:right w:val="single" w:sz="8" w:space="0" w:color="000000"/>
            </w:tcBorders>
            <w:hideMark/>
          </w:tcPr>
          <w:p w14:paraId="354065A4"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880266"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Individuals should discuss their wishes about do-not-resuscitate (DNR) orders with their decision making proxies.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D0C7EA"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-2.28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923315"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eastAsia="Times New Roman" w:hAnsiTheme="majorBidi" w:cstheme="majorBidi"/>
              </w:rPr>
              <w:t>1.35</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DBE534B"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.95</w:t>
            </w:r>
          </w:p>
        </w:tc>
      </w:tr>
      <w:tr w:rsidR="00EE5072" w:rsidRPr="001F64A9" w14:paraId="39E01F0C" w14:textId="77777777" w:rsidTr="00AB3534">
        <w:tc>
          <w:tcPr>
            <w:tcW w:w="0" w:type="auto"/>
            <w:tcBorders>
              <w:top w:val="single" w:sz="8" w:space="0" w:color="000000"/>
              <w:left w:val="single" w:sz="8" w:space="0" w:color="000000"/>
              <w:bottom w:val="single" w:sz="8" w:space="0" w:color="000000"/>
              <w:right w:val="single" w:sz="8" w:space="0" w:color="000000"/>
            </w:tcBorders>
            <w:hideMark/>
          </w:tcPr>
          <w:p w14:paraId="6F5E4CC5"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B419C1"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Individuals can use an advance directive form as a do-not-resuscitate (DNR) order.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4CC214"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BE3F40"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eastAsia="Times New Roman" w:hAnsiTheme="majorBidi" w:cstheme="majorBidi"/>
              </w:rPr>
              <w:t>.84</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F8D46C1"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.56</w:t>
            </w:r>
          </w:p>
        </w:tc>
      </w:tr>
      <w:tr w:rsidR="00EE5072" w:rsidRPr="001F64A9" w14:paraId="4714EFFB" w14:textId="77777777" w:rsidTr="00AB3534">
        <w:tc>
          <w:tcPr>
            <w:tcW w:w="0" w:type="auto"/>
            <w:tcBorders>
              <w:top w:val="single" w:sz="8" w:space="0" w:color="000000"/>
              <w:left w:val="single" w:sz="8" w:space="0" w:color="000000"/>
              <w:bottom w:val="single" w:sz="8" w:space="0" w:color="000000"/>
              <w:right w:val="single" w:sz="8" w:space="0" w:color="000000"/>
            </w:tcBorders>
            <w:hideMark/>
          </w:tcPr>
          <w:p w14:paraId="6613ED64"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8713F5"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Do-not-resuscitate (DNR) orders can be written by a lawyer.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1576CB"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7B2CF4"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eastAsia="Times New Roman" w:hAnsiTheme="majorBidi" w:cstheme="majorBidi"/>
              </w:rPr>
              <w:t>.97</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47852FF"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.64</w:t>
            </w:r>
          </w:p>
        </w:tc>
      </w:tr>
      <w:tr w:rsidR="00EE5072" w:rsidRPr="001F64A9" w14:paraId="54D17060" w14:textId="77777777" w:rsidTr="00AB3534">
        <w:tc>
          <w:tcPr>
            <w:tcW w:w="0" w:type="auto"/>
            <w:tcBorders>
              <w:top w:val="single" w:sz="8" w:space="0" w:color="000000"/>
              <w:left w:val="single" w:sz="8" w:space="0" w:color="000000"/>
              <w:bottom w:val="single" w:sz="8" w:space="0" w:color="000000"/>
              <w:right w:val="single" w:sz="8" w:space="0" w:color="000000"/>
            </w:tcBorders>
            <w:hideMark/>
          </w:tcPr>
          <w:p w14:paraId="09474707"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7C9F07"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Do-not-resuscitate (DNR) orders cannot be changed. (R)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ED8DF5"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6BD59A"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eastAsia="Times New Roman" w:hAnsiTheme="majorBidi" w:cstheme="majorBidi"/>
              </w:rPr>
              <w:t>1.34</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CEE80D7"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.76</w:t>
            </w:r>
          </w:p>
        </w:tc>
      </w:tr>
      <w:tr w:rsidR="00EE5072" w:rsidRPr="001F64A9" w14:paraId="3FB9A031" w14:textId="77777777" w:rsidTr="00AB3534">
        <w:tc>
          <w:tcPr>
            <w:tcW w:w="0" w:type="auto"/>
            <w:tcBorders>
              <w:top w:val="single" w:sz="8" w:space="0" w:color="000000"/>
              <w:left w:val="single" w:sz="8" w:space="0" w:color="000000"/>
              <w:bottom w:val="single" w:sz="8" w:space="0" w:color="000000"/>
              <w:right w:val="single" w:sz="8" w:space="0" w:color="000000"/>
            </w:tcBorders>
            <w:hideMark/>
          </w:tcPr>
          <w:p w14:paraId="01D0FC87"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747EDD"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Cardiopulmonary resuscitation (CPR) cannot be performed on individuals with terminal illnesses. (R)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33CA7E"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EC04F5"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eastAsia="Times New Roman" w:hAnsiTheme="majorBidi" w:cstheme="majorBidi"/>
              </w:rPr>
              <w:t>2.05</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F872C41"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.85</w:t>
            </w:r>
          </w:p>
        </w:tc>
      </w:tr>
      <w:tr w:rsidR="00EE5072" w:rsidRPr="001F64A9" w14:paraId="73CC48D4" w14:textId="77777777" w:rsidTr="00AB3534">
        <w:tc>
          <w:tcPr>
            <w:tcW w:w="0" w:type="auto"/>
            <w:tcBorders>
              <w:top w:val="single" w:sz="8" w:space="0" w:color="000000"/>
              <w:left w:val="single" w:sz="8" w:space="0" w:color="000000"/>
              <w:bottom w:val="single" w:sz="8" w:space="0" w:color="000000"/>
              <w:right w:val="single" w:sz="8" w:space="0" w:color="000000"/>
            </w:tcBorders>
            <w:hideMark/>
          </w:tcPr>
          <w:p w14:paraId="4F4344D4"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B4485D"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 xml:space="preserve">Cardiopulmonary resuscitation (CPR) cannot be </w:t>
            </w:r>
            <w:r w:rsidRPr="001F64A9">
              <w:rPr>
                <w:rFonts w:asciiTheme="majorBidi" w:eastAsia="Times New Roman" w:hAnsiTheme="majorBidi" w:cstheme="majorBidi"/>
              </w:rPr>
              <w:lastRenderedPageBreak/>
              <w:t>performed on individuals of any age. (R)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48FF56"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lastRenderedPageBreak/>
              <w:t>-1.19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786121"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1.34</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533157D"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.83</w:t>
            </w:r>
          </w:p>
        </w:tc>
      </w:tr>
      <w:tr w:rsidR="00EE5072" w:rsidRPr="001F64A9" w14:paraId="62C079BD" w14:textId="77777777" w:rsidTr="00AB3534">
        <w:tc>
          <w:tcPr>
            <w:tcW w:w="0" w:type="auto"/>
            <w:tcBorders>
              <w:top w:val="single" w:sz="8" w:space="0" w:color="000000"/>
              <w:left w:val="single" w:sz="8" w:space="0" w:color="000000"/>
              <w:bottom w:val="single" w:sz="8" w:space="0" w:color="000000"/>
              <w:right w:val="single" w:sz="8" w:space="0" w:color="000000"/>
            </w:tcBorders>
            <w:hideMark/>
          </w:tcPr>
          <w:p w14:paraId="7F12E6D8"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2EFA29" w14:textId="77777777" w:rsidR="00EE5072" w:rsidRPr="001F64A9" w:rsidRDefault="00EE5072" w:rsidP="00AB3534">
            <w:pPr>
              <w:widowControl w:val="0"/>
              <w:spacing w:after="0" w:line="240" w:lineRule="auto"/>
              <w:rPr>
                <w:rFonts w:asciiTheme="majorBidi" w:eastAsia="Times New Roman" w:hAnsiTheme="majorBidi" w:cstheme="majorBidi"/>
              </w:rPr>
            </w:pPr>
            <w:r w:rsidRPr="001F64A9">
              <w:rPr>
                <w:rFonts w:asciiTheme="majorBidi" w:eastAsia="Times New Roman" w:hAnsiTheme="majorBidi" w:cstheme="majorBidi"/>
              </w:rPr>
              <w:t>Do-not-resuscitate (DNR) orders do not apply in all inside and outside of hospital settings. (R)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3FBCF5"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eastAsia="Times New Roman" w:hAnsiTheme="majorBidi" w:cstheme="majorBidi"/>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40B01D"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1.18</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0B10959" w14:textId="77777777" w:rsidR="00EE5072" w:rsidRPr="001F64A9" w:rsidRDefault="00EE5072" w:rsidP="00AB3534">
            <w:pPr>
              <w:widowControl w:val="0"/>
              <w:spacing w:after="0" w:line="240" w:lineRule="auto"/>
              <w:jc w:val="center"/>
              <w:rPr>
                <w:rFonts w:asciiTheme="majorBidi" w:eastAsia="Times New Roman" w:hAnsiTheme="majorBidi" w:cstheme="majorBidi"/>
              </w:rPr>
            </w:pPr>
            <w:r w:rsidRPr="001F64A9">
              <w:rPr>
                <w:rFonts w:asciiTheme="majorBidi" w:hAnsiTheme="majorBidi" w:cstheme="majorBidi"/>
              </w:rPr>
              <w:t>.47</w:t>
            </w:r>
          </w:p>
        </w:tc>
      </w:tr>
    </w:tbl>
    <w:p w14:paraId="51ADAB5B" w14:textId="77777777" w:rsidR="00EE5072" w:rsidRPr="001F64A9" w:rsidRDefault="00EE5072">
      <w:pPr>
        <w:rPr>
          <w:rFonts w:asciiTheme="majorBidi" w:hAnsiTheme="majorBidi" w:cstheme="majorBidi"/>
        </w:rPr>
      </w:pPr>
    </w:p>
    <w:p w14:paraId="04C9565B" w14:textId="3DDCD9B1" w:rsidR="00EE5072" w:rsidRPr="001F64A9" w:rsidRDefault="00EE5072">
      <w:pPr>
        <w:spacing w:line="259" w:lineRule="auto"/>
        <w:rPr>
          <w:rFonts w:asciiTheme="majorBidi" w:hAnsiTheme="majorBidi" w:cstheme="majorBidi"/>
        </w:rPr>
      </w:pPr>
      <w:r w:rsidRPr="001F64A9">
        <w:rPr>
          <w:rFonts w:asciiTheme="majorBidi" w:hAnsiTheme="majorBidi" w:cstheme="majorBidi"/>
        </w:rPr>
        <w:br w:type="page"/>
      </w:r>
    </w:p>
    <w:p w14:paraId="54D1480B"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lastRenderedPageBreak/>
        <w:t>Table 21</w:t>
      </w:r>
    </w:p>
    <w:p w14:paraId="7BC5BBEA" w14:textId="77777777" w:rsidR="00EE5072" w:rsidRPr="001F64A9" w:rsidRDefault="00EE5072" w:rsidP="00EE5072">
      <w:pPr>
        <w:rPr>
          <w:rFonts w:asciiTheme="majorBidi" w:hAnsiTheme="majorBidi" w:cstheme="majorBidi"/>
          <w:i/>
          <w:iCs/>
          <w:sz w:val="24"/>
          <w:szCs w:val="24"/>
        </w:rPr>
      </w:pPr>
      <w:r w:rsidRPr="001F64A9">
        <w:rPr>
          <w:rFonts w:asciiTheme="majorBidi" w:hAnsiTheme="majorBidi" w:cstheme="majorBidi"/>
          <w:i/>
          <w:iCs/>
          <w:sz w:val="24"/>
          <w:szCs w:val="24"/>
        </w:rPr>
        <w:t>Exploratory Factor Analysis for Attitude toward CPR Scale in Experiment 2</w:t>
      </w:r>
    </w:p>
    <w:tbl>
      <w:tblPr>
        <w:tblStyle w:val="TableGrid"/>
        <w:tblW w:w="5000" w:type="pct"/>
        <w:tblInd w:w="0" w:type="dxa"/>
        <w:tblLook w:val="04A0" w:firstRow="1" w:lastRow="0" w:firstColumn="1" w:lastColumn="0" w:noHBand="0" w:noVBand="1"/>
      </w:tblPr>
      <w:tblGrid>
        <w:gridCol w:w="7782"/>
        <w:gridCol w:w="932"/>
        <w:gridCol w:w="636"/>
      </w:tblGrid>
      <w:tr w:rsidR="00EE5072" w:rsidRPr="001F64A9" w14:paraId="7D7468EF" w14:textId="77777777" w:rsidTr="00AB3534">
        <w:tc>
          <w:tcPr>
            <w:tcW w:w="4166" w:type="pct"/>
            <w:vMerge w:val="restart"/>
            <w:tcBorders>
              <w:top w:val="single" w:sz="4" w:space="0" w:color="auto"/>
              <w:left w:val="single" w:sz="4" w:space="0" w:color="auto"/>
              <w:bottom w:val="single" w:sz="4" w:space="0" w:color="auto"/>
              <w:right w:val="single" w:sz="4" w:space="0" w:color="auto"/>
            </w:tcBorders>
            <w:vAlign w:val="center"/>
            <w:hideMark/>
          </w:tcPr>
          <w:p w14:paraId="6BC6EBC1" w14:textId="77777777" w:rsidR="00EE5072" w:rsidRPr="001F64A9" w:rsidRDefault="00EE5072" w:rsidP="00AB3534">
            <w:pPr>
              <w:spacing w:after="0" w:line="360" w:lineRule="auto"/>
              <w:rPr>
                <w:rFonts w:asciiTheme="majorBidi" w:hAnsiTheme="majorBidi" w:cstheme="majorBidi"/>
                <w:sz w:val="24"/>
                <w:szCs w:val="24"/>
              </w:rPr>
            </w:pPr>
            <w:r w:rsidRPr="001F64A9">
              <w:rPr>
                <w:rFonts w:asciiTheme="majorBidi" w:hAnsiTheme="majorBidi" w:cstheme="majorBidi"/>
                <w:sz w:val="24"/>
                <w:szCs w:val="24"/>
              </w:rPr>
              <w:t>Items</w:t>
            </w:r>
          </w:p>
        </w:tc>
        <w:tc>
          <w:tcPr>
            <w:tcW w:w="834" w:type="pct"/>
            <w:gridSpan w:val="2"/>
            <w:tcBorders>
              <w:top w:val="single" w:sz="4" w:space="0" w:color="auto"/>
              <w:left w:val="single" w:sz="4" w:space="0" w:color="auto"/>
              <w:bottom w:val="single" w:sz="4" w:space="0" w:color="auto"/>
              <w:right w:val="single" w:sz="4" w:space="0" w:color="auto"/>
            </w:tcBorders>
            <w:hideMark/>
          </w:tcPr>
          <w:p w14:paraId="494F2CBF" w14:textId="77777777" w:rsidR="00EE5072" w:rsidRPr="001F64A9" w:rsidRDefault="00EE5072" w:rsidP="00AB3534">
            <w:pPr>
              <w:spacing w:line="360" w:lineRule="auto"/>
              <w:jc w:val="center"/>
              <w:rPr>
                <w:rFonts w:asciiTheme="majorBidi" w:hAnsiTheme="majorBidi" w:cstheme="majorBidi"/>
                <w:szCs w:val="24"/>
              </w:rPr>
            </w:pPr>
            <w:r w:rsidRPr="001F64A9">
              <w:rPr>
                <w:rFonts w:asciiTheme="majorBidi" w:hAnsiTheme="majorBidi" w:cstheme="majorBidi"/>
                <w:szCs w:val="24"/>
              </w:rPr>
              <w:t>Factor 1</w:t>
            </w:r>
          </w:p>
        </w:tc>
      </w:tr>
      <w:tr w:rsidR="00EE5072" w:rsidRPr="001F64A9" w14:paraId="39581430" w14:textId="77777777" w:rsidTr="00AB3534">
        <w:tc>
          <w:tcPr>
            <w:tcW w:w="0" w:type="auto"/>
            <w:vMerge/>
            <w:tcBorders>
              <w:top w:val="single" w:sz="4" w:space="0" w:color="auto"/>
              <w:left w:val="single" w:sz="4" w:space="0" w:color="auto"/>
              <w:bottom w:val="single" w:sz="4" w:space="0" w:color="auto"/>
              <w:right w:val="single" w:sz="4" w:space="0" w:color="auto"/>
            </w:tcBorders>
            <w:vAlign w:val="center"/>
            <w:hideMark/>
          </w:tcPr>
          <w:p w14:paraId="75EA98F3" w14:textId="77777777" w:rsidR="00EE5072" w:rsidRPr="001F64A9" w:rsidRDefault="00EE5072" w:rsidP="00AB3534">
            <w:pPr>
              <w:spacing w:line="240" w:lineRule="auto"/>
              <w:rPr>
                <w:rFonts w:asciiTheme="majorBidi" w:hAnsiTheme="majorBidi" w:cstheme="majorBidi"/>
                <w:szCs w:val="24"/>
              </w:rPr>
            </w:pPr>
          </w:p>
        </w:tc>
        <w:tc>
          <w:tcPr>
            <w:tcW w:w="502" w:type="pct"/>
            <w:tcBorders>
              <w:top w:val="single" w:sz="4" w:space="0" w:color="auto"/>
              <w:left w:val="single" w:sz="4" w:space="0" w:color="auto"/>
              <w:bottom w:val="single" w:sz="4" w:space="0" w:color="auto"/>
              <w:right w:val="single" w:sz="4" w:space="0" w:color="auto"/>
            </w:tcBorders>
            <w:hideMark/>
          </w:tcPr>
          <w:p w14:paraId="43FA937E" w14:textId="77777777" w:rsidR="00EE5072" w:rsidRPr="001F64A9" w:rsidRDefault="00EE5072" w:rsidP="00AB3534">
            <w:pPr>
              <w:spacing w:line="360" w:lineRule="auto"/>
              <w:jc w:val="center"/>
              <w:rPr>
                <w:rFonts w:asciiTheme="majorBidi" w:hAnsiTheme="majorBidi" w:cstheme="majorBidi"/>
                <w:szCs w:val="24"/>
              </w:rPr>
            </w:pPr>
            <w:r w:rsidRPr="001F64A9">
              <w:rPr>
                <w:rFonts w:asciiTheme="majorBidi" w:hAnsiTheme="majorBidi" w:cstheme="majorBidi"/>
                <w:szCs w:val="24"/>
              </w:rPr>
              <w:t>λ</w:t>
            </w:r>
          </w:p>
        </w:tc>
        <w:tc>
          <w:tcPr>
            <w:tcW w:w="332" w:type="pct"/>
            <w:tcBorders>
              <w:top w:val="single" w:sz="4" w:space="0" w:color="auto"/>
              <w:left w:val="single" w:sz="4" w:space="0" w:color="auto"/>
              <w:bottom w:val="single" w:sz="4" w:space="0" w:color="auto"/>
              <w:right w:val="single" w:sz="4" w:space="0" w:color="auto"/>
            </w:tcBorders>
            <w:hideMark/>
          </w:tcPr>
          <w:p w14:paraId="7EF9344B" w14:textId="77777777" w:rsidR="00EE5072" w:rsidRPr="001F64A9" w:rsidRDefault="00EE5072" w:rsidP="00AB3534">
            <w:pPr>
              <w:spacing w:line="360" w:lineRule="auto"/>
              <w:jc w:val="center"/>
              <w:rPr>
                <w:rFonts w:asciiTheme="majorBidi" w:hAnsiTheme="majorBidi" w:cstheme="majorBidi"/>
                <w:i/>
                <w:iCs/>
                <w:szCs w:val="24"/>
              </w:rPr>
            </w:pPr>
            <w:r w:rsidRPr="001F64A9">
              <w:rPr>
                <w:rFonts w:asciiTheme="majorBidi" w:hAnsiTheme="majorBidi" w:cstheme="majorBidi"/>
                <w:i/>
                <w:iCs/>
                <w:szCs w:val="24"/>
              </w:rPr>
              <w:t>R</w:t>
            </w:r>
            <w:r w:rsidRPr="001F64A9">
              <w:rPr>
                <w:rFonts w:asciiTheme="majorBidi" w:hAnsiTheme="majorBidi" w:cstheme="majorBidi"/>
                <w:i/>
                <w:iCs/>
                <w:szCs w:val="24"/>
                <w:vertAlign w:val="superscript"/>
              </w:rPr>
              <w:t>2</w:t>
            </w:r>
          </w:p>
        </w:tc>
      </w:tr>
      <w:tr w:rsidR="00EE5072" w:rsidRPr="001F64A9" w14:paraId="0800B1AF" w14:textId="77777777" w:rsidTr="00AB3534">
        <w:tc>
          <w:tcPr>
            <w:tcW w:w="4166" w:type="pct"/>
            <w:tcBorders>
              <w:top w:val="single" w:sz="4" w:space="0" w:color="auto"/>
              <w:left w:val="single" w:sz="4" w:space="0" w:color="auto"/>
              <w:bottom w:val="single" w:sz="4" w:space="0" w:color="auto"/>
              <w:right w:val="single" w:sz="4" w:space="0" w:color="auto"/>
            </w:tcBorders>
            <w:hideMark/>
          </w:tcPr>
          <w:p w14:paraId="030B417E"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You would like to get CPR if your heart stops beating?</w:t>
            </w:r>
          </w:p>
        </w:tc>
        <w:tc>
          <w:tcPr>
            <w:tcW w:w="502" w:type="pct"/>
            <w:tcBorders>
              <w:top w:val="single" w:sz="4" w:space="0" w:color="auto"/>
              <w:left w:val="single" w:sz="4" w:space="0" w:color="auto"/>
              <w:bottom w:val="single" w:sz="4" w:space="0" w:color="auto"/>
              <w:right w:val="single" w:sz="4" w:space="0" w:color="auto"/>
            </w:tcBorders>
            <w:hideMark/>
          </w:tcPr>
          <w:p w14:paraId="61DC4042"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.90</w:t>
            </w:r>
          </w:p>
        </w:tc>
        <w:tc>
          <w:tcPr>
            <w:tcW w:w="332" w:type="pct"/>
            <w:tcBorders>
              <w:top w:val="single" w:sz="4" w:space="0" w:color="auto"/>
              <w:left w:val="single" w:sz="4" w:space="0" w:color="auto"/>
              <w:bottom w:val="single" w:sz="4" w:space="0" w:color="auto"/>
              <w:right w:val="single" w:sz="4" w:space="0" w:color="auto"/>
            </w:tcBorders>
            <w:hideMark/>
          </w:tcPr>
          <w:p w14:paraId="599A1ABD"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.628</w:t>
            </w:r>
          </w:p>
        </w:tc>
      </w:tr>
      <w:tr w:rsidR="00EE5072" w:rsidRPr="001F64A9" w14:paraId="197293AA" w14:textId="77777777" w:rsidTr="00AB3534">
        <w:tc>
          <w:tcPr>
            <w:tcW w:w="4166" w:type="pct"/>
            <w:tcBorders>
              <w:top w:val="single" w:sz="4" w:space="0" w:color="auto"/>
              <w:left w:val="single" w:sz="4" w:space="0" w:color="auto"/>
              <w:bottom w:val="single" w:sz="4" w:space="0" w:color="auto"/>
              <w:right w:val="single" w:sz="4" w:space="0" w:color="auto"/>
            </w:tcBorders>
            <w:hideMark/>
          </w:tcPr>
          <w:p w14:paraId="1DAD4511"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Even if the CPR provider is not medical professional, I would be willing to get CPR.</w:t>
            </w:r>
          </w:p>
        </w:tc>
        <w:tc>
          <w:tcPr>
            <w:tcW w:w="502" w:type="pct"/>
            <w:tcBorders>
              <w:top w:val="single" w:sz="4" w:space="0" w:color="auto"/>
              <w:left w:val="single" w:sz="4" w:space="0" w:color="auto"/>
              <w:bottom w:val="single" w:sz="4" w:space="0" w:color="auto"/>
              <w:right w:val="single" w:sz="4" w:space="0" w:color="auto"/>
            </w:tcBorders>
            <w:hideMark/>
          </w:tcPr>
          <w:p w14:paraId="1B3F6363"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.87</w:t>
            </w:r>
          </w:p>
        </w:tc>
        <w:tc>
          <w:tcPr>
            <w:tcW w:w="332" w:type="pct"/>
            <w:tcBorders>
              <w:top w:val="single" w:sz="4" w:space="0" w:color="auto"/>
              <w:left w:val="single" w:sz="4" w:space="0" w:color="auto"/>
              <w:bottom w:val="single" w:sz="4" w:space="0" w:color="auto"/>
              <w:right w:val="single" w:sz="4" w:space="0" w:color="auto"/>
            </w:tcBorders>
          </w:tcPr>
          <w:p w14:paraId="69D48802" w14:textId="77777777" w:rsidR="00EE5072" w:rsidRPr="001F64A9" w:rsidRDefault="00EE5072" w:rsidP="00AB3534">
            <w:pPr>
              <w:spacing w:line="360" w:lineRule="auto"/>
              <w:rPr>
                <w:rFonts w:asciiTheme="majorBidi" w:hAnsiTheme="majorBidi" w:cstheme="majorBidi"/>
                <w:szCs w:val="24"/>
              </w:rPr>
            </w:pPr>
          </w:p>
        </w:tc>
      </w:tr>
      <w:tr w:rsidR="00EE5072" w:rsidRPr="001F64A9" w14:paraId="73903F2A" w14:textId="77777777" w:rsidTr="00AB3534">
        <w:tc>
          <w:tcPr>
            <w:tcW w:w="4166" w:type="pct"/>
            <w:tcBorders>
              <w:top w:val="single" w:sz="4" w:space="0" w:color="auto"/>
              <w:left w:val="single" w:sz="4" w:space="0" w:color="auto"/>
              <w:bottom w:val="single" w:sz="4" w:space="0" w:color="auto"/>
              <w:right w:val="single" w:sz="4" w:space="0" w:color="auto"/>
            </w:tcBorders>
            <w:hideMark/>
          </w:tcPr>
          <w:p w14:paraId="5B97998D"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I am willing get CPR, even with the potential consequences of CPR (e.g., broken ribs, internal bleeding).</w:t>
            </w:r>
          </w:p>
        </w:tc>
        <w:tc>
          <w:tcPr>
            <w:tcW w:w="502" w:type="pct"/>
            <w:tcBorders>
              <w:top w:val="single" w:sz="4" w:space="0" w:color="auto"/>
              <w:left w:val="single" w:sz="4" w:space="0" w:color="auto"/>
              <w:bottom w:val="single" w:sz="4" w:space="0" w:color="auto"/>
              <w:right w:val="single" w:sz="4" w:space="0" w:color="auto"/>
            </w:tcBorders>
            <w:hideMark/>
          </w:tcPr>
          <w:p w14:paraId="61EAAA49"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.82</w:t>
            </w:r>
          </w:p>
        </w:tc>
        <w:tc>
          <w:tcPr>
            <w:tcW w:w="332" w:type="pct"/>
            <w:tcBorders>
              <w:top w:val="single" w:sz="4" w:space="0" w:color="auto"/>
              <w:left w:val="single" w:sz="4" w:space="0" w:color="auto"/>
              <w:bottom w:val="single" w:sz="4" w:space="0" w:color="auto"/>
              <w:right w:val="single" w:sz="4" w:space="0" w:color="auto"/>
            </w:tcBorders>
          </w:tcPr>
          <w:p w14:paraId="02939A39" w14:textId="77777777" w:rsidR="00EE5072" w:rsidRPr="001F64A9" w:rsidRDefault="00EE5072" w:rsidP="00AB3534">
            <w:pPr>
              <w:spacing w:line="360" w:lineRule="auto"/>
              <w:rPr>
                <w:rFonts w:asciiTheme="majorBidi" w:hAnsiTheme="majorBidi" w:cstheme="majorBidi"/>
                <w:szCs w:val="24"/>
              </w:rPr>
            </w:pPr>
          </w:p>
        </w:tc>
      </w:tr>
      <w:tr w:rsidR="00EE5072" w:rsidRPr="001F64A9" w14:paraId="5C311610" w14:textId="77777777" w:rsidTr="00AB3534">
        <w:tc>
          <w:tcPr>
            <w:tcW w:w="4166" w:type="pct"/>
            <w:tcBorders>
              <w:top w:val="single" w:sz="4" w:space="0" w:color="auto"/>
              <w:left w:val="single" w:sz="4" w:space="0" w:color="auto"/>
              <w:bottom w:val="single" w:sz="4" w:space="0" w:color="auto"/>
              <w:right w:val="single" w:sz="4" w:space="0" w:color="auto"/>
            </w:tcBorders>
            <w:hideMark/>
          </w:tcPr>
          <w:p w14:paraId="7FD432E1"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CPR is beneficial for the well-being of human beings.</w:t>
            </w:r>
          </w:p>
        </w:tc>
        <w:tc>
          <w:tcPr>
            <w:tcW w:w="502" w:type="pct"/>
            <w:tcBorders>
              <w:top w:val="single" w:sz="4" w:space="0" w:color="auto"/>
              <w:left w:val="single" w:sz="4" w:space="0" w:color="auto"/>
              <w:bottom w:val="single" w:sz="4" w:space="0" w:color="auto"/>
              <w:right w:val="single" w:sz="4" w:space="0" w:color="auto"/>
            </w:tcBorders>
            <w:hideMark/>
          </w:tcPr>
          <w:p w14:paraId="0AB0E5FE"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.67</w:t>
            </w:r>
          </w:p>
        </w:tc>
        <w:tc>
          <w:tcPr>
            <w:tcW w:w="332" w:type="pct"/>
            <w:tcBorders>
              <w:top w:val="single" w:sz="4" w:space="0" w:color="auto"/>
              <w:left w:val="single" w:sz="4" w:space="0" w:color="auto"/>
              <w:bottom w:val="single" w:sz="4" w:space="0" w:color="auto"/>
              <w:right w:val="single" w:sz="4" w:space="0" w:color="auto"/>
            </w:tcBorders>
          </w:tcPr>
          <w:p w14:paraId="3F73E550" w14:textId="77777777" w:rsidR="00EE5072" w:rsidRPr="001F64A9" w:rsidRDefault="00EE5072" w:rsidP="00AB3534">
            <w:pPr>
              <w:spacing w:line="360" w:lineRule="auto"/>
              <w:rPr>
                <w:rFonts w:asciiTheme="majorBidi" w:hAnsiTheme="majorBidi" w:cstheme="majorBidi"/>
                <w:szCs w:val="24"/>
              </w:rPr>
            </w:pPr>
          </w:p>
        </w:tc>
      </w:tr>
      <w:tr w:rsidR="00EE5072" w:rsidRPr="001F64A9" w14:paraId="1BA8B408" w14:textId="77777777" w:rsidTr="00AB3534">
        <w:tc>
          <w:tcPr>
            <w:tcW w:w="4166" w:type="pct"/>
            <w:tcBorders>
              <w:top w:val="single" w:sz="4" w:space="0" w:color="auto"/>
              <w:left w:val="single" w:sz="4" w:space="0" w:color="auto"/>
              <w:bottom w:val="single" w:sz="4" w:space="0" w:color="auto"/>
              <w:right w:val="single" w:sz="4" w:space="0" w:color="auto"/>
            </w:tcBorders>
            <w:hideMark/>
          </w:tcPr>
          <w:p w14:paraId="62284225"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I recommend everyone should get CPR when needed.</w:t>
            </w:r>
          </w:p>
        </w:tc>
        <w:tc>
          <w:tcPr>
            <w:tcW w:w="502" w:type="pct"/>
            <w:tcBorders>
              <w:top w:val="single" w:sz="4" w:space="0" w:color="auto"/>
              <w:left w:val="single" w:sz="4" w:space="0" w:color="auto"/>
              <w:bottom w:val="single" w:sz="4" w:space="0" w:color="auto"/>
              <w:right w:val="single" w:sz="4" w:space="0" w:color="auto"/>
            </w:tcBorders>
            <w:hideMark/>
          </w:tcPr>
          <w:p w14:paraId="3D7E7995"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.65</w:t>
            </w:r>
          </w:p>
        </w:tc>
        <w:tc>
          <w:tcPr>
            <w:tcW w:w="332" w:type="pct"/>
            <w:tcBorders>
              <w:top w:val="single" w:sz="4" w:space="0" w:color="auto"/>
              <w:left w:val="single" w:sz="4" w:space="0" w:color="auto"/>
              <w:bottom w:val="single" w:sz="4" w:space="0" w:color="auto"/>
              <w:right w:val="single" w:sz="4" w:space="0" w:color="auto"/>
            </w:tcBorders>
          </w:tcPr>
          <w:p w14:paraId="380B116F" w14:textId="77777777" w:rsidR="00EE5072" w:rsidRPr="001F64A9" w:rsidRDefault="00EE5072" w:rsidP="00AB3534">
            <w:pPr>
              <w:spacing w:line="360" w:lineRule="auto"/>
              <w:rPr>
                <w:rFonts w:asciiTheme="majorBidi" w:hAnsiTheme="majorBidi" w:cstheme="majorBidi"/>
                <w:szCs w:val="24"/>
              </w:rPr>
            </w:pPr>
          </w:p>
        </w:tc>
      </w:tr>
    </w:tbl>
    <w:p w14:paraId="320F4F2E" w14:textId="77777777" w:rsidR="00EE5072" w:rsidRPr="001F64A9" w:rsidRDefault="00EE5072" w:rsidP="00EE5072">
      <w:pPr>
        <w:rPr>
          <w:rFonts w:asciiTheme="majorBidi" w:hAnsiTheme="majorBidi" w:cstheme="majorBidi"/>
          <w:sz w:val="24"/>
          <w:szCs w:val="24"/>
        </w:rPr>
      </w:pPr>
    </w:p>
    <w:p w14:paraId="5C982BB3" w14:textId="3999E449" w:rsidR="00EE5072" w:rsidRPr="001F64A9" w:rsidRDefault="00EE5072">
      <w:pPr>
        <w:spacing w:line="259" w:lineRule="auto"/>
        <w:rPr>
          <w:rFonts w:asciiTheme="majorBidi" w:hAnsiTheme="majorBidi" w:cstheme="majorBidi"/>
        </w:rPr>
      </w:pPr>
      <w:r w:rsidRPr="001F64A9">
        <w:rPr>
          <w:rFonts w:asciiTheme="majorBidi" w:hAnsiTheme="majorBidi" w:cstheme="majorBidi"/>
        </w:rPr>
        <w:br w:type="page"/>
      </w:r>
    </w:p>
    <w:p w14:paraId="6BACBA92" w14:textId="77777777" w:rsidR="00EE5072" w:rsidRPr="001F64A9" w:rsidRDefault="00EE5072" w:rsidP="00EE5072">
      <w:pPr>
        <w:rPr>
          <w:rFonts w:asciiTheme="majorBidi" w:hAnsiTheme="majorBidi" w:cstheme="majorBidi"/>
          <w:b/>
          <w:bCs/>
          <w:sz w:val="24"/>
          <w:szCs w:val="24"/>
        </w:rPr>
      </w:pPr>
      <w:r w:rsidRPr="001F64A9">
        <w:rPr>
          <w:rFonts w:asciiTheme="majorBidi" w:hAnsiTheme="majorBidi" w:cstheme="majorBidi"/>
          <w:b/>
          <w:bCs/>
          <w:sz w:val="24"/>
          <w:szCs w:val="24"/>
        </w:rPr>
        <w:lastRenderedPageBreak/>
        <w:t>Table 22</w:t>
      </w:r>
    </w:p>
    <w:p w14:paraId="5C7E52A5" w14:textId="77777777" w:rsidR="00EE5072" w:rsidRPr="001F64A9" w:rsidRDefault="00EE5072" w:rsidP="00EE5072">
      <w:pPr>
        <w:rPr>
          <w:rFonts w:asciiTheme="majorBidi" w:hAnsiTheme="majorBidi" w:cstheme="majorBidi"/>
          <w:i/>
          <w:iCs/>
          <w:sz w:val="24"/>
          <w:szCs w:val="24"/>
        </w:rPr>
      </w:pPr>
      <w:r w:rsidRPr="001F64A9">
        <w:rPr>
          <w:rFonts w:asciiTheme="majorBidi" w:hAnsiTheme="majorBidi" w:cstheme="majorBidi"/>
          <w:i/>
          <w:iCs/>
          <w:sz w:val="24"/>
          <w:szCs w:val="24"/>
        </w:rPr>
        <w:t>Exploratory Factor Analysis for Attitude toward DNR Scale in Experiment 2</w:t>
      </w:r>
    </w:p>
    <w:tbl>
      <w:tblPr>
        <w:tblStyle w:val="TableGrid"/>
        <w:tblW w:w="5000" w:type="pct"/>
        <w:tblInd w:w="0" w:type="dxa"/>
        <w:tblLook w:val="04A0" w:firstRow="1" w:lastRow="0" w:firstColumn="1" w:lastColumn="0" w:noHBand="0" w:noVBand="1"/>
      </w:tblPr>
      <w:tblGrid>
        <w:gridCol w:w="7782"/>
        <w:gridCol w:w="932"/>
        <w:gridCol w:w="636"/>
      </w:tblGrid>
      <w:tr w:rsidR="00EE5072" w:rsidRPr="001F64A9" w14:paraId="381BA3C2" w14:textId="77777777" w:rsidTr="00AB3534">
        <w:tc>
          <w:tcPr>
            <w:tcW w:w="4166" w:type="pct"/>
            <w:vMerge w:val="restart"/>
            <w:tcBorders>
              <w:top w:val="single" w:sz="4" w:space="0" w:color="auto"/>
              <w:left w:val="single" w:sz="4" w:space="0" w:color="auto"/>
              <w:bottom w:val="single" w:sz="4" w:space="0" w:color="auto"/>
              <w:right w:val="single" w:sz="4" w:space="0" w:color="auto"/>
            </w:tcBorders>
            <w:vAlign w:val="center"/>
            <w:hideMark/>
          </w:tcPr>
          <w:p w14:paraId="75357B73" w14:textId="77777777" w:rsidR="00EE5072" w:rsidRPr="001F64A9" w:rsidRDefault="00EE5072" w:rsidP="00AB3534">
            <w:pPr>
              <w:spacing w:after="0" w:line="360" w:lineRule="auto"/>
              <w:rPr>
                <w:rFonts w:asciiTheme="majorBidi" w:hAnsiTheme="majorBidi" w:cstheme="majorBidi"/>
                <w:sz w:val="24"/>
                <w:szCs w:val="24"/>
              </w:rPr>
            </w:pPr>
            <w:r w:rsidRPr="001F64A9">
              <w:rPr>
                <w:rFonts w:asciiTheme="majorBidi" w:hAnsiTheme="majorBidi" w:cstheme="majorBidi"/>
                <w:sz w:val="24"/>
                <w:szCs w:val="24"/>
              </w:rPr>
              <w:t>Items</w:t>
            </w:r>
          </w:p>
        </w:tc>
        <w:tc>
          <w:tcPr>
            <w:tcW w:w="834" w:type="pct"/>
            <w:gridSpan w:val="2"/>
            <w:tcBorders>
              <w:top w:val="single" w:sz="4" w:space="0" w:color="auto"/>
              <w:left w:val="single" w:sz="4" w:space="0" w:color="auto"/>
              <w:bottom w:val="single" w:sz="4" w:space="0" w:color="auto"/>
              <w:right w:val="single" w:sz="4" w:space="0" w:color="auto"/>
            </w:tcBorders>
            <w:hideMark/>
          </w:tcPr>
          <w:p w14:paraId="1FCDE01E" w14:textId="77777777" w:rsidR="00EE5072" w:rsidRPr="001F64A9" w:rsidRDefault="00EE5072" w:rsidP="00AB3534">
            <w:pPr>
              <w:spacing w:line="360" w:lineRule="auto"/>
              <w:jc w:val="center"/>
              <w:rPr>
                <w:rFonts w:asciiTheme="majorBidi" w:hAnsiTheme="majorBidi" w:cstheme="majorBidi"/>
                <w:szCs w:val="24"/>
              </w:rPr>
            </w:pPr>
            <w:r w:rsidRPr="001F64A9">
              <w:rPr>
                <w:rFonts w:asciiTheme="majorBidi" w:hAnsiTheme="majorBidi" w:cstheme="majorBidi"/>
                <w:szCs w:val="24"/>
              </w:rPr>
              <w:t>Factor 1</w:t>
            </w:r>
          </w:p>
        </w:tc>
      </w:tr>
      <w:tr w:rsidR="00EE5072" w:rsidRPr="001F64A9" w14:paraId="047E9CAF" w14:textId="77777777" w:rsidTr="00AB3534">
        <w:tc>
          <w:tcPr>
            <w:tcW w:w="0" w:type="auto"/>
            <w:vMerge/>
            <w:tcBorders>
              <w:top w:val="single" w:sz="4" w:space="0" w:color="auto"/>
              <w:left w:val="single" w:sz="4" w:space="0" w:color="auto"/>
              <w:bottom w:val="single" w:sz="4" w:space="0" w:color="auto"/>
              <w:right w:val="single" w:sz="4" w:space="0" w:color="auto"/>
            </w:tcBorders>
            <w:vAlign w:val="center"/>
            <w:hideMark/>
          </w:tcPr>
          <w:p w14:paraId="1766208C" w14:textId="77777777" w:rsidR="00EE5072" w:rsidRPr="001F64A9" w:rsidRDefault="00EE5072" w:rsidP="00AB3534">
            <w:pPr>
              <w:spacing w:line="240" w:lineRule="auto"/>
              <w:rPr>
                <w:rFonts w:asciiTheme="majorBidi" w:hAnsiTheme="majorBidi" w:cstheme="majorBidi"/>
                <w:szCs w:val="24"/>
              </w:rPr>
            </w:pPr>
          </w:p>
        </w:tc>
        <w:tc>
          <w:tcPr>
            <w:tcW w:w="502" w:type="pct"/>
            <w:tcBorders>
              <w:top w:val="single" w:sz="4" w:space="0" w:color="auto"/>
              <w:left w:val="single" w:sz="4" w:space="0" w:color="auto"/>
              <w:bottom w:val="single" w:sz="4" w:space="0" w:color="auto"/>
              <w:right w:val="single" w:sz="4" w:space="0" w:color="auto"/>
            </w:tcBorders>
            <w:hideMark/>
          </w:tcPr>
          <w:p w14:paraId="43FB50E2" w14:textId="77777777" w:rsidR="00EE5072" w:rsidRPr="001F64A9" w:rsidRDefault="00EE5072" w:rsidP="00AB3534">
            <w:pPr>
              <w:spacing w:line="360" w:lineRule="auto"/>
              <w:jc w:val="center"/>
              <w:rPr>
                <w:rFonts w:asciiTheme="majorBidi" w:hAnsiTheme="majorBidi" w:cstheme="majorBidi"/>
                <w:szCs w:val="24"/>
              </w:rPr>
            </w:pPr>
            <w:r w:rsidRPr="001F64A9">
              <w:rPr>
                <w:rFonts w:asciiTheme="majorBidi" w:hAnsiTheme="majorBidi" w:cstheme="majorBidi"/>
                <w:szCs w:val="24"/>
              </w:rPr>
              <w:t>λ</w:t>
            </w:r>
          </w:p>
        </w:tc>
        <w:tc>
          <w:tcPr>
            <w:tcW w:w="332" w:type="pct"/>
            <w:tcBorders>
              <w:top w:val="single" w:sz="4" w:space="0" w:color="auto"/>
              <w:left w:val="single" w:sz="4" w:space="0" w:color="auto"/>
              <w:bottom w:val="single" w:sz="4" w:space="0" w:color="auto"/>
              <w:right w:val="single" w:sz="4" w:space="0" w:color="auto"/>
            </w:tcBorders>
            <w:hideMark/>
          </w:tcPr>
          <w:p w14:paraId="1B5AC685" w14:textId="77777777" w:rsidR="00EE5072" w:rsidRPr="001F64A9" w:rsidRDefault="00EE5072" w:rsidP="00AB3534">
            <w:pPr>
              <w:spacing w:line="360" w:lineRule="auto"/>
              <w:jc w:val="center"/>
              <w:rPr>
                <w:rFonts w:asciiTheme="majorBidi" w:hAnsiTheme="majorBidi" w:cstheme="majorBidi"/>
                <w:i/>
                <w:iCs/>
                <w:szCs w:val="24"/>
              </w:rPr>
            </w:pPr>
            <w:r w:rsidRPr="001F64A9">
              <w:rPr>
                <w:rFonts w:asciiTheme="majorBidi" w:hAnsiTheme="majorBidi" w:cstheme="majorBidi"/>
                <w:i/>
                <w:iCs/>
                <w:szCs w:val="24"/>
              </w:rPr>
              <w:t>R</w:t>
            </w:r>
            <w:r w:rsidRPr="001F64A9">
              <w:rPr>
                <w:rFonts w:asciiTheme="majorBidi" w:hAnsiTheme="majorBidi" w:cstheme="majorBidi"/>
                <w:i/>
                <w:iCs/>
                <w:szCs w:val="24"/>
                <w:vertAlign w:val="superscript"/>
              </w:rPr>
              <w:t>2</w:t>
            </w:r>
          </w:p>
        </w:tc>
      </w:tr>
      <w:tr w:rsidR="00EE5072" w:rsidRPr="001F64A9" w14:paraId="127313E6" w14:textId="77777777" w:rsidTr="00AB3534">
        <w:tc>
          <w:tcPr>
            <w:tcW w:w="4166" w:type="pct"/>
            <w:tcBorders>
              <w:top w:val="single" w:sz="4" w:space="0" w:color="auto"/>
              <w:left w:val="single" w:sz="4" w:space="0" w:color="auto"/>
              <w:bottom w:val="single" w:sz="4" w:space="0" w:color="auto"/>
              <w:right w:val="single" w:sz="4" w:space="0" w:color="auto"/>
            </w:tcBorders>
            <w:hideMark/>
          </w:tcPr>
          <w:p w14:paraId="084D9A2D"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I would not like to get CPR if your heart stops beating?</w:t>
            </w:r>
          </w:p>
        </w:tc>
        <w:tc>
          <w:tcPr>
            <w:tcW w:w="502" w:type="pct"/>
            <w:tcBorders>
              <w:top w:val="single" w:sz="4" w:space="0" w:color="auto"/>
              <w:left w:val="single" w:sz="4" w:space="0" w:color="auto"/>
              <w:bottom w:val="single" w:sz="4" w:space="0" w:color="auto"/>
              <w:right w:val="single" w:sz="4" w:space="0" w:color="auto"/>
            </w:tcBorders>
            <w:hideMark/>
          </w:tcPr>
          <w:p w14:paraId="24207775"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.84</w:t>
            </w:r>
          </w:p>
        </w:tc>
        <w:tc>
          <w:tcPr>
            <w:tcW w:w="332" w:type="pct"/>
            <w:tcBorders>
              <w:top w:val="single" w:sz="4" w:space="0" w:color="auto"/>
              <w:left w:val="single" w:sz="4" w:space="0" w:color="auto"/>
              <w:bottom w:val="single" w:sz="4" w:space="0" w:color="auto"/>
              <w:right w:val="single" w:sz="4" w:space="0" w:color="auto"/>
            </w:tcBorders>
            <w:hideMark/>
          </w:tcPr>
          <w:p w14:paraId="0C938572"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.435</w:t>
            </w:r>
          </w:p>
        </w:tc>
      </w:tr>
      <w:tr w:rsidR="00EE5072" w:rsidRPr="001F64A9" w14:paraId="7BF3E051" w14:textId="77777777" w:rsidTr="00AB3534">
        <w:tc>
          <w:tcPr>
            <w:tcW w:w="4166" w:type="pct"/>
            <w:tcBorders>
              <w:top w:val="single" w:sz="4" w:space="0" w:color="auto"/>
              <w:left w:val="single" w:sz="4" w:space="0" w:color="auto"/>
              <w:bottom w:val="single" w:sz="4" w:space="0" w:color="auto"/>
              <w:right w:val="single" w:sz="4" w:space="0" w:color="auto"/>
            </w:tcBorders>
            <w:hideMark/>
          </w:tcPr>
          <w:p w14:paraId="63CF1BD8"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I would like to have a DNR, even if I’m healthy.</w:t>
            </w:r>
          </w:p>
        </w:tc>
        <w:tc>
          <w:tcPr>
            <w:tcW w:w="502" w:type="pct"/>
            <w:tcBorders>
              <w:top w:val="single" w:sz="4" w:space="0" w:color="auto"/>
              <w:left w:val="single" w:sz="4" w:space="0" w:color="auto"/>
              <w:bottom w:val="single" w:sz="4" w:space="0" w:color="auto"/>
              <w:right w:val="single" w:sz="4" w:space="0" w:color="auto"/>
            </w:tcBorders>
            <w:hideMark/>
          </w:tcPr>
          <w:p w14:paraId="1B6C1DA4"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.76</w:t>
            </w:r>
          </w:p>
        </w:tc>
        <w:tc>
          <w:tcPr>
            <w:tcW w:w="332" w:type="pct"/>
            <w:tcBorders>
              <w:top w:val="single" w:sz="4" w:space="0" w:color="auto"/>
              <w:left w:val="single" w:sz="4" w:space="0" w:color="auto"/>
              <w:bottom w:val="single" w:sz="4" w:space="0" w:color="auto"/>
              <w:right w:val="single" w:sz="4" w:space="0" w:color="auto"/>
            </w:tcBorders>
          </w:tcPr>
          <w:p w14:paraId="1DB9CCD6" w14:textId="77777777" w:rsidR="00EE5072" w:rsidRPr="001F64A9" w:rsidRDefault="00EE5072" w:rsidP="00AB3534">
            <w:pPr>
              <w:spacing w:line="360" w:lineRule="auto"/>
              <w:rPr>
                <w:rFonts w:asciiTheme="majorBidi" w:hAnsiTheme="majorBidi" w:cstheme="majorBidi"/>
                <w:szCs w:val="24"/>
              </w:rPr>
            </w:pPr>
          </w:p>
        </w:tc>
      </w:tr>
      <w:tr w:rsidR="00EE5072" w:rsidRPr="001F64A9" w14:paraId="020F70C6" w14:textId="77777777" w:rsidTr="00AB3534">
        <w:tc>
          <w:tcPr>
            <w:tcW w:w="4166" w:type="pct"/>
            <w:tcBorders>
              <w:top w:val="single" w:sz="4" w:space="0" w:color="auto"/>
              <w:left w:val="single" w:sz="4" w:space="0" w:color="auto"/>
              <w:bottom w:val="single" w:sz="4" w:space="0" w:color="auto"/>
              <w:right w:val="single" w:sz="4" w:space="0" w:color="auto"/>
            </w:tcBorders>
            <w:hideMark/>
          </w:tcPr>
          <w:p w14:paraId="55F17491"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DNR ensures a peaceful death.</w:t>
            </w:r>
          </w:p>
        </w:tc>
        <w:tc>
          <w:tcPr>
            <w:tcW w:w="502" w:type="pct"/>
            <w:tcBorders>
              <w:top w:val="single" w:sz="4" w:space="0" w:color="auto"/>
              <w:left w:val="single" w:sz="4" w:space="0" w:color="auto"/>
              <w:bottom w:val="single" w:sz="4" w:space="0" w:color="auto"/>
              <w:right w:val="single" w:sz="4" w:space="0" w:color="auto"/>
            </w:tcBorders>
            <w:hideMark/>
          </w:tcPr>
          <w:p w14:paraId="2B11C34E"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.49</w:t>
            </w:r>
          </w:p>
        </w:tc>
        <w:tc>
          <w:tcPr>
            <w:tcW w:w="332" w:type="pct"/>
            <w:tcBorders>
              <w:top w:val="single" w:sz="4" w:space="0" w:color="auto"/>
              <w:left w:val="single" w:sz="4" w:space="0" w:color="auto"/>
              <w:bottom w:val="single" w:sz="4" w:space="0" w:color="auto"/>
              <w:right w:val="single" w:sz="4" w:space="0" w:color="auto"/>
            </w:tcBorders>
          </w:tcPr>
          <w:p w14:paraId="637E5F00" w14:textId="77777777" w:rsidR="00EE5072" w:rsidRPr="001F64A9" w:rsidRDefault="00EE5072" w:rsidP="00AB3534">
            <w:pPr>
              <w:spacing w:line="360" w:lineRule="auto"/>
              <w:rPr>
                <w:rFonts w:asciiTheme="majorBidi" w:hAnsiTheme="majorBidi" w:cstheme="majorBidi"/>
                <w:szCs w:val="24"/>
              </w:rPr>
            </w:pPr>
          </w:p>
        </w:tc>
      </w:tr>
      <w:tr w:rsidR="00EE5072" w:rsidRPr="001F64A9" w14:paraId="122BDBAE" w14:textId="77777777" w:rsidTr="00AB3534">
        <w:tc>
          <w:tcPr>
            <w:tcW w:w="4166" w:type="pct"/>
            <w:tcBorders>
              <w:top w:val="single" w:sz="4" w:space="0" w:color="auto"/>
              <w:left w:val="single" w:sz="4" w:space="0" w:color="auto"/>
              <w:bottom w:val="single" w:sz="4" w:space="0" w:color="auto"/>
              <w:right w:val="single" w:sz="4" w:space="0" w:color="auto"/>
            </w:tcBorders>
            <w:hideMark/>
          </w:tcPr>
          <w:p w14:paraId="25661361"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I recommend everyone should have a DNR.</w:t>
            </w:r>
          </w:p>
        </w:tc>
        <w:tc>
          <w:tcPr>
            <w:tcW w:w="502" w:type="pct"/>
            <w:tcBorders>
              <w:top w:val="single" w:sz="4" w:space="0" w:color="auto"/>
              <w:left w:val="single" w:sz="4" w:space="0" w:color="auto"/>
              <w:bottom w:val="single" w:sz="4" w:space="0" w:color="auto"/>
              <w:right w:val="single" w:sz="4" w:space="0" w:color="auto"/>
            </w:tcBorders>
            <w:hideMark/>
          </w:tcPr>
          <w:p w14:paraId="5802339A"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.48</w:t>
            </w:r>
          </w:p>
        </w:tc>
        <w:tc>
          <w:tcPr>
            <w:tcW w:w="332" w:type="pct"/>
            <w:tcBorders>
              <w:top w:val="single" w:sz="4" w:space="0" w:color="auto"/>
              <w:left w:val="single" w:sz="4" w:space="0" w:color="auto"/>
              <w:bottom w:val="single" w:sz="4" w:space="0" w:color="auto"/>
              <w:right w:val="single" w:sz="4" w:space="0" w:color="auto"/>
            </w:tcBorders>
          </w:tcPr>
          <w:p w14:paraId="678270BC" w14:textId="77777777" w:rsidR="00EE5072" w:rsidRPr="001F64A9" w:rsidRDefault="00EE5072" w:rsidP="00AB3534">
            <w:pPr>
              <w:spacing w:line="360" w:lineRule="auto"/>
              <w:rPr>
                <w:rFonts w:asciiTheme="majorBidi" w:hAnsiTheme="majorBidi" w:cstheme="majorBidi"/>
                <w:szCs w:val="24"/>
              </w:rPr>
            </w:pPr>
          </w:p>
        </w:tc>
      </w:tr>
    </w:tbl>
    <w:p w14:paraId="37974D98" w14:textId="77777777" w:rsidR="00EE5072" w:rsidRPr="001F64A9" w:rsidRDefault="00EE5072" w:rsidP="00EE5072">
      <w:pPr>
        <w:rPr>
          <w:rFonts w:asciiTheme="majorBidi" w:hAnsiTheme="majorBidi" w:cstheme="majorBidi"/>
          <w:sz w:val="24"/>
          <w:szCs w:val="24"/>
        </w:rPr>
      </w:pPr>
    </w:p>
    <w:p w14:paraId="5FD78F99" w14:textId="6FA615B7" w:rsidR="00EE5072" w:rsidRPr="001F64A9" w:rsidRDefault="00EE5072">
      <w:pPr>
        <w:spacing w:line="259" w:lineRule="auto"/>
        <w:rPr>
          <w:rFonts w:asciiTheme="majorBidi" w:hAnsiTheme="majorBidi" w:cstheme="majorBidi"/>
        </w:rPr>
      </w:pPr>
      <w:r w:rsidRPr="001F64A9">
        <w:rPr>
          <w:rFonts w:asciiTheme="majorBidi" w:hAnsiTheme="majorBidi" w:cstheme="majorBidi"/>
        </w:rPr>
        <w:br w:type="page"/>
      </w:r>
    </w:p>
    <w:p w14:paraId="6913B7C6" w14:textId="77777777" w:rsidR="00EE5072" w:rsidRPr="001F64A9" w:rsidRDefault="00EE5072" w:rsidP="00EE5072">
      <w:pPr>
        <w:rPr>
          <w:rFonts w:asciiTheme="majorBidi" w:hAnsiTheme="majorBidi" w:cstheme="majorBidi"/>
          <w:sz w:val="24"/>
          <w:szCs w:val="24"/>
        </w:rPr>
      </w:pPr>
      <w:r w:rsidRPr="001F64A9">
        <w:rPr>
          <w:rFonts w:asciiTheme="majorBidi" w:hAnsiTheme="majorBidi" w:cstheme="majorBidi"/>
          <w:b/>
          <w:bCs/>
          <w:sz w:val="24"/>
          <w:szCs w:val="24"/>
        </w:rPr>
        <w:lastRenderedPageBreak/>
        <w:t>Table 23</w:t>
      </w:r>
    </w:p>
    <w:p w14:paraId="347E08C9" w14:textId="77777777" w:rsidR="00EE5072" w:rsidRPr="001F64A9" w:rsidRDefault="00EE5072" w:rsidP="00EE5072">
      <w:pPr>
        <w:rPr>
          <w:rFonts w:asciiTheme="majorBidi" w:hAnsiTheme="majorBidi" w:cstheme="majorBidi"/>
          <w:i/>
          <w:iCs/>
          <w:sz w:val="24"/>
          <w:szCs w:val="24"/>
        </w:rPr>
      </w:pPr>
      <w:r w:rsidRPr="001F64A9">
        <w:rPr>
          <w:rFonts w:asciiTheme="majorBidi" w:hAnsiTheme="majorBidi" w:cstheme="majorBidi"/>
          <w:i/>
          <w:iCs/>
          <w:sz w:val="24"/>
          <w:szCs w:val="24"/>
        </w:rPr>
        <w:t>Summary of Findings across Experiments</w:t>
      </w:r>
    </w:p>
    <w:tbl>
      <w:tblPr>
        <w:tblStyle w:val="TableGrid"/>
        <w:tblW w:w="5000" w:type="pct"/>
        <w:tblInd w:w="0" w:type="dxa"/>
        <w:tblLook w:val="04A0" w:firstRow="1" w:lastRow="0" w:firstColumn="1" w:lastColumn="0" w:noHBand="0" w:noVBand="1"/>
      </w:tblPr>
      <w:tblGrid>
        <w:gridCol w:w="1430"/>
        <w:gridCol w:w="7920"/>
      </w:tblGrid>
      <w:tr w:rsidR="00EE5072" w:rsidRPr="001F64A9" w14:paraId="0C81AD26" w14:textId="77777777" w:rsidTr="00AB3534">
        <w:tc>
          <w:tcPr>
            <w:tcW w:w="569" w:type="pct"/>
            <w:tcBorders>
              <w:top w:val="single" w:sz="4" w:space="0" w:color="auto"/>
              <w:left w:val="single" w:sz="4" w:space="0" w:color="auto"/>
              <w:bottom w:val="single" w:sz="4" w:space="0" w:color="auto"/>
              <w:right w:val="single" w:sz="4" w:space="0" w:color="auto"/>
            </w:tcBorders>
            <w:hideMark/>
          </w:tcPr>
          <w:p w14:paraId="6223E966" w14:textId="77777777" w:rsidR="00EE5072" w:rsidRPr="001F64A9" w:rsidRDefault="00EE5072" w:rsidP="00AB3534">
            <w:pPr>
              <w:spacing w:after="0" w:line="360" w:lineRule="auto"/>
              <w:rPr>
                <w:rFonts w:asciiTheme="majorBidi" w:hAnsiTheme="majorBidi" w:cstheme="majorBidi"/>
                <w:sz w:val="24"/>
                <w:szCs w:val="24"/>
              </w:rPr>
            </w:pPr>
            <w:r w:rsidRPr="001F64A9">
              <w:rPr>
                <w:rFonts w:asciiTheme="majorBidi" w:hAnsiTheme="majorBidi" w:cstheme="majorBidi"/>
                <w:sz w:val="24"/>
                <w:szCs w:val="24"/>
              </w:rPr>
              <w:t>Experiments</w:t>
            </w:r>
          </w:p>
        </w:tc>
        <w:tc>
          <w:tcPr>
            <w:tcW w:w="4431" w:type="pct"/>
            <w:tcBorders>
              <w:top w:val="single" w:sz="4" w:space="0" w:color="auto"/>
              <w:left w:val="single" w:sz="4" w:space="0" w:color="auto"/>
              <w:bottom w:val="single" w:sz="4" w:space="0" w:color="auto"/>
              <w:right w:val="single" w:sz="4" w:space="0" w:color="auto"/>
            </w:tcBorders>
            <w:hideMark/>
          </w:tcPr>
          <w:p w14:paraId="16BDDADA" w14:textId="77777777" w:rsidR="00EE5072" w:rsidRPr="001F64A9" w:rsidRDefault="00EE5072" w:rsidP="00AB3534">
            <w:pPr>
              <w:spacing w:line="360" w:lineRule="auto"/>
              <w:jc w:val="center"/>
              <w:rPr>
                <w:rFonts w:asciiTheme="majorBidi" w:hAnsiTheme="majorBidi" w:cstheme="majorBidi"/>
                <w:szCs w:val="24"/>
              </w:rPr>
            </w:pPr>
            <w:r w:rsidRPr="001F64A9">
              <w:rPr>
                <w:rFonts w:asciiTheme="majorBidi" w:hAnsiTheme="majorBidi" w:cstheme="majorBidi"/>
                <w:szCs w:val="24"/>
              </w:rPr>
              <w:t>Findings</w:t>
            </w:r>
          </w:p>
        </w:tc>
      </w:tr>
      <w:tr w:rsidR="00EE5072" w:rsidRPr="001F64A9" w14:paraId="59904F56" w14:textId="77777777" w:rsidTr="00AB3534">
        <w:tc>
          <w:tcPr>
            <w:tcW w:w="569" w:type="pct"/>
            <w:tcBorders>
              <w:top w:val="single" w:sz="4" w:space="0" w:color="auto"/>
              <w:left w:val="single" w:sz="4" w:space="0" w:color="auto"/>
              <w:bottom w:val="single" w:sz="4" w:space="0" w:color="auto"/>
              <w:right w:val="single" w:sz="4" w:space="0" w:color="auto"/>
            </w:tcBorders>
            <w:hideMark/>
          </w:tcPr>
          <w:p w14:paraId="65DC3703" w14:textId="77777777" w:rsidR="00EE5072" w:rsidRPr="001F64A9" w:rsidRDefault="00EE5072" w:rsidP="00AB3534">
            <w:pPr>
              <w:spacing w:line="360" w:lineRule="auto"/>
              <w:rPr>
                <w:rFonts w:asciiTheme="majorBidi" w:hAnsiTheme="majorBidi" w:cstheme="majorBidi"/>
                <w:szCs w:val="24"/>
              </w:rPr>
            </w:pPr>
            <w:r w:rsidRPr="001F64A9">
              <w:rPr>
                <w:rFonts w:asciiTheme="majorBidi" w:hAnsiTheme="majorBidi" w:cstheme="majorBidi"/>
                <w:szCs w:val="24"/>
              </w:rPr>
              <w:t>Experiment 1a</w:t>
            </w:r>
          </w:p>
        </w:tc>
        <w:tc>
          <w:tcPr>
            <w:tcW w:w="4431" w:type="pct"/>
            <w:tcBorders>
              <w:top w:val="single" w:sz="4" w:space="0" w:color="auto"/>
              <w:left w:val="single" w:sz="4" w:space="0" w:color="auto"/>
              <w:bottom w:val="single" w:sz="4" w:space="0" w:color="auto"/>
              <w:right w:val="single" w:sz="4" w:space="0" w:color="auto"/>
            </w:tcBorders>
            <w:hideMark/>
          </w:tcPr>
          <w:p w14:paraId="4C374E5F" w14:textId="77777777" w:rsidR="00EE5072" w:rsidRPr="001F64A9" w:rsidRDefault="00EE5072" w:rsidP="00AB3534">
            <w:pPr>
              <w:pStyle w:val="ListParagraph"/>
              <w:numPr>
                <w:ilvl w:val="0"/>
                <w:numId w:val="18"/>
              </w:numPr>
              <w:spacing w:line="360" w:lineRule="auto"/>
              <w:rPr>
                <w:rFonts w:asciiTheme="majorBidi" w:hAnsiTheme="majorBidi" w:cstheme="majorBidi"/>
                <w:szCs w:val="24"/>
              </w:rPr>
            </w:pPr>
            <w:r w:rsidRPr="001F64A9">
              <w:rPr>
                <w:rFonts w:asciiTheme="majorBidi" w:hAnsiTheme="majorBidi" w:cstheme="majorBidi"/>
                <w:szCs w:val="24"/>
              </w:rPr>
              <w:t>People have better understanding of AND terminology as compared to CPR and DNR.</w:t>
            </w:r>
          </w:p>
          <w:p w14:paraId="00C67C04" w14:textId="77777777" w:rsidR="00EE5072" w:rsidRPr="001F64A9" w:rsidRDefault="00EE5072" w:rsidP="00AB3534">
            <w:pPr>
              <w:pStyle w:val="ListParagraph"/>
              <w:numPr>
                <w:ilvl w:val="0"/>
                <w:numId w:val="18"/>
              </w:numPr>
              <w:spacing w:line="360" w:lineRule="auto"/>
              <w:rPr>
                <w:rFonts w:asciiTheme="majorBidi" w:hAnsiTheme="majorBidi" w:cstheme="majorBidi"/>
                <w:i/>
                <w:iCs/>
                <w:szCs w:val="24"/>
              </w:rPr>
            </w:pPr>
            <w:r w:rsidRPr="001F64A9">
              <w:rPr>
                <w:rFonts w:asciiTheme="majorBidi" w:hAnsiTheme="majorBidi" w:cstheme="majorBidi"/>
                <w:szCs w:val="24"/>
              </w:rPr>
              <w:t xml:space="preserve">People feel more positive about AND terminology as compared to DNR. </w:t>
            </w:r>
          </w:p>
        </w:tc>
      </w:tr>
      <w:tr w:rsidR="00EE5072" w:rsidRPr="001F64A9" w14:paraId="6E8B8C56" w14:textId="77777777" w:rsidTr="00AB3534">
        <w:tc>
          <w:tcPr>
            <w:tcW w:w="569" w:type="pct"/>
            <w:tcBorders>
              <w:top w:val="single" w:sz="4" w:space="0" w:color="auto"/>
              <w:left w:val="single" w:sz="4" w:space="0" w:color="auto"/>
              <w:bottom w:val="single" w:sz="4" w:space="0" w:color="auto"/>
              <w:right w:val="single" w:sz="4" w:space="0" w:color="auto"/>
            </w:tcBorders>
            <w:hideMark/>
          </w:tcPr>
          <w:p w14:paraId="104084B1" w14:textId="77777777" w:rsidR="00EE5072" w:rsidRPr="001F64A9" w:rsidRDefault="00EE5072" w:rsidP="00AB3534">
            <w:pPr>
              <w:spacing w:line="360" w:lineRule="auto"/>
              <w:rPr>
                <w:rFonts w:asciiTheme="majorBidi" w:hAnsiTheme="majorBidi" w:cstheme="majorBidi"/>
                <w:i/>
                <w:iCs/>
                <w:szCs w:val="24"/>
              </w:rPr>
            </w:pPr>
            <w:r w:rsidRPr="001F64A9">
              <w:rPr>
                <w:rFonts w:asciiTheme="majorBidi" w:hAnsiTheme="majorBidi" w:cstheme="majorBidi"/>
                <w:szCs w:val="24"/>
              </w:rPr>
              <w:t>Experiment 1b</w:t>
            </w:r>
          </w:p>
        </w:tc>
        <w:tc>
          <w:tcPr>
            <w:tcW w:w="4431" w:type="pct"/>
            <w:tcBorders>
              <w:top w:val="single" w:sz="4" w:space="0" w:color="auto"/>
              <w:left w:val="single" w:sz="4" w:space="0" w:color="auto"/>
              <w:bottom w:val="single" w:sz="4" w:space="0" w:color="auto"/>
              <w:right w:val="single" w:sz="4" w:space="0" w:color="auto"/>
            </w:tcBorders>
            <w:hideMark/>
          </w:tcPr>
          <w:p w14:paraId="162F2F34" w14:textId="77777777" w:rsidR="00EE5072" w:rsidRPr="001F64A9" w:rsidRDefault="00EE5072" w:rsidP="00AB3534">
            <w:pPr>
              <w:pStyle w:val="ListParagraph"/>
              <w:numPr>
                <w:ilvl w:val="0"/>
                <w:numId w:val="20"/>
              </w:numPr>
              <w:spacing w:line="360" w:lineRule="auto"/>
              <w:rPr>
                <w:rFonts w:asciiTheme="majorBidi" w:hAnsiTheme="majorBidi" w:cstheme="majorBidi"/>
                <w:szCs w:val="24"/>
              </w:rPr>
            </w:pPr>
            <w:r w:rsidRPr="001F64A9">
              <w:rPr>
                <w:rFonts w:asciiTheme="majorBidi" w:hAnsiTheme="majorBidi" w:cstheme="majorBidi"/>
                <w:szCs w:val="24"/>
              </w:rPr>
              <w:t>People do not understand AND, CPR and DNR terminologies differently.</w:t>
            </w:r>
          </w:p>
          <w:p w14:paraId="2B329A82" w14:textId="77777777" w:rsidR="00EE5072" w:rsidRPr="001F64A9" w:rsidRDefault="00EE5072" w:rsidP="00AB3534">
            <w:pPr>
              <w:pStyle w:val="ListParagraph"/>
              <w:numPr>
                <w:ilvl w:val="0"/>
                <w:numId w:val="18"/>
              </w:numPr>
              <w:spacing w:line="360" w:lineRule="auto"/>
              <w:rPr>
                <w:rFonts w:asciiTheme="majorBidi" w:hAnsiTheme="majorBidi" w:cstheme="majorBidi"/>
                <w:i/>
                <w:iCs/>
                <w:szCs w:val="24"/>
              </w:rPr>
            </w:pPr>
            <w:r w:rsidRPr="001F64A9">
              <w:rPr>
                <w:rFonts w:asciiTheme="majorBidi" w:hAnsiTheme="majorBidi" w:cstheme="majorBidi"/>
                <w:szCs w:val="24"/>
              </w:rPr>
              <w:t>People feel least negative about CPR terminology as compared to AND and DNR.</w:t>
            </w:r>
          </w:p>
          <w:p w14:paraId="4F5E450B" w14:textId="77777777" w:rsidR="00EE5072" w:rsidRPr="001F64A9" w:rsidRDefault="00EE5072" w:rsidP="00AB3534">
            <w:pPr>
              <w:pStyle w:val="ListParagraph"/>
              <w:numPr>
                <w:ilvl w:val="0"/>
                <w:numId w:val="18"/>
              </w:numPr>
              <w:spacing w:line="360" w:lineRule="auto"/>
              <w:rPr>
                <w:rFonts w:asciiTheme="majorBidi" w:hAnsiTheme="majorBidi" w:cstheme="majorBidi"/>
                <w:i/>
                <w:iCs/>
                <w:szCs w:val="24"/>
              </w:rPr>
            </w:pPr>
            <w:r w:rsidRPr="001F64A9">
              <w:rPr>
                <w:rFonts w:asciiTheme="majorBidi" w:hAnsiTheme="majorBidi" w:cstheme="majorBidi"/>
                <w:szCs w:val="24"/>
              </w:rPr>
              <w:t>Beneficence was significantly high when DNR terminology was used as compared to when CPR and AND terminologies were used.</w:t>
            </w:r>
          </w:p>
        </w:tc>
      </w:tr>
      <w:tr w:rsidR="00EE5072" w:rsidRPr="001F64A9" w14:paraId="77498F07" w14:textId="77777777" w:rsidTr="00AB3534">
        <w:tc>
          <w:tcPr>
            <w:tcW w:w="569" w:type="pct"/>
            <w:tcBorders>
              <w:top w:val="single" w:sz="4" w:space="0" w:color="auto"/>
              <w:left w:val="single" w:sz="4" w:space="0" w:color="auto"/>
              <w:bottom w:val="single" w:sz="4" w:space="0" w:color="auto"/>
              <w:right w:val="single" w:sz="4" w:space="0" w:color="auto"/>
            </w:tcBorders>
            <w:hideMark/>
          </w:tcPr>
          <w:p w14:paraId="7A93BB2C" w14:textId="77777777" w:rsidR="00EE5072" w:rsidRPr="001F64A9" w:rsidRDefault="00EE5072" w:rsidP="00AB3534">
            <w:pPr>
              <w:spacing w:line="360" w:lineRule="auto"/>
              <w:rPr>
                <w:rFonts w:asciiTheme="majorBidi" w:hAnsiTheme="majorBidi" w:cstheme="majorBidi"/>
                <w:i/>
                <w:iCs/>
                <w:szCs w:val="24"/>
              </w:rPr>
            </w:pPr>
            <w:r w:rsidRPr="001F64A9">
              <w:rPr>
                <w:rFonts w:asciiTheme="majorBidi" w:hAnsiTheme="majorBidi" w:cstheme="majorBidi"/>
                <w:szCs w:val="24"/>
              </w:rPr>
              <w:t>Experiment 1c</w:t>
            </w:r>
          </w:p>
        </w:tc>
        <w:tc>
          <w:tcPr>
            <w:tcW w:w="4431" w:type="pct"/>
            <w:tcBorders>
              <w:top w:val="single" w:sz="4" w:space="0" w:color="auto"/>
              <w:left w:val="single" w:sz="4" w:space="0" w:color="auto"/>
              <w:bottom w:val="single" w:sz="4" w:space="0" w:color="auto"/>
              <w:right w:val="single" w:sz="4" w:space="0" w:color="auto"/>
            </w:tcBorders>
            <w:hideMark/>
          </w:tcPr>
          <w:p w14:paraId="1080719C" w14:textId="77777777" w:rsidR="00EE5072" w:rsidRPr="001F64A9" w:rsidRDefault="00EE5072" w:rsidP="00AB3534">
            <w:pPr>
              <w:pStyle w:val="ListParagraph"/>
              <w:numPr>
                <w:ilvl w:val="0"/>
                <w:numId w:val="18"/>
              </w:numPr>
              <w:spacing w:line="360" w:lineRule="auto"/>
              <w:rPr>
                <w:rFonts w:asciiTheme="majorBidi" w:hAnsiTheme="majorBidi" w:cstheme="majorBidi"/>
                <w:szCs w:val="24"/>
              </w:rPr>
            </w:pPr>
            <w:r w:rsidRPr="001F64A9">
              <w:rPr>
                <w:rFonts w:asciiTheme="majorBidi" w:hAnsiTheme="majorBidi" w:cstheme="majorBidi"/>
                <w:szCs w:val="24"/>
              </w:rPr>
              <w:t>Educational video predicted the higher probability of DNR preference and lower probability of CPR preference.</w:t>
            </w:r>
          </w:p>
          <w:p w14:paraId="2A93336F" w14:textId="77777777" w:rsidR="00EE5072" w:rsidRPr="001F64A9" w:rsidRDefault="00EE5072" w:rsidP="00AB3534">
            <w:pPr>
              <w:pStyle w:val="ListParagraph"/>
              <w:numPr>
                <w:ilvl w:val="0"/>
                <w:numId w:val="18"/>
              </w:numPr>
              <w:spacing w:line="360" w:lineRule="auto"/>
              <w:rPr>
                <w:rFonts w:asciiTheme="majorBidi" w:hAnsiTheme="majorBidi" w:cstheme="majorBidi"/>
                <w:szCs w:val="24"/>
              </w:rPr>
            </w:pPr>
            <w:r w:rsidRPr="001F64A9">
              <w:rPr>
                <w:rFonts w:asciiTheme="majorBidi" w:hAnsiTheme="majorBidi" w:cstheme="majorBidi"/>
                <w:szCs w:val="24"/>
              </w:rPr>
              <w:t>Positive frame predicted only the higher probability of CPR preference.</w:t>
            </w:r>
          </w:p>
          <w:p w14:paraId="6C28E0EB" w14:textId="77777777" w:rsidR="00EE5072" w:rsidRPr="001F64A9" w:rsidRDefault="00EE5072" w:rsidP="00AB3534">
            <w:pPr>
              <w:pStyle w:val="ListParagraph"/>
              <w:numPr>
                <w:ilvl w:val="0"/>
                <w:numId w:val="18"/>
              </w:numPr>
              <w:spacing w:line="360" w:lineRule="auto"/>
              <w:rPr>
                <w:rFonts w:asciiTheme="majorBidi" w:hAnsiTheme="majorBidi" w:cstheme="majorBidi"/>
                <w:i/>
                <w:iCs/>
                <w:szCs w:val="24"/>
              </w:rPr>
            </w:pPr>
            <w:r w:rsidRPr="001F64A9">
              <w:rPr>
                <w:rFonts w:asciiTheme="majorBidi" w:hAnsiTheme="majorBidi" w:cstheme="majorBidi"/>
                <w:szCs w:val="24"/>
              </w:rPr>
              <w:t>Interactions of informing and framing for CPR and DNR preferences were non-significant.</w:t>
            </w:r>
          </w:p>
        </w:tc>
      </w:tr>
      <w:tr w:rsidR="00EE5072" w:rsidRPr="001F64A9" w14:paraId="72066554" w14:textId="77777777" w:rsidTr="00AB3534">
        <w:tc>
          <w:tcPr>
            <w:tcW w:w="569" w:type="pct"/>
            <w:tcBorders>
              <w:top w:val="single" w:sz="4" w:space="0" w:color="auto"/>
              <w:left w:val="single" w:sz="4" w:space="0" w:color="auto"/>
              <w:bottom w:val="single" w:sz="4" w:space="0" w:color="auto"/>
              <w:right w:val="single" w:sz="4" w:space="0" w:color="auto"/>
            </w:tcBorders>
            <w:hideMark/>
          </w:tcPr>
          <w:p w14:paraId="5C0102E4" w14:textId="77777777" w:rsidR="00EE5072" w:rsidRPr="001F64A9" w:rsidRDefault="00EE5072" w:rsidP="00AB3534">
            <w:pPr>
              <w:spacing w:line="360" w:lineRule="auto"/>
              <w:rPr>
                <w:rFonts w:asciiTheme="majorBidi" w:hAnsiTheme="majorBidi" w:cstheme="majorBidi"/>
                <w:i/>
                <w:iCs/>
                <w:szCs w:val="24"/>
              </w:rPr>
            </w:pPr>
            <w:r w:rsidRPr="001F64A9">
              <w:rPr>
                <w:rFonts w:asciiTheme="majorBidi" w:hAnsiTheme="majorBidi" w:cstheme="majorBidi"/>
                <w:szCs w:val="24"/>
              </w:rPr>
              <w:t>Experiment 2</w:t>
            </w:r>
          </w:p>
        </w:tc>
        <w:tc>
          <w:tcPr>
            <w:tcW w:w="4431" w:type="pct"/>
            <w:tcBorders>
              <w:top w:val="single" w:sz="4" w:space="0" w:color="auto"/>
              <w:left w:val="single" w:sz="4" w:space="0" w:color="auto"/>
              <w:bottom w:val="single" w:sz="4" w:space="0" w:color="auto"/>
              <w:right w:val="single" w:sz="4" w:space="0" w:color="auto"/>
            </w:tcBorders>
            <w:hideMark/>
          </w:tcPr>
          <w:p w14:paraId="2DD8CEB4" w14:textId="77777777" w:rsidR="00EE5072" w:rsidRPr="001F64A9" w:rsidRDefault="00EE5072" w:rsidP="00AB3534">
            <w:pPr>
              <w:pStyle w:val="ListParagraph"/>
              <w:numPr>
                <w:ilvl w:val="0"/>
                <w:numId w:val="18"/>
              </w:numPr>
              <w:spacing w:line="360" w:lineRule="auto"/>
              <w:rPr>
                <w:rFonts w:asciiTheme="majorBidi" w:eastAsia="Times New Roman" w:hAnsiTheme="majorBidi" w:cstheme="majorBidi"/>
                <w:bCs/>
                <w:szCs w:val="24"/>
              </w:rPr>
            </w:pPr>
            <w:r w:rsidRPr="001F64A9">
              <w:rPr>
                <w:rFonts w:asciiTheme="majorBidi" w:eastAsia="Times New Roman" w:hAnsiTheme="majorBidi" w:cstheme="majorBidi"/>
                <w:bCs/>
                <w:szCs w:val="24"/>
              </w:rPr>
              <w:t>Education performed better than control condition in protecting beneficence for both CPR and DNR decisions.</w:t>
            </w:r>
          </w:p>
          <w:p w14:paraId="717E9C1D" w14:textId="77777777" w:rsidR="00EE5072" w:rsidRPr="001F64A9" w:rsidRDefault="00EE5072" w:rsidP="00AB3534">
            <w:pPr>
              <w:pStyle w:val="ListParagraph"/>
              <w:numPr>
                <w:ilvl w:val="0"/>
                <w:numId w:val="18"/>
              </w:numPr>
              <w:spacing w:line="360" w:lineRule="auto"/>
              <w:rPr>
                <w:rFonts w:asciiTheme="majorBidi" w:eastAsia="Times New Roman" w:hAnsiTheme="majorBidi" w:cstheme="majorBidi"/>
                <w:bCs/>
                <w:szCs w:val="24"/>
              </w:rPr>
            </w:pPr>
            <w:r w:rsidRPr="001F64A9">
              <w:rPr>
                <w:rFonts w:asciiTheme="majorBidi" w:eastAsia="Times New Roman" w:hAnsiTheme="majorBidi" w:cstheme="majorBidi"/>
                <w:bCs/>
                <w:szCs w:val="24"/>
              </w:rPr>
              <w:t>Framing (both positive and negative frames) also performed better than control condition in protecting beneficence for CPR decision.</w:t>
            </w:r>
          </w:p>
          <w:p w14:paraId="213804BD" w14:textId="77777777" w:rsidR="00EE5072" w:rsidRPr="001F64A9" w:rsidRDefault="00EE5072" w:rsidP="00AB3534">
            <w:pPr>
              <w:pStyle w:val="ListParagraph"/>
              <w:numPr>
                <w:ilvl w:val="0"/>
                <w:numId w:val="18"/>
              </w:numPr>
              <w:spacing w:line="360" w:lineRule="auto"/>
              <w:rPr>
                <w:rFonts w:asciiTheme="majorBidi" w:eastAsia="Times New Roman" w:hAnsiTheme="majorBidi" w:cstheme="majorBidi"/>
                <w:bCs/>
                <w:szCs w:val="24"/>
              </w:rPr>
            </w:pPr>
            <w:r w:rsidRPr="001F64A9">
              <w:rPr>
                <w:rFonts w:asciiTheme="majorBidi" w:eastAsia="Times New Roman" w:hAnsiTheme="majorBidi" w:cstheme="majorBidi"/>
                <w:szCs w:val="24"/>
              </w:rPr>
              <w:t>DNR knowledge increased while attitude toward CPR scores decreased in educational video condition only.</w:t>
            </w:r>
          </w:p>
          <w:p w14:paraId="7D1A9867" w14:textId="77777777" w:rsidR="00EE5072" w:rsidRPr="001F64A9" w:rsidRDefault="00EE5072" w:rsidP="00AB3534">
            <w:pPr>
              <w:pStyle w:val="ListParagraph"/>
              <w:numPr>
                <w:ilvl w:val="0"/>
                <w:numId w:val="18"/>
              </w:numPr>
              <w:spacing w:line="360" w:lineRule="auto"/>
              <w:rPr>
                <w:rFonts w:asciiTheme="majorBidi" w:hAnsiTheme="majorBidi" w:cstheme="majorBidi"/>
                <w:szCs w:val="24"/>
              </w:rPr>
            </w:pPr>
            <w:r w:rsidRPr="001F64A9">
              <w:rPr>
                <w:rFonts w:asciiTheme="majorBidi" w:hAnsiTheme="majorBidi" w:cstheme="majorBidi"/>
                <w:szCs w:val="24"/>
              </w:rPr>
              <w:t>DNR knowledge gain fully mediated the positive effect of education on DNR preference after controlling for attitudes toward CPR and DNR.</w:t>
            </w:r>
          </w:p>
          <w:p w14:paraId="0055AE25" w14:textId="77777777" w:rsidR="00EE5072" w:rsidRPr="001F64A9" w:rsidRDefault="00EE5072" w:rsidP="00AB3534">
            <w:pPr>
              <w:pStyle w:val="ListParagraph"/>
              <w:numPr>
                <w:ilvl w:val="0"/>
                <w:numId w:val="18"/>
              </w:numPr>
              <w:spacing w:line="360" w:lineRule="auto"/>
              <w:rPr>
                <w:rFonts w:asciiTheme="majorBidi" w:eastAsia="Times New Roman" w:hAnsiTheme="majorBidi" w:cstheme="majorBidi"/>
                <w:bCs/>
                <w:szCs w:val="24"/>
              </w:rPr>
            </w:pPr>
            <w:r w:rsidRPr="001F64A9">
              <w:rPr>
                <w:rFonts w:asciiTheme="majorBidi" w:hAnsiTheme="majorBidi" w:cstheme="majorBidi"/>
                <w:szCs w:val="24"/>
              </w:rPr>
              <w:t>DNR knowledge gain fully mediated the negative effect of education on CPR preference after controlling for attitudes toward CPR and DNR.</w:t>
            </w:r>
          </w:p>
        </w:tc>
      </w:tr>
    </w:tbl>
    <w:p w14:paraId="7A6A47F1" w14:textId="77777777" w:rsidR="00EE5072" w:rsidRPr="001F64A9" w:rsidRDefault="00EE5072" w:rsidP="00EE5072">
      <w:pPr>
        <w:rPr>
          <w:rFonts w:asciiTheme="majorBidi" w:hAnsiTheme="majorBidi" w:cstheme="majorBidi"/>
        </w:rPr>
      </w:pPr>
    </w:p>
    <w:p w14:paraId="519C025E" w14:textId="77777777" w:rsidR="00EE5072" w:rsidRPr="001F64A9" w:rsidRDefault="00EE5072">
      <w:pPr>
        <w:rPr>
          <w:rFonts w:asciiTheme="majorBidi" w:hAnsiTheme="majorBidi" w:cstheme="majorBidi"/>
        </w:rPr>
      </w:pPr>
    </w:p>
    <w:sectPr w:rsidR="00EE5072" w:rsidRPr="001F64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C2920" w14:textId="77777777" w:rsidR="00B120C2" w:rsidRDefault="00B120C2" w:rsidP="00B92B85">
      <w:pPr>
        <w:spacing w:after="0" w:line="240" w:lineRule="auto"/>
      </w:pPr>
      <w:r>
        <w:separator/>
      </w:r>
    </w:p>
  </w:endnote>
  <w:endnote w:type="continuationSeparator" w:id="0">
    <w:p w14:paraId="555218A0" w14:textId="77777777" w:rsidR="00B120C2" w:rsidRDefault="00B120C2" w:rsidP="00B92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628359"/>
      <w:docPartObj>
        <w:docPartGallery w:val="Page Numbers (Bottom of Page)"/>
        <w:docPartUnique/>
      </w:docPartObj>
    </w:sdtPr>
    <w:sdtEndPr>
      <w:rPr>
        <w:noProof/>
      </w:rPr>
    </w:sdtEndPr>
    <w:sdtContent>
      <w:p w14:paraId="38F27A0A" w14:textId="2055835B" w:rsidR="00EA3497" w:rsidRDefault="00EA34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0EFCB0" w14:textId="77777777" w:rsidR="00220B81" w:rsidRDefault="00220B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872478"/>
      <w:docPartObj>
        <w:docPartGallery w:val="Page Numbers (Bottom of Page)"/>
        <w:docPartUnique/>
      </w:docPartObj>
    </w:sdtPr>
    <w:sdtEndPr>
      <w:rPr>
        <w:noProof/>
      </w:rPr>
    </w:sdtEndPr>
    <w:sdtContent>
      <w:p w14:paraId="5954792E" w14:textId="1CF8FA0E" w:rsidR="00220B81" w:rsidRDefault="00220B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25B43D" w14:textId="77777777" w:rsidR="00220B81" w:rsidRDefault="00220B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D29BF" w14:textId="77777777" w:rsidR="00B120C2" w:rsidRDefault="00B120C2" w:rsidP="00B92B85">
      <w:pPr>
        <w:spacing w:after="0" w:line="240" w:lineRule="auto"/>
      </w:pPr>
      <w:r>
        <w:separator/>
      </w:r>
    </w:p>
  </w:footnote>
  <w:footnote w:type="continuationSeparator" w:id="0">
    <w:p w14:paraId="313B996A" w14:textId="77777777" w:rsidR="00B120C2" w:rsidRDefault="00B120C2" w:rsidP="00B92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5E7D"/>
    <w:multiLevelType w:val="hybridMultilevel"/>
    <w:tmpl w:val="7C66C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6F0D31"/>
    <w:multiLevelType w:val="hybridMultilevel"/>
    <w:tmpl w:val="0ACEF700"/>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9774EFB"/>
    <w:multiLevelType w:val="hybridMultilevel"/>
    <w:tmpl w:val="6DEA1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83D1285"/>
    <w:multiLevelType w:val="hybridMultilevel"/>
    <w:tmpl w:val="71925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384259D"/>
    <w:multiLevelType w:val="hybridMultilevel"/>
    <w:tmpl w:val="57F01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CBA1CFB"/>
    <w:multiLevelType w:val="hybridMultilevel"/>
    <w:tmpl w:val="3C444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4D7280E"/>
    <w:multiLevelType w:val="hybridMultilevel"/>
    <w:tmpl w:val="EBF47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B874FF3"/>
    <w:multiLevelType w:val="hybridMultilevel"/>
    <w:tmpl w:val="EA1E4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731022C"/>
    <w:multiLevelType w:val="hybridMultilevel"/>
    <w:tmpl w:val="6C96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BE87F85"/>
    <w:multiLevelType w:val="hybridMultilevel"/>
    <w:tmpl w:val="F62EF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81649046">
    <w:abstractNumId w:val="1"/>
  </w:num>
  <w:num w:numId="2" w16cid:durableId="14576742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2030587">
    <w:abstractNumId w:val="9"/>
  </w:num>
  <w:num w:numId="4" w16cid:durableId="1702583989">
    <w:abstractNumId w:val="9"/>
    <w:lvlOverride w:ilvl="0"/>
    <w:lvlOverride w:ilvl="1"/>
    <w:lvlOverride w:ilvl="2"/>
    <w:lvlOverride w:ilvl="3"/>
    <w:lvlOverride w:ilvl="4"/>
    <w:lvlOverride w:ilvl="5"/>
    <w:lvlOverride w:ilvl="6"/>
    <w:lvlOverride w:ilvl="7"/>
    <w:lvlOverride w:ilvl="8"/>
  </w:num>
  <w:num w:numId="5" w16cid:durableId="320886781">
    <w:abstractNumId w:val="6"/>
  </w:num>
  <w:num w:numId="6" w16cid:durableId="744451152">
    <w:abstractNumId w:val="6"/>
    <w:lvlOverride w:ilvl="0"/>
    <w:lvlOverride w:ilvl="1"/>
    <w:lvlOverride w:ilvl="2"/>
    <w:lvlOverride w:ilvl="3"/>
    <w:lvlOverride w:ilvl="4"/>
    <w:lvlOverride w:ilvl="5"/>
    <w:lvlOverride w:ilvl="6"/>
    <w:lvlOverride w:ilvl="7"/>
    <w:lvlOverride w:ilvl="8"/>
  </w:num>
  <w:num w:numId="7" w16cid:durableId="1541624390">
    <w:abstractNumId w:val="5"/>
  </w:num>
  <w:num w:numId="8" w16cid:durableId="553851566">
    <w:abstractNumId w:val="5"/>
    <w:lvlOverride w:ilvl="0"/>
    <w:lvlOverride w:ilvl="1"/>
    <w:lvlOverride w:ilvl="2"/>
    <w:lvlOverride w:ilvl="3"/>
    <w:lvlOverride w:ilvl="4"/>
    <w:lvlOverride w:ilvl="5"/>
    <w:lvlOverride w:ilvl="6"/>
    <w:lvlOverride w:ilvl="7"/>
    <w:lvlOverride w:ilvl="8"/>
  </w:num>
  <w:num w:numId="9" w16cid:durableId="604504568">
    <w:abstractNumId w:val="7"/>
  </w:num>
  <w:num w:numId="10" w16cid:durableId="1304696792">
    <w:abstractNumId w:val="7"/>
    <w:lvlOverride w:ilvl="0"/>
    <w:lvlOverride w:ilvl="1"/>
    <w:lvlOverride w:ilvl="2"/>
    <w:lvlOverride w:ilvl="3"/>
    <w:lvlOverride w:ilvl="4"/>
    <w:lvlOverride w:ilvl="5"/>
    <w:lvlOverride w:ilvl="6"/>
    <w:lvlOverride w:ilvl="7"/>
    <w:lvlOverride w:ilvl="8"/>
  </w:num>
  <w:num w:numId="11" w16cid:durableId="779029225">
    <w:abstractNumId w:val="2"/>
  </w:num>
  <w:num w:numId="12" w16cid:durableId="1353727547">
    <w:abstractNumId w:val="2"/>
    <w:lvlOverride w:ilvl="0"/>
    <w:lvlOverride w:ilvl="1"/>
    <w:lvlOverride w:ilvl="2"/>
    <w:lvlOverride w:ilvl="3"/>
    <w:lvlOverride w:ilvl="4"/>
    <w:lvlOverride w:ilvl="5"/>
    <w:lvlOverride w:ilvl="6"/>
    <w:lvlOverride w:ilvl="7"/>
    <w:lvlOverride w:ilvl="8"/>
  </w:num>
  <w:num w:numId="13" w16cid:durableId="1622111002">
    <w:abstractNumId w:val="0"/>
  </w:num>
  <w:num w:numId="14" w16cid:durableId="1314748830">
    <w:abstractNumId w:val="0"/>
    <w:lvlOverride w:ilvl="0"/>
    <w:lvlOverride w:ilvl="1"/>
    <w:lvlOverride w:ilvl="2"/>
    <w:lvlOverride w:ilvl="3"/>
    <w:lvlOverride w:ilvl="4"/>
    <w:lvlOverride w:ilvl="5"/>
    <w:lvlOverride w:ilvl="6"/>
    <w:lvlOverride w:ilvl="7"/>
    <w:lvlOverride w:ilvl="8"/>
  </w:num>
  <w:num w:numId="15" w16cid:durableId="846749836">
    <w:abstractNumId w:val="4"/>
  </w:num>
  <w:num w:numId="16" w16cid:durableId="1710106076">
    <w:abstractNumId w:val="4"/>
    <w:lvlOverride w:ilvl="0"/>
    <w:lvlOverride w:ilvl="1"/>
    <w:lvlOverride w:ilvl="2"/>
    <w:lvlOverride w:ilvl="3"/>
    <w:lvlOverride w:ilvl="4"/>
    <w:lvlOverride w:ilvl="5"/>
    <w:lvlOverride w:ilvl="6"/>
    <w:lvlOverride w:ilvl="7"/>
    <w:lvlOverride w:ilvl="8"/>
  </w:num>
  <w:num w:numId="17" w16cid:durableId="816610298">
    <w:abstractNumId w:val="8"/>
  </w:num>
  <w:num w:numId="18" w16cid:durableId="162480683">
    <w:abstractNumId w:val="8"/>
    <w:lvlOverride w:ilvl="0"/>
    <w:lvlOverride w:ilvl="1"/>
    <w:lvlOverride w:ilvl="2"/>
    <w:lvlOverride w:ilvl="3"/>
    <w:lvlOverride w:ilvl="4"/>
    <w:lvlOverride w:ilvl="5"/>
    <w:lvlOverride w:ilvl="6"/>
    <w:lvlOverride w:ilvl="7"/>
    <w:lvlOverride w:ilvl="8"/>
  </w:num>
  <w:num w:numId="19" w16cid:durableId="1799487607">
    <w:abstractNumId w:val="3"/>
  </w:num>
  <w:num w:numId="20" w16cid:durableId="1596135458">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72"/>
    <w:rsid w:val="001F64A9"/>
    <w:rsid w:val="00220B81"/>
    <w:rsid w:val="009B79D4"/>
    <w:rsid w:val="00B120C2"/>
    <w:rsid w:val="00B323FB"/>
    <w:rsid w:val="00B92B85"/>
    <w:rsid w:val="00C3413F"/>
    <w:rsid w:val="00C62D92"/>
    <w:rsid w:val="00DB518B"/>
    <w:rsid w:val="00DE4EA4"/>
    <w:rsid w:val="00EA3497"/>
    <w:rsid w:val="00EE5072"/>
    <w:rsid w:val="00EE5E53"/>
    <w:rsid w:val="00F16470"/>
    <w:rsid w:val="00F93A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7FA17"/>
  <w15:chartTrackingRefBased/>
  <w15:docId w15:val="{C21FB479-3C53-4D79-B420-B3CA46BB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072"/>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E5072"/>
    <w:rPr>
      <w:color w:val="0563C1" w:themeColor="hyperlink"/>
      <w:u w:val="single"/>
    </w:rPr>
  </w:style>
  <w:style w:type="character" w:styleId="FollowedHyperlink">
    <w:name w:val="FollowedHyperlink"/>
    <w:basedOn w:val="DefaultParagraphFont"/>
    <w:uiPriority w:val="99"/>
    <w:semiHidden/>
    <w:unhideWhenUsed/>
    <w:rsid w:val="00EE5072"/>
    <w:rPr>
      <w:color w:val="954F72" w:themeColor="followedHyperlink"/>
      <w:u w:val="single"/>
    </w:rPr>
  </w:style>
  <w:style w:type="paragraph" w:customStyle="1" w:styleId="msonormal0">
    <w:name w:val="msonormal"/>
    <w:basedOn w:val="Normal"/>
    <w:rsid w:val="00EE5072"/>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EE5072"/>
    <w:pPr>
      <w:spacing w:line="240" w:lineRule="auto"/>
    </w:pPr>
    <w:rPr>
      <w:sz w:val="20"/>
      <w:szCs w:val="20"/>
    </w:rPr>
  </w:style>
  <w:style w:type="character" w:customStyle="1" w:styleId="CommentTextChar">
    <w:name w:val="Comment Text Char"/>
    <w:basedOn w:val="DefaultParagraphFont"/>
    <w:link w:val="CommentText"/>
    <w:uiPriority w:val="99"/>
    <w:semiHidden/>
    <w:rsid w:val="00EE5072"/>
    <w:rPr>
      <w:kern w:val="0"/>
      <w:sz w:val="20"/>
      <w:szCs w:val="20"/>
      <w14:ligatures w14:val="none"/>
    </w:rPr>
  </w:style>
  <w:style w:type="paragraph" w:styleId="Header">
    <w:name w:val="header"/>
    <w:basedOn w:val="Normal"/>
    <w:link w:val="HeaderChar"/>
    <w:uiPriority w:val="99"/>
    <w:unhideWhenUsed/>
    <w:rsid w:val="00EE50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072"/>
    <w:rPr>
      <w:kern w:val="0"/>
      <w14:ligatures w14:val="none"/>
    </w:rPr>
  </w:style>
  <w:style w:type="paragraph" w:styleId="Footer">
    <w:name w:val="footer"/>
    <w:basedOn w:val="Normal"/>
    <w:link w:val="FooterChar"/>
    <w:uiPriority w:val="99"/>
    <w:unhideWhenUsed/>
    <w:rsid w:val="00EE50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072"/>
    <w:rPr>
      <w:kern w:val="0"/>
      <w14:ligatures w14:val="none"/>
    </w:rPr>
  </w:style>
  <w:style w:type="paragraph" w:styleId="CommentSubject">
    <w:name w:val="annotation subject"/>
    <w:basedOn w:val="CommentText"/>
    <w:next w:val="CommentText"/>
    <w:link w:val="CommentSubjectChar"/>
    <w:uiPriority w:val="99"/>
    <w:semiHidden/>
    <w:unhideWhenUsed/>
    <w:rsid w:val="00EE5072"/>
    <w:rPr>
      <w:b/>
      <w:bCs/>
    </w:rPr>
  </w:style>
  <w:style w:type="character" w:customStyle="1" w:styleId="CommentSubjectChar">
    <w:name w:val="Comment Subject Char"/>
    <w:basedOn w:val="CommentTextChar"/>
    <w:link w:val="CommentSubject"/>
    <w:uiPriority w:val="99"/>
    <w:semiHidden/>
    <w:rsid w:val="00EE5072"/>
    <w:rPr>
      <w:b/>
      <w:bCs/>
      <w:kern w:val="0"/>
      <w:sz w:val="20"/>
      <w:szCs w:val="20"/>
      <w14:ligatures w14:val="none"/>
    </w:rPr>
  </w:style>
  <w:style w:type="paragraph" w:styleId="Revision">
    <w:name w:val="Revision"/>
    <w:uiPriority w:val="99"/>
    <w:semiHidden/>
    <w:rsid w:val="00EE5072"/>
    <w:pPr>
      <w:spacing w:after="0" w:line="240" w:lineRule="auto"/>
    </w:pPr>
    <w:rPr>
      <w:kern w:val="0"/>
      <w14:ligatures w14:val="none"/>
    </w:rPr>
  </w:style>
  <w:style w:type="paragraph" w:styleId="ListParagraph">
    <w:name w:val="List Paragraph"/>
    <w:basedOn w:val="Normal"/>
    <w:uiPriority w:val="34"/>
    <w:qFormat/>
    <w:rsid w:val="00EE5072"/>
    <w:pPr>
      <w:ind w:left="720"/>
      <w:contextualSpacing/>
    </w:pPr>
  </w:style>
  <w:style w:type="character" w:styleId="CommentReference">
    <w:name w:val="annotation reference"/>
    <w:basedOn w:val="DefaultParagraphFont"/>
    <w:uiPriority w:val="99"/>
    <w:semiHidden/>
    <w:unhideWhenUsed/>
    <w:rsid w:val="00EE5072"/>
    <w:rPr>
      <w:sz w:val="16"/>
      <w:szCs w:val="16"/>
    </w:rPr>
  </w:style>
  <w:style w:type="character" w:customStyle="1" w:styleId="normaltextrun">
    <w:name w:val="normaltextrun"/>
    <w:basedOn w:val="DefaultParagraphFont"/>
    <w:rsid w:val="00EE5072"/>
  </w:style>
  <w:style w:type="character" w:customStyle="1" w:styleId="highwire-cite-metadata-journal">
    <w:name w:val="highwire-cite-metadata-journal"/>
    <w:basedOn w:val="DefaultParagraphFont"/>
    <w:rsid w:val="00EE5072"/>
  </w:style>
  <w:style w:type="character" w:customStyle="1" w:styleId="highwire-cite-metadata-year">
    <w:name w:val="highwire-cite-metadata-year"/>
    <w:basedOn w:val="DefaultParagraphFont"/>
    <w:rsid w:val="00EE5072"/>
  </w:style>
  <w:style w:type="character" w:customStyle="1" w:styleId="highwire-cite-metadata-volume">
    <w:name w:val="highwire-cite-metadata-volume"/>
    <w:basedOn w:val="DefaultParagraphFont"/>
    <w:rsid w:val="00EE5072"/>
  </w:style>
  <w:style w:type="character" w:customStyle="1" w:styleId="highwire-cite-metadata-pages">
    <w:name w:val="highwire-cite-metadata-pages"/>
    <w:basedOn w:val="DefaultParagraphFont"/>
    <w:rsid w:val="00EE5072"/>
  </w:style>
  <w:style w:type="table" w:styleId="TableGrid">
    <w:name w:val="Table Grid"/>
    <w:basedOn w:val="TableNormal"/>
    <w:uiPriority w:val="39"/>
    <w:rsid w:val="00EE5072"/>
    <w:pPr>
      <w:spacing w:after="0" w:line="240" w:lineRule="auto"/>
    </w:pPr>
    <w:rPr>
      <w:rFonts w:ascii="Times New Roman" w:hAnsi="Times New Roman"/>
      <w:kern w:val="0"/>
      <w:sz w:val="24"/>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E50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85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9/jpm.2011.0505" TargetMode="External"/><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https://doi.org/10.1089/jpm.2011.0505" TargetMode="Externa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429F5-8E27-4397-8002-9F7C2ED57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122</Pages>
  <Words>22077</Words>
  <Characters>125845</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yarenough@outlook.com</dc:creator>
  <cp:keywords/>
  <dc:description/>
  <cp:lastModifiedBy>yarenough@outlook.com</cp:lastModifiedBy>
  <cp:revision>2</cp:revision>
  <dcterms:created xsi:type="dcterms:W3CDTF">2023-07-25T22:54:00Z</dcterms:created>
  <dcterms:modified xsi:type="dcterms:W3CDTF">2023-07-26T00:19:00Z</dcterms:modified>
</cp:coreProperties>
</file>