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52DD2" w:rsidRPr="003F4BC8" w:rsidRDefault="00B52DD2" w:rsidP="00B52DD2">
      <w:pPr>
        <w:spacing w:line="480" w:lineRule="auto"/>
        <w:jc w:val="center"/>
        <w:rPr>
          <w:rFonts w:ascii="Times New Roman" w:hAnsi="Times New Roman" w:cs="Times New Roman"/>
          <w:sz w:val="28"/>
          <w:szCs w:val="28"/>
        </w:rPr>
      </w:pPr>
      <w:r w:rsidRPr="003F4BC8">
        <w:rPr>
          <w:rFonts w:ascii="Times New Roman" w:hAnsi="Times New Roman" w:cs="Times New Roman"/>
          <w:sz w:val="28"/>
          <w:szCs w:val="28"/>
        </w:rPr>
        <w:t>UNIVERSITY OF OKLAHOMA</w:t>
      </w:r>
    </w:p>
    <w:p w:rsidR="00B52DD2" w:rsidRPr="003F4BC8" w:rsidRDefault="00B52DD2" w:rsidP="00B52DD2">
      <w:pPr>
        <w:spacing w:line="480" w:lineRule="auto"/>
        <w:jc w:val="center"/>
        <w:rPr>
          <w:rFonts w:ascii="Times New Roman" w:hAnsi="Times New Roman" w:cs="Times New Roman"/>
          <w:sz w:val="28"/>
          <w:szCs w:val="28"/>
        </w:rPr>
      </w:pPr>
      <w:r w:rsidRPr="003F4BC8">
        <w:rPr>
          <w:rFonts w:ascii="Times New Roman" w:hAnsi="Times New Roman" w:cs="Times New Roman"/>
          <w:sz w:val="28"/>
          <w:szCs w:val="28"/>
        </w:rPr>
        <w:t>GRADUATE COLLEGE</w:t>
      </w:r>
    </w:p>
    <w:p w:rsidR="00B52DD2" w:rsidRDefault="00B52DD2" w:rsidP="00B52DD2">
      <w:pPr>
        <w:widowControl w:val="0"/>
        <w:autoSpaceDE w:val="0"/>
        <w:autoSpaceDN w:val="0"/>
        <w:adjustRightInd w:val="0"/>
        <w:spacing w:line="480" w:lineRule="auto"/>
        <w:jc w:val="center"/>
        <w:rPr>
          <w:rFonts w:ascii="Times New Roman" w:hAnsi="Times New Roman" w:cs="Times New Roman"/>
          <w:sz w:val="28"/>
          <w:szCs w:val="28"/>
        </w:rPr>
      </w:pPr>
    </w:p>
    <w:p w:rsidR="00B52DD2" w:rsidRPr="003F4BC8" w:rsidRDefault="00B52DD2" w:rsidP="00B52DD2">
      <w:pPr>
        <w:widowControl w:val="0"/>
        <w:autoSpaceDE w:val="0"/>
        <w:autoSpaceDN w:val="0"/>
        <w:adjustRightInd w:val="0"/>
        <w:spacing w:line="480" w:lineRule="auto"/>
        <w:jc w:val="center"/>
        <w:rPr>
          <w:rFonts w:ascii="Times New Roman" w:hAnsi="Times New Roman" w:cs="Times New Roman"/>
          <w:sz w:val="28"/>
          <w:szCs w:val="28"/>
        </w:rPr>
      </w:pPr>
    </w:p>
    <w:p w:rsidR="00B52DD2" w:rsidRPr="00C50488" w:rsidRDefault="00B52DD2" w:rsidP="00B52DD2">
      <w:pPr>
        <w:widowControl w:val="0"/>
        <w:autoSpaceDE w:val="0"/>
        <w:autoSpaceDN w:val="0"/>
        <w:adjustRightInd w:val="0"/>
        <w:spacing w:line="480" w:lineRule="auto"/>
        <w:jc w:val="center"/>
        <w:rPr>
          <w:rFonts w:ascii="Times New Roman" w:hAnsi="Times New Roman" w:cs="Times New Roman"/>
          <w:caps/>
          <w:sz w:val="28"/>
          <w:szCs w:val="28"/>
        </w:rPr>
      </w:pPr>
      <w:r w:rsidRPr="00C50488">
        <w:rPr>
          <w:rFonts w:ascii="Times New Roman" w:hAnsi="Times New Roman" w:cs="Times New Roman"/>
          <w:caps/>
          <w:sz w:val="28"/>
          <w:szCs w:val="28"/>
        </w:rPr>
        <w:t xml:space="preserve">Governance, Ideology, Citizen Perceptions and </w:t>
      </w:r>
    </w:p>
    <w:p w:rsidR="00B52DD2" w:rsidRPr="00C50488" w:rsidRDefault="00B52DD2" w:rsidP="00B52DD2">
      <w:pPr>
        <w:widowControl w:val="0"/>
        <w:autoSpaceDE w:val="0"/>
        <w:autoSpaceDN w:val="0"/>
        <w:adjustRightInd w:val="0"/>
        <w:spacing w:line="480" w:lineRule="auto"/>
        <w:jc w:val="center"/>
        <w:rPr>
          <w:rFonts w:ascii="Times New Roman" w:hAnsi="Times New Roman" w:cs="Times New Roman"/>
          <w:caps/>
          <w:sz w:val="28"/>
          <w:szCs w:val="28"/>
        </w:rPr>
      </w:pPr>
      <w:r w:rsidRPr="00C50488">
        <w:rPr>
          <w:rFonts w:ascii="Times New Roman" w:hAnsi="Times New Roman" w:cs="Times New Roman"/>
          <w:caps/>
          <w:sz w:val="28"/>
          <w:szCs w:val="28"/>
        </w:rPr>
        <w:t>the Management of the Nuclear Waste Stalemate in USA</w:t>
      </w:r>
    </w:p>
    <w:p w:rsidR="00B52DD2" w:rsidRDefault="00B52DD2" w:rsidP="00B52DD2">
      <w:pPr>
        <w:widowControl w:val="0"/>
        <w:autoSpaceDE w:val="0"/>
        <w:autoSpaceDN w:val="0"/>
        <w:adjustRightInd w:val="0"/>
        <w:spacing w:line="480" w:lineRule="auto"/>
        <w:jc w:val="center"/>
        <w:rPr>
          <w:rFonts w:ascii="Times New Roman" w:hAnsi="Times New Roman" w:cs="Times New Roman"/>
          <w:sz w:val="28"/>
          <w:szCs w:val="28"/>
        </w:rPr>
      </w:pPr>
    </w:p>
    <w:p w:rsidR="00B52DD2" w:rsidRPr="003F4BC8" w:rsidRDefault="00B52DD2" w:rsidP="00B52DD2">
      <w:pPr>
        <w:widowControl w:val="0"/>
        <w:autoSpaceDE w:val="0"/>
        <w:autoSpaceDN w:val="0"/>
        <w:adjustRightInd w:val="0"/>
        <w:spacing w:line="480" w:lineRule="auto"/>
        <w:jc w:val="center"/>
        <w:rPr>
          <w:rFonts w:ascii="Times New Roman" w:hAnsi="Times New Roman" w:cs="Times New Roman"/>
          <w:sz w:val="28"/>
          <w:szCs w:val="28"/>
        </w:rPr>
      </w:pPr>
    </w:p>
    <w:p w:rsidR="00B52DD2" w:rsidRPr="003F4BC8" w:rsidRDefault="00B52DD2" w:rsidP="00B52DD2">
      <w:pPr>
        <w:spacing w:line="480" w:lineRule="auto"/>
        <w:jc w:val="center"/>
        <w:rPr>
          <w:rFonts w:ascii="Times New Roman" w:hAnsi="Times New Roman" w:cs="Times New Roman"/>
          <w:sz w:val="28"/>
          <w:szCs w:val="28"/>
        </w:rPr>
      </w:pPr>
      <w:r w:rsidRPr="003F4BC8">
        <w:rPr>
          <w:rFonts w:ascii="Times New Roman" w:hAnsi="Times New Roman" w:cs="Times New Roman"/>
          <w:sz w:val="28"/>
          <w:szCs w:val="28"/>
        </w:rPr>
        <w:t>A DISSERTATION</w:t>
      </w:r>
    </w:p>
    <w:p w:rsidR="00B52DD2" w:rsidRPr="003F4BC8" w:rsidRDefault="00B52DD2" w:rsidP="00B52DD2">
      <w:pPr>
        <w:spacing w:line="480" w:lineRule="auto"/>
        <w:jc w:val="center"/>
        <w:rPr>
          <w:rFonts w:ascii="Times New Roman" w:hAnsi="Times New Roman" w:cs="Times New Roman"/>
          <w:sz w:val="28"/>
          <w:szCs w:val="28"/>
        </w:rPr>
      </w:pPr>
      <w:r w:rsidRPr="003F4BC8">
        <w:rPr>
          <w:rFonts w:ascii="Times New Roman" w:hAnsi="Times New Roman" w:cs="Times New Roman"/>
          <w:sz w:val="28"/>
          <w:szCs w:val="28"/>
        </w:rPr>
        <w:t>SUBMITTED TO THE GRADUATE FACULTY</w:t>
      </w:r>
    </w:p>
    <w:p w:rsidR="00B52DD2" w:rsidRPr="003F4BC8" w:rsidRDefault="00B52DD2" w:rsidP="00B52DD2">
      <w:pPr>
        <w:spacing w:line="480" w:lineRule="auto"/>
        <w:jc w:val="center"/>
        <w:rPr>
          <w:rFonts w:ascii="Times New Roman" w:hAnsi="Times New Roman" w:cs="Times New Roman"/>
          <w:sz w:val="28"/>
          <w:szCs w:val="28"/>
        </w:rPr>
      </w:pPr>
      <w:r w:rsidRPr="003F4BC8">
        <w:rPr>
          <w:rFonts w:ascii="Times New Roman" w:hAnsi="Times New Roman" w:cs="Times New Roman"/>
          <w:sz w:val="28"/>
          <w:szCs w:val="28"/>
        </w:rPr>
        <w:t>in partial fulfillment of the requirement for the</w:t>
      </w:r>
    </w:p>
    <w:p w:rsidR="00B52DD2" w:rsidRPr="003F4BC8" w:rsidRDefault="00B52DD2" w:rsidP="00B52DD2">
      <w:pPr>
        <w:spacing w:line="480" w:lineRule="auto"/>
        <w:jc w:val="center"/>
        <w:rPr>
          <w:rFonts w:ascii="Times New Roman" w:hAnsi="Times New Roman" w:cs="Times New Roman"/>
          <w:sz w:val="28"/>
          <w:szCs w:val="28"/>
        </w:rPr>
      </w:pPr>
      <w:r w:rsidRPr="003F4BC8">
        <w:rPr>
          <w:rFonts w:ascii="Times New Roman" w:hAnsi="Times New Roman" w:cs="Times New Roman"/>
          <w:sz w:val="28"/>
          <w:szCs w:val="28"/>
        </w:rPr>
        <w:t>Degree of</w:t>
      </w:r>
    </w:p>
    <w:p w:rsidR="00B52DD2" w:rsidRPr="003F4BC8" w:rsidRDefault="00B52DD2" w:rsidP="00B52DD2">
      <w:pPr>
        <w:spacing w:line="480" w:lineRule="auto"/>
        <w:jc w:val="center"/>
        <w:rPr>
          <w:rFonts w:ascii="Times New Roman" w:hAnsi="Times New Roman" w:cs="Times New Roman"/>
          <w:sz w:val="28"/>
          <w:szCs w:val="28"/>
        </w:rPr>
      </w:pPr>
      <w:r w:rsidRPr="003F4BC8">
        <w:rPr>
          <w:rFonts w:ascii="Times New Roman" w:hAnsi="Times New Roman" w:cs="Times New Roman"/>
          <w:sz w:val="28"/>
          <w:szCs w:val="28"/>
        </w:rPr>
        <w:t>DOCTOR OF PHILOSOPHY</w:t>
      </w:r>
    </w:p>
    <w:p w:rsidR="00B52DD2" w:rsidRPr="003F4BC8" w:rsidRDefault="00B52DD2" w:rsidP="00B52DD2">
      <w:pPr>
        <w:widowControl w:val="0"/>
        <w:autoSpaceDE w:val="0"/>
        <w:autoSpaceDN w:val="0"/>
        <w:adjustRightInd w:val="0"/>
        <w:spacing w:line="480" w:lineRule="auto"/>
        <w:jc w:val="center"/>
        <w:rPr>
          <w:rFonts w:ascii="Times New Roman" w:hAnsi="Times New Roman" w:cs="Times New Roman"/>
          <w:sz w:val="28"/>
          <w:szCs w:val="28"/>
        </w:rPr>
      </w:pPr>
    </w:p>
    <w:p w:rsidR="00B52DD2" w:rsidRPr="003F4BC8" w:rsidRDefault="00B52DD2" w:rsidP="00B52DD2">
      <w:pPr>
        <w:widowControl w:val="0"/>
        <w:autoSpaceDE w:val="0"/>
        <w:autoSpaceDN w:val="0"/>
        <w:adjustRightInd w:val="0"/>
        <w:spacing w:line="480" w:lineRule="auto"/>
        <w:jc w:val="center"/>
        <w:rPr>
          <w:rFonts w:ascii="Times New Roman" w:hAnsi="Times New Roman" w:cs="Times New Roman"/>
          <w:sz w:val="28"/>
          <w:szCs w:val="28"/>
        </w:rPr>
      </w:pPr>
    </w:p>
    <w:p w:rsidR="00B52DD2" w:rsidRPr="008D16FB" w:rsidRDefault="00B52DD2" w:rsidP="00B52DD2">
      <w:pPr>
        <w:widowControl w:val="0"/>
        <w:autoSpaceDE w:val="0"/>
        <w:autoSpaceDN w:val="0"/>
        <w:adjustRightInd w:val="0"/>
        <w:spacing w:line="480" w:lineRule="auto"/>
        <w:jc w:val="center"/>
        <w:rPr>
          <w:rFonts w:ascii="Times New Roman" w:hAnsi="Times New Roman" w:cs="Times New Roman"/>
          <w:sz w:val="28"/>
          <w:szCs w:val="28"/>
        </w:rPr>
      </w:pPr>
      <w:r w:rsidRPr="008D16FB">
        <w:rPr>
          <w:rFonts w:ascii="Times New Roman" w:hAnsi="Times New Roman" w:cs="Times New Roman"/>
          <w:sz w:val="28"/>
          <w:szCs w:val="28"/>
        </w:rPr>
        <w:t>By</w:t>
      </w:r>
    </w:p>
    <w:p w:rsidR="00B52DD2" w:rsidRPr="00C50488" w:rsidRDefault="00B52DD2" w:rsidP="00B52DD2">
      <w:pPr>
        <w:widowControl w:val="0"/>
        <w:autoSpaceDE w:val="0"/>
        <w:autoSpaceDN w:val="0"/>
        <w:adjustRightInd w:val="0"/>
        <w:jc w:val="center"/>
        <w:rPr>
          <w:rFonts w:ascii="Times New Roman" w:hAnsi="Times New Roman" w:cs="Times New Roman"/>
          <w:caps/>
          <w:sz w:val="28"/>
          <w:szCs w:val="28"/>
        </w:rPr>
      </w:pPr>
      <w:r w:rsidRPr="00C50488">
        <w:rPr>
          <w:rFonts w:ascii="Times New Roman" w:hAnsi="Times New Roman" w:cs="Times New Roman"/>
          <w:caps/>
          <w:sz w:val="28"/>
          <w:szCs w:val="28"/>
        </w:rPr>
        <w:t xml:space="preserve">Ani Ter-Mkrtchyan </w:t>
      </w:r>
    </w:p>
    <w:p w:rsidR="00B52DD2" w:rsidRPr="008D16FB" w:rsidRDefault="00B52DD2" w:rsidP="00B52DD2">
      <w:pPr>
        <w:widowControl w:val="0"/>
        <w:autoSpaceDE w:val="0"/>
        <w:autoSpaceDN w:val="0"/>
        <w:adjustRightInd w:val="0"/>
        <w:jc w:val="center"/>
        <w:rPr>
          <w:rFonts w:ascii="Times New Roman" w:hAnsi="Times New Roman" w:cs="Times New Roman"/>
          <w:sz w:val="28"/>
          <w:szCs w:val="28"/>
        </w:rPr>
      </w:pPr>
      <w:r w:rsidRPr="008D16FB">
        <w:rPr>
          <w:rFonts w:ascii="Times New Roman" w:hAnsi="Times New Roman" w:cs="Times New Roman"/>
          <w:sz w:val="28"/>
          <w:szCs w:val="28"/>
        </w:rPr>
        <w:t>Norman, Oklahoma</w:t>
      </w:r>
    </w:p>
    <w:p w:rsidR="00B52DD2" w:rsidRPr="008D16FB" w:rsidRDefault="00B52DD2" w:rsidP="00B52DD2">
      <w:pPr>
        <w:widowControl w:val="0"/>
        <w:autoSpaceDE w:val="0"/>
        <w:autoSpaceDN w:val="0"/>
        <w:adjustRightInd w:val="0"/>
        <w:jc w:val="center"/>
        <w:rPr>
          <w:rFonts w:ascii="Times New Roman" w:hAnsi="Times New Roman" w:cs="Times New Roman"/>
          <w:sz w:val="28"/>
          <w:szCs w:val="28"/>
        </w:rPr>
      </w:pPr>
      <w:r w:rsidRPr="008D16FB">
        <w:rPr>
          <w:rFonts w:ascii="Times New Roman" w:hAnsi="Times New Roman" w:cs="Times New Roman"/>
          <w:sz w:val="28"/>
          <w:szCs w:val="28"/>
        </w:rPr>
        <w:t>2020</w:t>
      </w:r>
    </w:p>
    <w:p w:rsidR="00B52DD2" w:rsidRPr="003F4BC8" w:rsidRDefault="00B52DD2" w:rsidP="00B52DD2">
      <w:pPr>
        <w:rPr>
          <w:rFonts w:ascii="Times New Roman" w:hAnsi="Times New Roman" w:cs="Times New Roman"/>
          <w:b/>
          <w:bCs/>
          <w:i/>
        </w:rPr>
      </w:pPr>
      <w:r w:rsidRPr="003F4BC8">
        <w:rPr>
          <w:rFonts w:ascii="Times New Roman" w:hAnsi="Times New Roman" w:cs="Times New Roman"/>
          <w:b/>
          <w:bCs/>
          <w:i/>
        </w:rPr>
        <w:br w:type="page"/>
      </w:r>
    </w:p>
    <w:p w:rsidR="00B52DD2" w:rsidRPr="00C50488" w:rsidRDefault="00B52DD2" w:rsidP="00B52DD2">
      <w:pPr>
        <w:widowControl w:val="0"/>
        <w:autoSpaceDE w:val="0"/>
        <w:autoSpaceDN w:val="0"/>
        <w:adjustRightInd w:val="0"/>
        <w:spacing w:line="480" w:lineRule="auto"/>
        <w:jc w:val="center"/>
        <w:rPr>
          <w:rFonts w:ascii="Times New Roman" w:hAnsi="Times New Roman" w:cs="Times New Roman"/>
          <w:caps/>
          <w:sz w:val="28"/>
          <w:szCs w:val="28"/>
        </w:rPr>
      </w:pPr>
      <w:r w:rsidRPr="00C50488">
        <w:rPr>
          <w:rFonts w:ascii="Times New Roman" w:hAnsi="Times New Roman" w:cs="Times New Roman"/>
          <w:caps/>
          <w:sz w:val="28"/>
          <w:szCs w:val="28"/>
        </w:rPr>
        <w:lastRenderedPageBreak/>
        <w:t xml:space="preserve">Governance, Ideology, Citizen Perceptions and </w:t>
      </w:r>
    </w:p>
    <w:p w:rsidR="00B52DD2" w:rsidRPr="00C50488" w:rsidRDefault="00B52DD2" w:rsidP="00B52DD2">
      <w:pPr>
        <w:widowControl w:val="0"/>
        <w:autoSpaceDE w:val="0"/>
        <w:autoSpaceDN w:val="0"/>
        <w:adjustRightInd w:val="0"/>
        <w:spacing w:line="480" w:lineRule="auto"/>
        <w:jc w:val="center"/>
        <w:rPr>
          <w:rFonts w:ascii="Times New Roman" w:hAnsi="Times New Roman" w:cs="Times New Roman"/>
          <w:caps/>
          <w:sz w:val="28"/>
          <w:szCs w:val="28"/>
        </w:rPr>
      </w:pPr>
      <w:r w:rsidRPr="00C50488">
        <w:rPr>
          <w:rFonts w:ascii="Times New Roman" w:hAnsi="Times New Roman" w:cs="Times New Roman"/>
          <w:caps/>
          <w:sz w:val="28"/>
          <w:szCs w:val="28"/>
        </w:rPr>
        <w:t>the Management of the Nuclear Waste Stalemate in USA</w:t>
      </w:r>
    </w:p>
    <w:p w:rsidR="00B52DD2" w:rsidRPr="003F4BC8" w:rsidRDefault="00B52DD2" w:rsidP="00B52DD2">
      <w:pPr>
        <w:widowControl w:val="0"/>
        <w:autoSpaceDE w:val="0"/>
        <w:autoSpaceDN w:val="0"/>
        <w:adjustRightInd w:val="0"/>
        <w:spacing w:line="480" w:lineRule="auto"/>
        <w:jc w:val="center"/>
        <w:rPr>
          <w:rFonts w:ascii="Times New Roman" w:hAnsi="Times New Roman" w:cs="Times New Roman"/>
          <w:sz w:val="28"/>
          <w:szCs w:val="28"/>
        </w:rPr>
      </w:pPr>
    </w:p>
    <w:p w:rsidR="00B52DD2" w:rsidRPr="003F4BC8" w:rsidRDefault="00B52DD2" w:rsidP="00B52DD2">
      <w:pPr>
        <w:jc w:val="center"/>
        <w:rPr>
          <w:rFonts w:ascii="Times New Roman" w:hAnsi="Times New Roman" w:cs="Times New Roman"/>
        </w:rPr>
      </w:pPr>
      <w:r w:rsidRPr="003F4BC8">
        <w:rPr>
          <w:rFonts w:ascii="Times New Roman" w:hAnsi="Times New Roman" w:cs="Times New Roman"/>
        </w:rPr>
        <w:t>A DISSERTATION APPROVED FOR THE DEPARTMENT OF POLITICAL SCIENCE</w:t>
      </w:r>
    </w:p>
    <w:p w:rsidR="00B52DD2" w:rsidRPr="003F4BC8" w:rsidRDefault="00B52DD2" w:rsidP="00B52DD2">
      <w:pPr>
        <w:jc w:val="center"/>
        <w:rPr>
          <w:rFonts w:ascii="Times New Roman" w:hAnsi="Times New Roman" w:cs="Times New Roman"/>
        </w:rPr>
      </w:pPr>
    </w:p>
    <w:p w:rsidR="00B52DD2" w:rsidRDefault="00B52DD2" w:rsidP="00B52DD2">
      <w:pPr>
        <w:jc w:val="center"/>
        <w:rPr>
          <w:rFonts w:ascii="Times New Roman" w:hAnsi="Times New Roman" w:cs="Times New Roman"/>
        </w:rPr>
      </w:pPr>
    </w:p>
    <w:p w:rsidR="00B52DD2" w:rsidRPr="003F4BC8" w:rsidRDefault="00B52DD2" w:rsidP="00B52DD2">
      <w:pPr>
        <w:jc w:val="center"/>
        <w:rPr>
          <w:rFonts w:ascii="Times New Roman" w:hAnsi="Times New Roman" w:cs="Times New Roman"/>
        </w:rPr>
      </w:pPr>
    </w:p>
    <w:p w:rsidR="00B52DD2" w:rsidRDefault="00B52DD2" w:rsidP="00B52DD2">
      <w:pPr>
        <w:jc w:val="center"/>
        <w:rPr>
          <w:rFonts w:ascii="Times New Roman" w:hAnsi="Times New Roman" w:cs="Times New Roman"/>
        </w:rPr>
      </w:pPr>
      <w:r w:rsidRPr="003F4BC8">
        <w:rPr>
          <w:rFonts w:ascii="Times New Roman" w:hAnsi="Times New Roman" w:cs="Times New Roman"/>
        </w:rPr>
        <w:t>BY</w:t>
      </w:r>
      <w:r>
        <w:rPr>
          <w:rFonts w:ascii="Times New Roman" w:hAnsi="Times New Roman" w:cs="Times New Roman"/>
        </w:rPr>
        <w:t xml:space="preserve"> THE COMMITTEE CONSISTING OF</w:t>
      </w:r>
    </w:p>
    <w:p w:rsidR="00B52DD2" w:rsidRDefault="00B52DD2" w:rsidP="00B52DD2">
      <w:pPr>
        <w:jc w:val="center"/>
        <w:rPr>
          <w:rFonts w:ascii="Times New Roman" w:hAnsi="Times New Roman" w:cs="Times New Roman"/>
        </w:rPr>
      </w:pPr>
    </w:p>
    <w:p w:rsidR="00B52DD2" w:rsidRPr="003F4BC8" w:rsidRDefault="00B52DD2" w:rsidP="00B52DD2">
      <w:pPr>
        <w:jc w:val="center"/>
        <w:rPr>
          <w:rFonts w:ascii="Times New Roman" w:hAnsi="Times New Roman" w:cs="Times New Roman"/>
        </w:rPr>
      </w:pPr>
    </w:p>
    <w:p w:rsidR="00B52DD2" w:rsidRPr="003F4BC8" w:rsidRDefault="00B52DD2" w:rsidP="00B52DD2">
      <w:pPr>
        <w:rPr>
          <w:rFonts w:ascii="Times New Roman" w:hAnsi="Times New Roman" w:cs="Times New Roman"/>
        </w:rPr>
      </w:pPr>
    </w:p>
    <w:p w:rsidR="00B52DD2" w:rsidRDefault="00B52DD2" w:rsidP="00B52DD2">
      <w:pPr>
        <w:jc w:val="right"/>
        <w:rPr>
          <w:rFonts w:ascii="Times New Roman" w:hAnsi="Times New Roman" w:cs="Times New Roman"/>
        </w:rPr>
      </w:pPr>
      <w:r w:rsidRPr="003F4BC8">
        <w:rPr>
          <w:rFonts w:ascii="Times New Roman" w:hAnsi="Times New Roman" w:cs="Times New Roman"/>
        </w:rPr>
        <w:t>Dr. Hank Jenkins-Smith, Chair</w:t>
      </w:r>
    </w:p>
    <w:p w:rsidR="00B52DD2" w:rsidRPr="003F4BC8" w:rsidRDefault="00B52DD2" w:rsidP="00B52DD2">
      <w:pPr>
        <w:jc w:val="right"/>
        <w:rPr>
          <w:rFonts w:ascii="Times New Roman" w:hAnsi="Times New Roman" w:cs="Times New Roman"/>
        </w:rPr>
      </w:pPr>
    </w:p>
    <w:p w:rsidR="00B52DD2" w:rsidRPr="003F4BC8" w:rsidRDefault="00B52DD2" w:rsidP="00B52DD2">
      <w:pPr>
        <w:jc w:val="right"/>
        <w:rPr>
          <w:rFonts w:ascii="Times New Roman" w:hAnsi="Times New Roman" w:cs="Times New Roman"/>
        </w:rPr>
      </w:pPr>
    </w:p>
    <w:p w:rsidR="00B52DD2" w:rsidRDefault="00B52DD2" w:rsidP="00B52DD2">
      <w:pPr>
        <w:jc w:val="right"/>
        <w:rPr>
          <w:rFonts w:ascii="Times New Roman" w:hAnsi="Times New Roman" w:cs="Times New Roman"/>
        </w:rPr>
      </w:pPr>
      <w:r w:rsidRPr="003F4BC8">
        <w:rPr>
          <w:rFonts w:ascii="Times New Roman" w:hAnsi="Times New Roman" w:cs="Times New Roman"/>
        </w:rPr>
        <w:t>Dr. Joseph Ripberger</w:t>
      </w:r>
    </w:p>
    <w:p w:rsidR="00B52DD2" w:rsidRPr="003F4BC8" w:rsidRDefault="00B52DD2" w:rsidP="00B52DD2">
      <w:pPr>
        <w:jc w:val="right"/>
        <w:rPr>
          <w:rFonts w:ascii="Times New Roman" w:hAnsi="Times New Roman" w:cs="Times New Roman"/>
        </w:rPr>
      </w:pPr>
    </w:p>
    <w:p w:rsidR="00B52DD2" w:rsidRPr="003F4BC8" w:rsidRDefault="00B52DD2" w:rsidP="00B52DD2">
      <w:pPr>
        <w:jc w:val="right"/>
        <w:rPr>
          <w:rFonts w:ascii="Times New Roman" w:hAnsi="Times New Roman" w:cs="Times New Roman"/>
        </w:rPr>
      </w:pPr>
    </w:p>
    <w:p w:rsidR="00B52DD2" w:rsidRDefault="00B52DD2" w:rsidP="00B52DD2">
      <w:pPr>
        <w:jc w:val="right"/>
        <w:rPr>
          <w:rFonts w:ascii="Times New Roman" w:hAnsi="Times New Roman" w:cs="Times New Roman"/>
        </w:rPr>
      </w:pPr>
      <w:r w:rsidRPr="003F4BC8">
        <w:rPr>
          <w:rFonts w:ascii="Times New Roman" w:hAnsi="Times New Roman" w:cs="Times New Roman"/>
        </w:rPr>
        <w:t>Dr. Scott Robinson</w:t>
      </w:r>
    </w:p>
    <w:p w:rsidR="00B52DD2" w:rsidRPr="003F4BC8" w:rsidRDefault="00B52DD2" w:rsidP="00B52DD2">
      <w:pPr>
        <w:jc w:val="right"/>
        <w:rPr>
          <w:rFonts w:ascii="Times New Roman" w:hAnsi="Times New Roman" w:cs="Times New Roman"/>
        </w:rPr>
      </w:pPr>
    </w:p>
    <w:p w:rsidR="00B52DD2" w:rsidRPr="003F4BC8" w:rsidRDefault="00B52DD2" w:rsidP="00B52DD2">
      <w:pPr>
        <w:jc w:val="right"/>
        <w:rPr>
          <w:rFonts w:ascii="Times New Roman" w:hAnsi="Times New Roman" w:cs="Times New Roman"/>
        </w:rPr>
      </w:pPr>
    </w:p>
    <w:p w:rsidR="00B52DD2" w:rsidRDefault="00B52DD2" w:rsidP="00B52DD2">
      <w:pPr>
        <w:jc w:val="right"/>
        <w:rPr>
          <w:rFonts w:ascii="Times New Roman" w:hAnsi="Times New Roman" w:cs="Times New Roman"/>
        </w:rPr>
      </w:pPr>
      <w:r w:rsidRPr="003F4BC8">
        <w:rPr>
          <w:rFonts w:ascii="Times New Roman" w:hAnsi="Times New Roman" w:cs="Times New Roman"/>
        </w:rPr>
        <w:t>Dr. Carol Silva</w:t>
      </w:r>
    </w:p>
    <w:p w:rsidR="00B52DD2" w:rsidRPr="003F4BC8" w:rsidRDefault="00B52DD2" w:rsidP="00B52DD2">
      <w:pPr>
        <w:jc w:val="right"/>
        <w:rPr>
          <w:rFonts w:ascii="Times New Roman" w:hAnsi="Times New Roman" w:cs="Times New Roman"/>
        </w:rPr>
      </w:pPr>
    </w:p>
    <w:p w:rsidR="00B52DD2" w:rsidRPr="003F4BC8" w:rsidRDefault="00B52DD2" w:rsidP="00B52DD2">
      <w:pPr>
        <w:jc w:val="right"/>
        <w:rPr>
          <w:rFonts w:ascii="Times New Roman" w:hAnsi="Times New Roman" w:cs="Times New Roman"/>
        </w:rPr>
      </w:pPr>
    </w:p>
    <w:p w:rsidR="00B52DD2" w:rsidRPr="003F4BC8" w:rsidRDefault="00B52DD2" w:rsidP="00B52DD2">
      <w:pPr>
        <w:jc w:val="right"/>
        <w:rPr>
          <w:rFonts w:ascii="Times New Roman" w:hAnsi="Times New Roman" w:cs="Times New Roman"/>
        </w:rPr>
      </w:pPr>
      <w:r w:rsidRPr="003F4BC8">
        <w:rPr>
          <w:rFonts w:ascii="Times New Roman" w:hAnsi="Times New Roman" w:cs="Times New Roman"/>
        </w:rPr>
        <w:t>Dr. Justin Reedy</w:t>
      </w:r>
    </w:p>
    <w:p w:rsidR="00B52DD2" w:rsidRDefault="00B52DD2" w:rsidP="00B52DD2">
      <w:pPr>
        <w:jc w:val="right"/>
        <w:rPr>
          <w:rFonts w:ascii="Times New Roman" w:hAnsi="Times New Roman" w:cs="Times New Roman"/>
        </w:rPr>
      </w:pPr>
      <w:r>
        <w:rPr>
          <w:rFonts w:ascii="Times New Roman" w:hAnsi="Times New Roman" w:cs="Times New Roman"/>
        </w:rPr>
        <w:br w:type="page"/>
      </w: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Default="00B52DD2" w:rsidP="00B52DD2">
      <w:pPr>
        <w:jc w:val="center"/>
        <w:rPr>
          <w:rFonts w:ascii="Palatino Linotype" w:hAnsi="Palatino Linotype" w:cs="Times New Roman"/>
        </w:rPr>
      </w:pPr>
    </w:p>
    <w:p w:rsidR="00B52DD2" w:rsidRPr="00E25E2A" w:rsidRDefault="00B52DD2" w:rsidP="00B52DD2">
      <w:pPr>
        <w:jc w:val="center"/>
        <w:rPr>
          <w:rFonts w:ascii="Times New Roman" w:hAnsi="Times New Roman" w:cs="Times New Roman"/>
        </w:rPr>
      </w:pPr>
      <w:r>
        <w:rPr>
          <w:rFonts w:ascii="Palatino Linotype" w:hAnsi="Palatino Linotype" w:cs="Times New Roman"/>
        </w:rPr>
        <w:t xml:space="preserve">© Copyright by </w:t>
      </w:r>
      <w:r w:rsidRPr="00C50488">
        <w:rPr>
          <w:rFonts w:ascii="Palatino Linotype" w:hAnsi="Palatino Linotype" w:cs="Times New Roman"/>
          <w:caps/>
        </w:rPr>
        <w:t>Ani Ter-Mkrtchyan</w:t>
      </w:r>
      <w:r>
        <w:rPr>
          <w:rFonts w:ascii="Palatino Linotype" w:hAnsi="Palatino Linotype" w:cs="Times New Roman"/>
        </w:rPr>
        <w:t xml:space="preserve"> 2020</w:t>
      </w:r>
    </w:p>
    <w:p w:rsidR="00B52DD2" w:rsidRDefault="00B52DD2" w:rsidP="00B52DD2">
      <w:pPr>
        <w:jc w:val="center"/>
        <w:rPr>
          <w:rFonts w:ascii="Palatino Linotype" w:hAnsi="Palatino Linotype" w:cs="Times New Roman"/>
        </w:rPr>
        <w:sectPr w:rsidR="00B52DD2" w:rsidSect="00150C36">
          <w:headerReference w:type="even" r:id="rId7"/>
          <w:pgSz w:w="12240" w:h="15840"/>
          <w:pgMar w:top="1440" w:right="1440" w:bottom="1440" w:left="1440" w:header="720" w:footer="720" w:gutter="0"/>
          <w:cols w:space="720"/>
          <w:titlePg/>
          <w:docGrid w:linePitch="360"/>
        </w:sectPr>
      </w:pPr>
      <w:r>
        <w:rPr>
          <w:rFonts w:ascii="Palatino Linotype" w:hAnsi="Palatino Linotype" w:cs="Times New Roman"/>
        </w:rPr>
        <w:t>All Rights Reserved.</w:t>
      </w:r>
    </w:p>
    <w:p w:rsidR="00B52DD2" w:rsidRPr="00150C36" w:rsidRDefault="00B52DD2" w:rsidP="00B52DD2">
      <w:pPr>
        <w:jc w:val="center"/>
        <w:rPr>
          <w:rFonts w:ascii="Times New Roman" w:hAnsi="Times New Roman" w:cs="Times New Roman"/>
          <w:b/>
          <w:sz w:val="28"/>
          <w:szCs w:val="28"/>
        </w:rPr>
      </w:pPr>
      <w:r w:rsidRPr="00150C36">
        <w:rPr>
          <w:rFonts w:ascii="Times New Roman" w:hAnsi="Times New Roman" w:cs="Times New Roman"/>
          <w:b/>
          <w:sz w:val="28"/>
          <w:szCs w:val="28"/>
        </w:rPr>
        <w:lastRenderedPageBreak/>
        <w:t>Dedication</w:t>
      </w:r>
    </w:p>
    <w:p w:rsidR="00B52DD2" w:rsidRPr="00150C36" w:rsidRDefault="00B52DD2" w:rsidP="00B52DD2">
      <w:pPr>
        <w:jc w:val="center"/>
        <w:rPr>
          <w:rFonts w:ascii="Times New Roman" w:hAnsi="Times New Roman" w:cs="Times New Roman"/>
          <w:b/>
          <w:sz w:val="28"/>
          <w:szCs w:val="28"/>
        </w:rPr>
      </w:pPr>
    </w:p>
    <w:p w:rsidR="00B52DD2" w:rsidRPr="00150C36" w:rsidRDefault="00B52DD2" w:rsidP="00B52DD2">
      <w:pPr>
        <w:spacing w:line="480" w:lineRule="auto"/>
        <w:jc w:val="center"/>
        <w:rPr>
          <w:rFonts w:ascii="Times New Roman" w:eastAsia="Times New Roman" w:hAnsi="Times New Roman" w:cs="Times New Roman"/>
        </w:rPr>
      </w:pPr>
      <w:r w:rsidRPr="00150C36">
        <w:rPr>
          <w:rFonts w:ascii="Times New Roman" w:eastAsia="Times New Roman" w:hAnsi="Times New Roman" w:cs="Times New Roman"/>
        </w:rPr>
        <w:t xml:space="preserve">This dissertation is dedicated to all those little girls who have big dreams. You deserve to pursue your education and it does not have to turn into a dream. Particular sentiment of gratitude to my grandma </w:t>
      </w:r>
      <w:r w:rsidR="00150C36" w:rsidRPr="00150C36">
        <w:rPr>
          <w:rFonts w:ascii="Times New Roman" w:eastAsia="Times New Roman" w:hAnsi="Times New Roman" w:cs="Times New Roman"/>
        </w:rPr>
        <w:t xml:space="preserve">Julieta Kalantarian </w:t>
      </w:r>
      <w:r w:rsidRPr="00150C36">
        <w:rPr>
          <w:rFonts w:ascii="Times New Roman" w:eastAsia="Times New Roman" w:hAnsi="Times New Roman" w:cs="Times New Roman"/>
        </w:rPr>
        <w:t>who urged me to move on in search of my aspirations.</w:t>
      </w:r>
    </w:p>
    <w:p w:rsidR="00B52DD2" w:rsidRDefault="00B52DD2" w:rsidP="00B52DD2">
      <w:pPr>
        <w:jc w:val="center"/>
        <w:rPr>
          <w:rFonts w:ascii="Palatino Linotype" w:hAnsi="Palatino Linotype" w:cs="Times New Roman"/>
          <w:b/>
          <w:sz w:val="28"/>
          <w:szCs w:val="28"/>
        </w:rPr>
      </w:pPr>
    </w:p>
    <w:p w:rsidR="00B52DD2" w:rsidRDefault="00B52DD2" w:rsidP="00B52DD2">
      <w:pPr>
        <w:jc w:val="center"/>
        <w:rPr>
          <w:rFonts w:ascii="Palatino Linotype" w:hAnsi="Palatino Linotype" w:cs="Times New Roman"/>
          <w:b/>
          <w:sz w:val="28"/>
          <w:szCs w:val="28"/>
        </w:rPr>
      </w:pPr>
    </w:p>
    <w:p w:rsidR="00B52DD2" w:rsidRDefault="00B52DD2" w:rsidP="00B52DD2">
      <w:pPr>
        <w:jc w:val="center"/>
        <w:rPr>
          <w:rFonts w:ascii="Palatino Linotype" w:hAnsi="Palatino Linotype" w:cs="Times New Roman"/>
          <w:b/>
          <w:sz w:val="28"/>
          <w:szCs w:val="28"/>
        </w:rPr>
      </w:pPr>
    </w:p>
    <w:p w:rsidR="00B52DD2" w:rsidRDefault="00B52DD2" w:rsidP="00B52DD2">
      <w:pPr>
        <w:jc w:val="center"/>
        <w:rPr>
          <w:rFonts w:ascii="Palatino Linotype" w:hAnsi="Palatino Linotype" w:cs="Times New Roman"/>
          <w:b/>
          <w:sz w:val="28"/>
          <w:szCs w:val="28"/>
        </w:rPr>
      </w:pPr>
    </w:p>
    <w:p w:rsidR="00B52DD2" w:rsidRDefault="00B52DD2" w:rsidP="00B52DD2">
      <w:pPr>
        <w:jc w:val="center"/>
        <w:rPr>
          <w:rFonts w:ascii="Palatino Linotype" w:hAnsi="Palatino Linotype" w:cs="Times New Roman"/>
          <w:b/>
          <w:sz w:val="28"/>
          <w:szCs w:val="28"/>
        </w:rPr>
      </w:pPr>
    </w:p>
    <w:p w:rsidR="00B52DD2" w:rsidRDefault="00B52DD2" w:rsidP="00B52DD2">
      <w:pPr>
        <w:jc w:val="center"/>
        <w:rPr>
          <w:rFonts w:ascii="Palatino Linotype" w:hAnsi="Palatino Linotype" w:cs="Times New Roman"/>
          <w:b/>
          <w:sz w:val="28"/>
          <w:szCs w:val="28"/>
        </w:rPr>
      </w:pPr>
    </w:p>
    <w:p w:rsidR="00B52DD2" w:rsidRDefault="00B52DD2" w:rsidP="00B52DD2">
      <w:pPr>
        <w:jc w:val="center"/>
        <w:rPr>
          <w:rFonts w:ascii="Palatino Linotype" w:hAnsi="Palatino Linotype" w:cs="Times New Roman"/>
          <w:b/>
          <w:sz w:val="28"/>
          <w:szCs w:val="28"/>
        </w:rPr>
      </w:pPr>
    </w:p>
    <w:p w:rsidR="00B52DD2" w:rsidRDefault="00B52DD2" w:rsidP="00B52DD2">
      <w:pPr>
        <w:jc w:val="center"/>
        <w:rPr>
          <w:rFonts w:ascii="Palatino Linotype" w:hAnsi="Palatino Linotype" w:cs="Times New Roman"/>
          <w:b/>
          <w:sz w:val="28"/>
          <w:szCs w:val="28"/>
        </w:rPr>
      </w:pPr>
    </w:p>
    <w:p w:rsidR="00B52DD2" w:rsidRDefault="00B52DD2" w:rsidP="00B52DD2">
      <w:pPr>
        <w:jc w:val="center"/>
        <w:rPr>
          <w:rFonts w:ascii="Palatino Linotype" w:hAnsi="Palatino Linotype" w:cs="Times New Roman"/>
          <w:b/>
          <w:sz w:val="28"/>
          <w:szCs w:val="28"/>
        </w:rPr>
      </w:pPr>
    </w:p>
    <w:p w:rsidR="00B52DD2" w:rsidRDefault="00B52DD2" w:rsidP="00B52DD2">
      <w:pPr>
        <w:jc w:val="center"/>
        <w:rPr>
          <w:rFonts w:ascii="Palatino Linotype" w:hAnsi="Palatino Linotype" w:cs="Times New Roman"/>
          <w:b/>
          <w:sz w:val="28"/>
          <w:szCs w:val="28"/>
        </w:rPr>
      </w:pPr>
      <w:r>
        <w:rPr>
          <w:rFonts w:ascii="Palatino Linotype" w:hAnsi="Palatino Linotype" w:cs="Times New Roman"/>
          <w:b/>
          <w:sz w:val="28"/>
          <w:szCs w:val="28"/>
        </w:rPr>
        <w:br w:type="page"/>
      </w:r>
    </w:p>
    <w:p w:rsidR="00B52DD2" w:rsidRPr="00150C36" w:rsidRDefault="00B52DD2" w:rsidP="00B52DD2">
      <w:pPr>
        <w:jc w:val="center"/>
        <w:rPr>
          <w:rFonts w:ascii="Times New Roman" w:hAnsi="Times New Roman" w:cs="Times New Roman"/>
          <w:b/>
          <w:sz w:val="28"/>
          <w:szCs w:val="28"/>
        </w:rPr>
      </w:pPr>
      <w:r w:rsidRPr="00150C36">
        <w:rPr>
          <w:rFonts w:ascii="Times New Roman" w:hAnsi="Times New Roman" w:cs="Times New Roman"/>
          <w:b/>
          <w:sz w:val="28"/>
          <w:szCs w:val="28"/>
        </w:rPr>
        <w:lastRenderedPageBreak/>
        <w:t>Acknowledgements</w:t>
      </w:r>
    </w:p>
    <w:p w:rsidR="00B52DD2" w:rsidRPr="003F4BC8" w:rsidRDefault="00B52DD2" w:rsidP="00B52DD2">
      <w:pPr>
        <w:rPr>
          <w:rFonts w:ascii="Times New Roman" w:hAnsi="Times New Roman" w:cs="Times New Roman"/>
        </w:rPr>
      </w:pPr>
    </w:p>
    <w:p w:rsidR="00150C36" w:rsidRDefault="00150C36" w:rsidP="00150C36">
      <w:pPr>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This dissertation would not have been possible without the support and encouragement of my committee. I am grateful to my chair, </w:t>
      </w:r>
      <w:r w:rsidRPr="00150C36">
        <w:rPr>
          <w:rFonts w:ascii="Times New Roman" w:hAnsi="Times New Roman" w:cs="Times New Roman"/>
        </w:rPr>
        <w:t>Hank Jenkins-Smith</w:t>
      </w:r>
      <w:r>
        <w:rPr>
          <w:rFonts w:ascii="Times New Roman" w:hAnsi="Times New Roman" w:cs="Times New Roman"/>
        </w:rPr>
        <w:t xml:space="preserve"> for his support and for believing in me even more than I did. I am thankful for his intellectual guidance and direction in this dissertation and other research projects that I had the chance to work on in the Center. I am also thankful to him for providing me with the opportunity of being his apprentice in all those interesting courses that he is teaching. </w:t>
      </w:r>
    </w:p>
    <w:p w:rsidR="00150C36" w:rsidRDefault="00150C36" w:rsidP="00150C36">
      <w:pPr>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I have also immensely enjoyed working with </w:t>
      </w:r>
      <w:r w:rsidRPr="00150C36">
        <w:rPr>
          <w:rFonts w:ascii="Times New Roman" w:hAnsi="Times New Roman" w:cs="Times New Roman"/>
        </w:rPr>
        <w:t>Carol Silva</w:t>
      </w:r>
      <w:r>
        <w:rPr>
          <w:rFonts w:ascii="Times New Roman" w:hAnsi="Times New Roman" w:cs="Times New Roman"/>
        </w:rPr>
        <w:t xml:space="preserve"> in her undergraduate methods as well as environmental policy classes. These valuable experiences have shaped my graduate studies and have provided me with many learning and growth opportunities. I am also grateful to Carol for all her kindness and positivity. Every step in this journey has felt much more achievable thanks to her. Hank and Carol have not only provided me with enormous professional opportunities but have also opened their hearts for the people who came with me; my husband and my children. </w:t>
      </w:r>
    </w:p>
    <w:p w:rsidR="00150C36" w:rsidRDefault="00150C36" w:rsidP="00150C36">
      <w:pPr>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I owe enormous gratitude to </w:t>
      </w:r>
      <w:r w:rsidRPr="00150C36">
        <w:rPr>
          <w:rFonts w:ascii="Times New Roman" w:hAnsi="Times New Roman" w:cs="Times New Roman"/>
        </w:rPr>
        <w:t>Joe Ripberger</w:t>
      </w:r>
      <w:r>
        <w:rPr>
          <w:rFonts w:ascii="Times New Roman" w:hAnsi="Times New Roman" w:cs="Times New Roman"/>
        </w:rPr>
        <w:t xml:space="preserve"> for his intellectual input, and valuable guidance in this dissertation and many other research projects. My learning experience at the University of Oklahoma has profoundly benefited thanks to </w:t>
      </w:r>
      <w:r w:rsidRPr="00B40C9B">
        <w:rPr>
          <w:rFonts w:ascii="Times New Roman" w:hAnsi="Times New Roman" w:cs="Times New Roman"/>
        </w:rPr>
        <w:t>Joe Ripberger’s</w:t>
      </w:r>
      <w:r w:rsidRPr="00150C36">
        <w:rPr>
          <w:rFonts w:ascii="Times New Roman" w:hAnsi="Times New Roman" w:cs="Times New Roman"/>
        </w:rPr>
        <w:t xml:space="preserve"> </w:t>
      </w:r>
      <w:r>
        <w:rPr>
          <w:rFonts w:ascii="Times New Roman" w:hAnsi="Times New Roman" w:cs="Times New Roman"/>
        </w:rPr>
        <w:t xml:space="preserve"> </w:t>
      </w:r>
      <w:r w:rsidR="00E65E17">
        <w:rPr>
          <w:rFonts w:ascii="Times New Roman" w:hAnsi="Times New Roman" w:cs="Times New Roman"/>
        </w:rPr>
        <w:t xml:space="preserve">high professionalism, </w:t>
      </w:r>
      <w:r>
        <w:rPr>
          <w:rFonts w:ascii="Times New Roman" w:hAnsi="Times New Roman" w:cs="Times New Roman"/>
        </w:rPr>
        <w:t>kind mentorship, patience and inspiration.</w:t>
      </w:r>
    </w:p>
    <w:p w:rsidR="00150C36" w:rsidRPr="00150C36" w:rsidRDefault="00150C36" w:rsidP="00150C36">
      <w:pPr>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I would also like to </w:t>
      </w:r>
      <w:r w:rsidRPr="00150C36">
        <w:rPr>
          <w:rFonts w:ascii="Times New Roman" w:hAnsi="Times New Roman" w:cs="Times New Roman"/>
        </w:rPr>
        <w:t>offer my sincere appreciation to Scott Robinson</w:t>
      </w:r>
      <w:r>
        <w:rPr>
          <w:rFonts w:ascii="Times New Roman" w:hAnsi="Times New Roman" w:cs="Times New Roman"/>
        </w:rPr>
        <w:t xml:space="preserve"> for his expertise and valuable feedback and suggestions in this project. I am indebted to Scott for his time as a committee member and a department chair. Being what qualifies as a first generation student, m</w:t>
      </w:r>
      <w:r w:rsidRPr="00150C36">
        <w:rPr>
          <w:rFonts w:ascii="Times New Roman" w:hAnsi="Times New Roman" w:cs="Times New Roman"/>
        </w:rPr>
        <w:t>y completion of the PhD program could not have been accomplished without his encouraging academic, professional and moral support.</w:t>
      </w:r>
    </w:p>
    <w:p w:rsidR="00150C36" w:rsidRPr="00BE07E6" w:rsidRDefault="00150C36" w:rsidP="00E65E17">
      <w:pPr>
        <w:autoSpaceDE w:val="0"/>
        <w:autoSpaceDN w:val="0"/>
        <w:adjustRightInd w:val="0"/>
        <w:spacing w:line="360" w:lineRule="auto"/>
        <w:rPr>
          <w:rFonts w:ascii="Times New Roman" w:hAnsi="Times New Roman" w:cs="Times New Roman"/>
        </w:rPr>
      </w:pPr>
      <w:r w:rsidRPr="00E65E17">
        <w:rPr>
          <w:rFonts w:ascii="Times New Roman" w:hAnsi="Times New Roman" w:cs="Times New Roman"/>
        </w:rPr>
        <w:t xml:space="preserve">I am also truly grateful to Justin Reedy for serving in my committee as the Graduate College representative. I am thankful for his positivity and inclusiveness and I appreciate his time reading this work and providing detailed feedback. </w:t>
      </w:r>
    </w:p>
    <w:p w:rsidR="00150C36" w:rsidRDefault="00150C36" w:rsidP="00E65E17">
      <w:pPr>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There are many wonderful scholars, teachers and mentors who have not been in my dissertation committee but have significantly contributed to my growth. I am indebted to </w:t>
      </w:r>
      <w:r w:rsidRPr="00E65E17">
        <w:rPr>
          <w:rFonts w:ascii="Times New Roman" w:hAnsi="Times New Roman" w:cs="Times New Roman"/>
        </w:rPr>
        <w:t>Kuhika Gupta</w:t>
      </w:r>
      <w:r>
        <w:rPr>
          <w:rFonts w:ascii="Times New Roman" w:hAnsi="Times New Roman" w:cs="Times New Roman"/>
        </w:rPr>
        <w:t xml:space="preserve"> for her gracious and generous mentorship and for holding my hand when I </w:t>
      </w:r>
      <w:r>
        <w:rPr>
          <w:rFonts w:ascii="Times New Roman" w:hAnsi="Times New Roman" w:cs="Times New Roman"/>
        </w:rPr>
        <w:lastRenderedPageBreak/>
        <w:t xml:space="preserve">needed the most. </w:t>
      </w:r>
      <w:r w:rsidR="00E65E17" w:rsidRPr="00E65E17">
        <w:rPr>
          <w:rFonts w:ascii="Times New Roman" w:hAnsi="Times New Roman" w:cs="Times New Roman"/>
        </w:rPr>
        <w:t>Kuhika</w:t>
      </w:r>
      <w:r w:rsidR="00E65E17">
        <w:rPr>
          <w:rFonts w:ascii="Times New Roman" w:hAnsi="Times New Roman" w:cs="Times New Roman"/>
        </w:rPr>
        <w:t>’s</w:t>
      </w:r>
      <w:r w:rsidR="00E65E17" w:rsidRPr="00E65E17">
        <w:rPr>
          <w:rFonts w:ascii="Times New Roman" w:hAnsi="Times New Roman" w:cs="Times New Roman"/>
        </w:rPr>
        <w:t xml:space="preserve"> </w:t>
      </w:r>
      <w:r w:rsidR="00E65E17">
        <w:rPr>
          <w:rFonts w:ascii="Times New Roman" w:hAnsi="Times New Roman" w:cs="Times New Roman"/>
        </w:rPr>
        <w:t xml:space="preserve">expertise in nuclear policy issues has a big impact on my academic trajectory. </w:t>
      </w:r>
      <w:r>
        <w:rPr>
          <w:rFonts w:ascii="Times New Roman" w:hAnsi="Times New Roman" w:cs="Times New Roman"/>
        </w:rPr>
        <w:t xml:space="preserve">Many thanks also to Sam Workman, Deven Carlson, Alisa Fryar and Aimee Franklin for serving in my Advisory Committee during the initial years of grad school and for continuing to support me all these years. I first met Aimee Franklin when I came to OU for my MPA degree and I will forever cherish the valuable contribution that she </w:t>
      </w:r>
      <w:r w:rsidR="00E65E17">
        <w:rPr>
          <w:rFonts w:ascii="Times New Roman" w:hAnsi="Times New Roman" w:cs="Times New Roman"/>
        </w:rPr>
        <w:t>has</w:t>
      </w:r>
      <w:r>
        <w:rPr>
          <w:rFonts w:ascii="Times New Roman" w:hAnsi="Times New Roman" w:cs="Times New Roman"/>
        </w:rPr>
        <w:t xml:space="preserve"> in my graduate career. Dean Lee Williams deserves a special mention as well for providing me with the opportunity to work for the Graduate College. This experience has influenced my fascination for OU and I am tremendously grateful to him for that. I want to also acknowledge Millie Audas, who so positively shaped my first experiences at OU and made sure that I am well integrated and ready for my academic endeavors. </w:t>
      </w:r>
    </w:p>
    <w:p w:rsidR="00150C36" w:rsidRDefault="00150C36" w:rsidP="00BB10B3">
      <w:pPr>
        <w:autoSpaceDE w:val="0"/>
        <w:autoSpaceDN w:val="0"/>
        <w:adjustRightInd w:val="0"/>
        <w:spacing w:line="360" w:lineRule="auto"/>
        <w:rPr>
          <w:rFonts w:ascii="Times New Roman" w:hAnsi="Times New Roman" w:cs="Times New Roman"/>
        </w:rPr>
      </w:pPr>
      <w:r>
        <w:rPr>
          <w:rFonts w:ascii="Times New Roman" w:hAnsi="Times New Roman" w:cs="Times New Roman"/>
        </w:rPr>
        <w:t>This journey has also been influenced by my wonderful friends and colleagues</w:t>
      </w:r>
      <w:r w:rsidRPr="00327C4C">
        <w:rPr>
          <w:rFonts w:ascii="Times New Roman" w:hAnsi="Times New Roman" w:cs="Times New Roman"/>
        </w:rPr>
        <w:t xml:space="preserve"> </w:t>
      </w:r>
      <w:r>
        <w:rPr>
          <w:rFonts w:ascii="Times New Roman" w:hAnsi="Times New Roman" w:cs="Times New Roman"/>
        </w:rPr>
        <w:t xml:space="preserve">who have made me feel the warmth of a family. I am particularly thankful to Elizabeth Bell for listening to my semi baked ideas and making me believe that I am a superwoman, to Wesley Wehde who besides being a great friend has inspired me to be fearless and to jujutsu with R. I have also been spoiled with the kind and inspiring friendship from Tracey Bark. </w:t>
      </w:r>
    </w:p>
    <w:p w:rsidR="00150C36" w:rsidRPr="006E2060" w:rsidRDefault="00150C36" w:rsidP="00BB10B3">
      <w:pPr>
        <w:autoSpaceDE w:val="0"/>
        <w:autoSpaceDN w:val="0"/>
        <w:adjustRightInd w:val="0"/>
        <w:spacing w:line="360" w:lineRule="auto"/>
        <w:rPr>
          <w:rFonts w:ascii="Times New Roman" w:hAnsi="Times New Roman" w:cs="Times New Roman"/>
        </w:rPr>
      </w:pPr>
      <w:r w:rsidRPr="00B24EC8">
        <w:rPr>
          <w:rFonts w:ascii="Times New Roman" w:hAnsi="Times New Roman" w:cs="Times New Roman"/>
        </w:rPr>
        <w:t>This has been a long journey that has included lots of miles of travel, both literally and metaphorically</w:t>
      </w:r>
      <w:r>
        <w:rPr>
          <w:rFonts w:ascii="Times New Roman" w:hAnsi="Times New Roman" w:cs="Times New Roman"/>
        </w:rPr>
        <w:t xml:space="preserve"> and I am incredibly thankful to my husband for leaving his magnifique life in France </w:t>
      </w:r>
      <w:r w:rsidR="00FD67D1">
        <w:rPr>
          <w:rFonts w:ascii="Times New Roman" w:hAnsi="Times New Roman" w:cs="Times New Roman"/>
        </w:rPr>
        <w:t xml:space="preserve">with all the charcuteries and boulangeries </w:t>
      </w:r>
      <w:r>
        <w:rPr>
          <w:rFonts w:ascii="Times New Roman" w:hAnsi="Times New Roman" w:cs="Times New Roman"/>
        </w:rPr>
        <w:t xml:space="preserve">and </w:t>
      </w:r>
      <w:r w:rsidR="00FD67D1">
        <w:rPr>
          <w:rFonts w:ascii="Times New Roman" w:hAnsi="Times New Roman" w:cs="Times New Roman"/>
        </w:rPr>
        <w:t xml:space="preserve">is </w:t>
      </w:r>
      <w:r>
        <w:rPr>
          <w:rFonts w:ascii="Times New Roman" w:hAnsi="Times New Roman" w:cs="Times New Roman"/>
        </w:rPr>
        <w:t xml:space="preserve">voyaging with me. And of course, I so much appreciate my mom’s choice of school where I was taught English from the first grade and had so many dedicated teachers who cultivated my love for knowledge. I have dreamt about being a teacher since seven years old, and I am excited that the path is about to start. All those wonderful people that I mentioned have had many responsibilities and demands on their schedule, but have given </w:t>
      </w:r>
      <w:r w:rsidR="00BB10B3">
        <w:rPr>
          <w:rFonts w:ascii="Times New Roman" w:hAnsi="Times New Roman" w:cs="Times New Roman"/>
        </w:rPr>
        <w:t>lots of</w:t>
      </w:r>
      <w:r>
        <w:rPr>
          <w:rFonts w:ascii="Times New Roman" w:hAnsi="Times New Roman" w:cs="Times New Roman"/>
        </w:rPr>
        <w:t xml:space="preserve"> space and attention to me every time I needed it. I know I will never be able to thank these people enough, instead</w:t>
      </w:r>
      <w:r w:rsidR="00BB10B3">
        <w:rPr>
          <w:rFonts w:ascii="Times New Roman" w:hAnsi="Times New Roman" w:cs="Times New Roman"/>
        </w:rPr>
        <w:t>,</w:t>
      </w:r>
      <w:r>
        <w:rPr>
          <w:rFonts w:ascii="Times New Roman" w:hAnsi="Times New Roman" w:cs="Times New Roman"/>
        </w:rPr>
        <w:t xml:space="preserve"> I will aspire to do the same for my students.</w:t>
      </w:r>
    </w:p>
    <w:p w:rsidR="00B52DD2" w:rsidRDefault="00B52DD2" w:rsidP="00B52DD2">
      <w:pPr>
        <w:rPr>
          <w:rFonts w:ascii="Times New Roman" w:hAnsi="Times New Roman" w:cs="Times New Roman"/>
        </w:rPr>
      </w:pPr>
      <w:r>
        <w:rPr>
          <w:rFonts w:ascii="Times New Roman" w:hAnsi="Times New Roman" w:cs="Times New Roman"/>
        </w:rPr>
        <w:br w:type="page"/>
      </w:r>
    </w:p>
    <w:p w:rsidR="00B52DD2" w:rsidRPr="003F4BC8" w:rsidRDefault="00B52DD2" w:rsidP="00B52DD2">
      <w:pPr>
        <w:rPr>
          <w:rFonts w:ascii="Times New Roman" w:hAnsi="Times New Roman" w:cs="Times New Roman"/>
        </w:rPr>
      </w:pPr>
    </w:p>
    <w:p w:rsidR="00B52DD2" w:rsidRPr="003F4BC8" w:rsidRDefault="00B52DD2" w:rsidP="00B52DD2">
      <w:pPr>
        <w:jc w:val="center"/>
        <w:rPr>
          <w:rFonts w:ascii="Times New Roman" w:hAnsi="Times New Roman" w:cs="Times New Roman"/>
        </w:rPr>
      </w:pPr>
    </w:p>
    <w:p w:rsidR="00B52DD2" w:rsidRPr="003F4BC8" w:rsidRDefault="00B52DD2" w:rsidP="00B52DD2">
      <w:pPr>
        <w:rPr>
          <w:rFonts w:ascii="Times New Roman" w:hAnsi="Times New Roman" w:cs="Times New Roman"/>
          <w:b/>
          <w:bCs/>
          <w:i/>
        </w:rPr>
      </w:pPr>
    </w:p>
    <w:sdt>
      <w:sdtPr>
        <w:rPr>
          <w:rFonts w:ascii="Times New Roman" w:eastAsiaTheme="minorEastAsia" w:hAnsi="Times New Roman" w:cs="Times New Roman"/>
          <w:color w:val="auto"/>
          <w:sz w:val="24"/>
          <w:szCs w:val="24"/>
        </w:rPr>
        <w:id w:val="-419331040"/>
        <w:docPartObj>
          <w:docPartGallery w:val="Table of Contents"/>
          <w:docPartUnique/>
        </w:docPartObj>
      </w:sdtPr>
      <w:sdtEndPr>
        <w:rPr>
          <w:sz w:val="22"/>
          <w:szCs w:val="22"/>
        </w:rPr>
      </w:sdtEndPr>
      <w:sdtContent>
        <w:sdt>
          <w:sdtPr>
            <w:rPr>
              <w:rFonts w:ascii="Times New Roman" w:eastAsiaTheme="minorEastAsia" w:hAnsi="Times New Roman" w:cs="Times New Roman"/>
              <w:color w:val="auto"/>
              <w:sz w:val="24"/>
              <w:szCs w:val="24"/>
            </w:rPr>
            <w:id w:val="-1317948652"/>
            <w:docPartObj>
              <w:docPartGallery w:val="Table of Contents"/>
              <w:docPartUnique/>
            </w:docPartObj>
          </w:sdtPr>
          <w:sdtEndPr>
            <w:rPr>
              <w:sz w:val="22"/>
              <w:szCs w:val="22"/>
            </w:rPr>
          </w:sdtEndPr>
          <w:sdtContent>
            <w:p w:rsidR="00B52DD2" w:rsidRPr="004A260C" w:rsidRDefault="00B52DD2" w:rsidP="00B52DD2">
              <w:pPr>
                <w:pStyle w:val="TOCHeading"/>
                <w:spacing w:line="276" w:lineRule="auto"/>
                <w:jc w:val="center"/>
                <w:rPr>
                  <w:rFonts w:ascii="Times New Roman" w:hAnsi="Times New Roman" w:cs="Times New Roman"/>
                  <w:color w:val="auto"/>
                  <w:sz w:val="28"/>
                  <w:szCs w:val="28"/>
                </w:rPr>
              </w:pPr>
              <w:r w:rsidRPr="004A260C">
                <w:rPr>
                  <w:rFonts w:ascii="Times New Roman" w:hAnsi="Times New Roman" w:cs="Times New Roman"/>
                  <w:color w:val="auto"/>
                  <w:sz w:val="28"/>
                  <w:szCs w:val="28"/>
                </w:rPr>
                <w:t>Table of Contents</w:t>
              </w:r>
            </w:p>
            <w:p w:rsidR="00B52DD2" w:rsidRPr="004A260C" w:rsidRDefault="00B52DD2" w:rsidP="00B52DD2">
              <w:pPr>
                <w:pStyle w:val="TOC1"/>
                <w:spacing w:line="276" w:lineRule="auto"/>
                <w:outlineLvl w:val="0"/>
                <w:rPr>
                  <w:rFonts w:ascii="Times New Roman" w:hAnsi="Times New Roman"/>
                  <w:b/>
                  <w:bCs/>
                  <w:sz w:val="24"/>
                  <w:szCs w:val="24"/>
                </w:rPr>
              </w:pPr>
            </w:p>
            <w:p w:rsidR="00B52DD2" w:rsidRPr="004A260C" w:rsidRDefault="00B52DD2" w:rsidP="00B52DD2">
              <w:pPr>
                <w:pStyle w:val="TOC1"/>
                <w:spacing w:line="276" w:lineRule="auto"/>
                <w:outlineLvl w:val="0"/>
                <w:rPr>
                  <w:rFonts w:ascii="Times New Roman" w:hAnsi="Times New Roman"/>
                  <w:bCs/>
                  <w:sz w:val="24"/>
                  <w:szCs w:val="24"/>
                </w:rPr>
              </w:pPr>
              <w:r w:rsidRPr="004A260C">
                <w:rPr>
                  <w:rFonts w:ascii="Times New Roman" w:hAnsi="Times New Roman"/>
                  <w:bCs/>
                  <w:sz w:val="24"/>
                  <w:szCs w:val="24"/>
                </w:rPr>
                <w:t>List of Figures</w:t>
              </w:r>
              <w:r w:rsidRPr="004A260C">
                <w:rPr>
                  <w:rFonts w:ascii="Times New Roman" w:hAnsi="Times New Roman"/>
                  <w:sz w:val="24"/>
                  <w:szCs w:val="24"/>
                </w:rPr>
                <w:ptab w:relativeTo="margin" w:alignment="right" w:leader="dot"/>
              </w:r>
              <w:r>
                <w:rPr>
                  <w:rFonts w:ascii="Times New Roman" w:hAnsi="Times New Roman"/>
                  <w:bCs/>
                  <w:sz w:val="24"/>
                  <w:szCs w:val="24"/>
                </w:rPr>
                <w:t>vii</w:t>
              </w:r>
            </w:p>
            <w:p w:rsidR="00B52DD2" w:rsidRPr="004A260C" w:rsidRDefault="00B52DD2" w:rsidP="00B52DD2">
              <w:pPr>
                <w:pStyle w:val="TOC1"/>
                <w:spacing w:line="276" w:lineRule="auto"/>
                <w:outlineLvl w:val="0"/>
                <w:rPr>
                  <w:rFonts w:ascii="Times New Roman" w:hAnsi="Times New Roman"/>
                  <w:bCs/>
                  <w:sz w:val="24"/>
                  <w:szCs w:val="24"/>
                </w:rPr>
              </w:pPr>
              <w:r w:rsidRPr="004A260C">
                <w:rPr>
                  <w:rFonts w:ascii="Times New Roman" w:hAnsi="Times New Roman"/>
                  <w:bCs/>
                  <w:sz w:val="24"/>
                  <w:szCs w:val="24"/>
                </w:rPr>
                <w:t>List of Tables</w:t>
              </w:r>
              <w:r w:rsidRPr="004A260C">
                <w:rPr>
                  <w:rFonts w:ascii="Times New Roman" w:hAnsi="Times New Roman"/>
                  <w:sz w:val="24"/>
                  <w:szCs w:val="24"/>
                </w:rPr>
                <w:ptab w:relativeTo="margin" w:alignment="right" w:leader="dot"/>
              </w:r>
              <w:r>
                <w:rPr>
                  <w:rFonts w:ascii="Times New Roman" w:hAnsi="Times New Roman"/>
                  <w:bCs/>
                  <w:sz w:val="24"/>
                  <w:szCs w:val="24"/>
                </w:rPr>
                <w:t>ix</w:t>
              </w:r>
            </w:p>
            <w:p w:rsidR="00B52DD2" w:rsidRPr="004A260C" w:rsidRDefault="00B52DD2" w:rsidP="00B52DD2">
              <w:pPr>
                <w:pStyle w:val="TOC1"/>
                <w:spacing w:line="276" w:lineRule="auto"/>
                <w:outlineLvl w:val="0"/>
                <w:rPr>
                  <w:rFonts w:ascii="Times New Roman" w:hAnsi="Times New Roman"/>
                  <w:bCs/>
                  <w:sz w:val="24"/>
                  <w:szCs w:val="24"/>
                </w:rPr>
              </w:pPr>
              <w:r w:rsidRPr="004A260C">
                <w:rPr>
                  <w:rFonts w:ascii="Times New Roman" w:hAnsi="Times New Roman"/>
                  <w:bCs/>
                  <w:sz w:val="24"/>
                  <w:szCs w:val="24"/>
                </w:rPr>
                <w:t>Abstract</w:t>
              </w:r>
              <w:r w:rsidRPr="004A260C">
                <w:rPr>
                  <w:rFonts w:ascii="Times New Roman" w:hAnsi="Times New Roman"/>
                  <w:sz w:val="24"/>
                  <w:szCs w:val="24"/>
                </w:rPr>
                <w:ptab w:relativeTo="margin" w:alignment="right" w:leader="dot"/>
              </w:r>
              <w:r w:rsidRPr="004A260C">
                <w:rPr>
                  <w:rFonts w:ascii="Times New Roman" w:hAnsi="Times New Roman"/>
                  <w:bCs/>
                  <w:sz w:val="24"/>
                  <w:szCs w:val="24"/>
                </w:rPr>
                <w:t>1</w:t>
              </w:r>
            </w:p>
            <w:p w:rsidR="00B52DD2" w:rsidRPr="004A260C" w:rsidRDefault="00B52DD2" w:rsidP="00B52DD2">
              <w:pPr>
                <w:pStyle w:val="TOC1"/>
                <w:spacing w:line="276" w:lineRule="auto"/>
                <w:outlineLvl w:val="0"/>
                <w:rPr>
                  <w:rFonts w:ascii="Times New Roman" w:hAnsi="Times New Roman"/>
                  <w:bCs/>
                  <w:sz w:val="24"/>
                  <w:szCs w:val="24"/>
                </w:rPr>
              </w:pPr>
              <w:r w:rsidRPr="004A260C">
                <w:rPr>
                  <w:rFonts w:ascii="Times New Roman" w:hAnsi="Times New Roman"/>
                  <w:bCs/>
                  <w:sz w:val="24"/>
                  <w:szCs w:val="24"/>
                </w:rPr>
                <w:t xml:space="preserve">Chapter 1: </w:t>
              </w:r>
              <w:r w:rsidRPr="00E7679A">
                <w:rPr>
                  <w:rFonts w:ascii="Times New Roman" w:hAnsi="Times New Roman"/>
                  <w:bCs/>
                  <w:sz w:val="24"/>
                  <w:szCs w:val="24"/>
                </w:rPr>
                <w:t xml:space="preserve">Political Stalemate and Individual Preferences in Nuclear Waste </w:t>
              </w:r>
              <w:r>
                <w:rPr>
                  <w:rFonts w:ascii="Times New Roman" w:hAnsi="Times New Roman"/>
                  <w:bCs/>
                  <w:sz w:val="24"/>
                  <w:szCs w:val="24"/>
                </w:rPr>
                <w:t>Debate</w:t>
              </w:r>
              <w:r w:rsidRPr="00E7679A">
                <w:rPr>
                  <w:rFonts w:ascii="Times New Roman" w:hAnsi="Times New Roman"/>
                  <w:bCs/>
                  <w:sz w:val="24"/>
                  <w:szCs w:val="24"/>
                </w:rPr>
                <w:t xml:space="preserve"> </w:t>
              </w:r>
              <w:r w:rsidRPr="004A260C">
                <w:rPr>
                  <w:rFonts w:ascii="Times New Roman" w:hAnsi="Times New Roman"/>
                  <w:sz w:val="24"/>
                  <w:szCs w:val="24"/>
                </w:rPr>
                <w:ptab w:relativeTo="margin" w:alignment="right" w:leader="dot"/>
              </w:r>
              <w:r>
                <w:rPr>
                  <w:rFonts w:ascii="Times New Roman" w:hAnsi="Times New Roman"/>
                  <w:sz w:val="24"/>
                  <w:szCs w:val="24"/>
                </w:rPr>
                <w:t>2</w:t>
              </w:r>
            </w:p>
            <w:p w:rsidR="00B52DD2" w:rsidRPr="00550326" w:rsidRDefault="00B52DD2" w:rsidP="00B52DD2">
              <w:pPr>
                <w:spacing w:line="276" w:lineRule="auto"/>
                <w:rPr>
                  <w:rFonts w:ascii="Times New Roman" w:hAnsi="Times New Roman" w:cs="Times New Roman"/>
                  <w:b/>
                  <w:bCs/>
                  <w:sz w:val="28"/>
                  <w:szCs w:val="28"/>
                </w:rPr>
              </w:pPr>
              <w:r w:rsidRPr="004A260C">
                <w:rPr>
                  <w:rFonts w:ascii="Times New Roman" w:hAnsi="Times New Roman"/>
                  <w:bCs/>
                </w:rPr>
                <w:t xml:space="preserve">Chapter 2: </w:t>
              </w:r>
              <w:r w:rsidRPr="00550326">
                <w:rPr>
                  <w:rFonts w:ascii="Times New Roman" w:hAnsi="Times New Roman"/>
                  <w:bCs/>
                </w:rPr>
                <w:t xml:space="preserve">Public Opinion </w:t>
              </w:r>
              <w:r>
                <w:rPr>
                  <w:rFonts w:ascii="Times New Roman" w:hAnsi="Times New Roman"/>
                  <w:bCs/>
                </w:rPr>
                <w:t xml:space="preserve">Literature </w:t>
              </w:r>
              <w:r w:rsidRPr="00550326">
                <w:rPr>
                  <w:rFonts w:ascii="Times New Roman" w:hAnsi="Times New Roman"/>
                  <w:bCs/>
                </w:rPr>
                <w:t>and Policy Preferences</w:t>
              </w:r>
              <w:r>
                <w:rPr>
                  <w:rFonts w:ascii="Times New Roman" w:hAnsi="Times New Roman"/>
                  <w:bCs/>
                </w:rPr>
                <w:t xml:space="preserve"> </w:t>
              </w:r>
              <w:r w:rsidRPr="004A260C">
                <w:rPr>
                  <w:rFonts w:ascii="Times New Roman" w:hAnsi="Times New Roman"/>
                </w:rPr>
                <w:ptab w:relativeTo="margin" w:alignment="right" w:leader="dot"/>
              </w:r>
              <w:r>
                <w:rPr>
                  <w:rFonts w:ascii="Times New Roman" w:hAnsi="Times New Roman"/>
                  <w:bCs/>
                </w:rPr>
                <w:t>10</w:t>
              </w:r>
            </w:p>
            <w:p w:rsidR="00B52DD2" w:rsidRPr="001C1BF7" w:rsidRDefault="00B52DD2" w:rsidP="00B52DD2">
              <w:pPr>
                <w:spacing w:line="276" w:lineRule="auto"/>
                <w:rPr>
                  <w:rFonts w:ascii="Times New Roman" w:hAnsi="Times New Roman"/>
                  <w:bCs/>
                </w:rPr>
              </w:pPr>
              <w:r w:rsidRPr="004A260C">
                <w:rPr>
                  <w:rFonts w:ascii="Times New Roman" w:hAnsi="Times New Roman"/>
                  <w:bCs/>
                </w:rPr>
                <w:t xml:space="preserve">Chapter 3: </w:t>
              </w:r>
              <w:r w:rsidRPr="001C1BF7">
                <w:rPr>
                  <w:rFonts w:ascii="Times New Roman" w:hAnsi="Times New Roman"/>
                  <w:bCs/>
                </w:rPr>
                <w:t>Public Preferences in Spent Nuclear Fuel Siting: The Impact of Risk Perceptions, Trust and Knowledge</w:t>
              </w:r>
              <w:r w:rsidRPr="004A260C">
                <w:rPr>
                  <w:rFonts w:ascii="Times New Roman" w:hAnsi="Times New Roman"/>
                </w:rPr>
                <w:ptab w:relativeTo="margin" w:alignment="right" w:leader="dot"/>
              </w:r>
              <w:r>
                <w:rPr>
                  <w:rFonts w:ascii="Times New Roman" w:hAnsi="Times New Roman"/>
                  <w:bCs/>
                </w:rPr>
                <w:t>21</w:t>
              </w:r>
            </w:p>
            <w:p w:rsidR="00B52DD2" w:rsidRPr="004A260C" w:rsidRDefault="00B52DD2" w:rsidP="00B52DD2">
              <w:pPr>
                <w:pStyle w:val="TOC1"/>
                <w:spacing w:line="276" w:lineRule="auto"/>
                <w:outlineLvl w:val="0"/>
                <w:rPr>
                  <w:rFonts w:ascii="Times New Roman" w:hAnsi="Times New Roman"/>
                  <w:sz w:val="24"/>
                  <w:szCs w:val="24"/>
                </w:rPr>
              </w:pPr>
              <w:r w:rsidRPr="004A260C">
                <w:rPr>
                  <w:rFonts w:ascii="Times New Roman" w:hAnsi="Times New Roman"/>
                  <w:bCs/>
                  <w:sz w:val="24"/>
                  <w:szCs w:val="24"/>
                </w:rPr>
                <w:t>Chapter 4:</w:t>
              </w:r>
              <w:r>
                <w:rPr>
                  <w:rFonts w:ascii="Times New Roman" w:hAnsi="Times New Roman"/>
                  <w:bCs/>
                  <w:sz w:val="24"/>
                  <w:szCs w:val="24"/>
                </w:rPr>
                <w:t xml:space="preserve"> </w:t>
              </w:r>
              <w:r w:rsidRPr="00CC39DC">
                <w:rPr>
                  <w:rFonts w:ascii="Times New Roman" w:hAnsi="Times New Roman"/>
                  <w:bCs/>
                  <w:sz w:val="24"/>
                  <w:szCs w:val="24"/>
                </w:rPr>
                <w:t>Can Local Policy Concerns of NYMBYism Reshape Partisan and Ideological Landscape in the State of Nevada?</w:t>
              </w:r>
              <w:r w:rsidRPr="004A260C">
                <w:rPr>
                  <w:rFonts w:ascii="Times New Roman" w:hAnsi="Times New Roman"/>
                  <w:sz w:val="24"/>
                  <w:szCs w:val="24"/>
                </w:rPr>
                <w:ptab w:relativeTo="margin" w:alignment="right" w:leader="dot"/>
              </w:r>
              <w:r>
                <w:rPr>
                  <w:rFonts w:ascii="Times New Roman" w:hAnsi="Times New Roman"/>
                  <w:bCs/>
                  <w:sz w:val="24"/>
                  <w:szCs w:val="24"/>
                </w:rPr>
                <w:t>59</w:t>
              </w:r>
            </w:p>
            <w:p w:rsidR="00B52DD2" w:rsidRPr="005138C0" w:rsidRDefault="00B52DD2" w:rsidP="00B52DD2">
              <w:pPr>
                <w:pStyle w:val="TOC1"/>
                <w:spacing w:line="276" w:lineRule="auto"/>
                <w:rPr>
                  <w:rFonts w:ascii="Times New Roman" w:hAnsi="Times New Roman"/>
                  <w:sz w:val="24"/>
                  <w:szCs w:val="24"/>
                </w:rPr>
              </w:pPr>
              <w:r w:rsidRPr="001C5FF0">
                <w:rPr>
                  <w:rFonts w:ascii="Times New Roman" w:hAnsi="Times New Roman"/>
                  <w:bCs/>
                  <w:sz w:val="24"/>
                  <w:szCs w:val="24"/>
                </w:rPr>
                <w:t xml:space="preserve">Chapter 5: </w:t>
              </w:r>
              <w:r w:rsidRPr="005138C0">
                <w:rPr>
                  <w:rFonts w:ascii="Times New Roman" w:hAnsi="Times New Roman"/>
                  <w:bCs/>
                  <w:sz w:val="24"/>
                  <w:szCs w:val="24"/>
                </w:rPr>
                <w:t>Nuclear Impasse: Cultural Bias in Support for Carbon-Free Energy Sources</w:t>
              </w:r>
              <w:r w:rsidRPr="005138C0">
                <w:rPr>
                  <w:rFonts w:ascii="Times New Roman" w:hAnsi="Times New Roman"/>
                  <w:sz w:val="24"/>
                  <w:szCs w:val="24"/>
                </w:rPr>
                <w:ptab w:relativeTo="margin" w:alignment="right" w:leader="dot"/>
              </w:r>
              <w:r>
                <w:rPr>
                  <w:rFonts w:ascii="Times New Roman" w:hAnsi="Times New Roman"/>
                  <w:bCs/>
                  <w:sz w:val="24"/>
                  <w:szCs w:val="24"/>
                </w:rPr>
                <w:t>84</w:t>
              </w:r>
            </w:p>
            <w:p w:rsidR="00B52DD2" w:rsidRPr="004A260C" w:rsidRDefault="00B52DD2" w:rsidP="00B52DD2">
              <w:pPr>
                <w:pStyle w:val="TOC1"/>
                <w:spacing w:line="276" w:lineRule="auto"/>
                <w:outlineLvl w:val="0"/>
                <w:rPr>
                  <w:rFonts w:ascii="Times New Roman" w:hAnsi="Times New Roman"/>
                </w:rPr>
              </w:pPr>
              <w:r w:rsidRPr="001C5FF0">
                <w:rPr>
                  <w:rFonts w:ascii="Times New Roman" w:hAnsi="Times New Roman"/>
                  <w:bCs/>
                  <w:sz w:val="24"/>
                  <w:szCs w:val="24"/>
                </w:rPr>
                <w:t xml:space="preserve">Chapter 6: </w:t>
              </w:r>
              <w:r w:rsidRPr="004A260C">
                <w:rPr>
                  <w:rFonts w:ascii="Times New Roman" w:hAnsi="Times New Roman"/>
                  <w:bCs/>
                  <w:sz w:val="24"/>
                  <w:szCs w:val="24"/>
                </w:rPr>
                <w:t>Conclusion</w:t>
              </w:r>
              <w:r w:rsidRPr="004A260C">
                <w:rPr>
                  <w:rFonts w:ascii="Times New Roman" w:hAnsi="Times New Roman"/>
                  <w:sz w:val="24"/>
                  <w:szCs w:val="24"/>
                </w:rPr>
                <w:ptab w:relativeTo="margin" w:alignment="right" w:leader="dot"/>
              </w:r>
              <w:r>
                <w:rPr>
                  <w:rFonts w:ascii="Times New Roman" w:hAnsi="Times New Roman"/>
                  <w:bCs/>
                  <w:sz w:val="24"/>
                  <w:szCs w:val="24"/>
                </w:rPr>
                <w:t>105</w:t>
              </w:r>
            </w:p>
            <w:p w:rsidR="00B52DD2" w:rsidRDefault="00B52DD2" w:rsidP="00B52DD2">
              <w:pPr>
                <w:pStyle w:val="TOC1"/>
                <w:spacing w:line="276" w:lineRule="auto"/>
                <w:outlineLvl w:val="0"/>
                <w:rPr>
                  <w:rFonts w:ascii="Times New Roman" w:eastAsiaTheme="minorHAnsi" w:hAnsi="Times New Roman" w:cstheme="minorBidi"/>
                  <w:sz w:val="24"/>
                  <w:szCs w:val="24"/>
                </w:rPr>
              </w:pPr>
              <w:r w:rsidRPr="004A260C">
                <w:rPr>
                  <w:rFonts w:ascii="Times New Roman" w:hAnsi="Times New Roman"/>
                  <w:bCs/>
                  <w:sz w:val="24"/>
                  <w:szCs w:val="24"/>
                </w:rPr>
                <w:t>References</w:t>
              </w:r>
              <w:r w:rsidRPr="004A260C">
                <w:rPr>
                  <w:rFonts w:ascii="Times New Roman" w:hAnsi="Times New Roman"/>
                  <w:sz w:val="24"/>
                  <w:szCs w:val="24"/>
                </w:rPr>
                <w:ptab w:relativeTo="margin" w:alignment="right" w:leader="dot"/>
              </w:r>
              <w:r>
                <w:rPr>
                  <w:rFonts w:ascii="Times New Roman" w:hAnsi="Times New Roman"/>
                  <w:bCs/>
                  <w:sz w:val="24"/>
                  <w:szCs w:val="24"/>
                </w:rPr>
                <w:t>110</w:t>
              </w:r>
            </w:p>
          </w:sdtContent>
        </w:sdt>
      </w:sdtContent>
    </w:sdt>
    <w:p w:rsidR="00B52DD2" w:rsidRPr="003F4BC8" w:rsidRDefault="00B52DD2" w:rsidP="00B52DD2">
      <w:pPr>
        <w:widowControl w:val="0"/>
        <w:autoSpaceDE w:val="0"/>
        <w:autoSpaceDN w:val="0"/>
        <w:adjustRightInd w:val="0"/>
        <w:jc w:val="center"/>
        <w:rPr>
          <w:rFonts w:ascii="Times New Roman" w:hAnsi="Times New Roman" w:cs="Times New Roman"/>
          <w:b/>
          <w:bCs/>
          <w:i/>
        </w:rPr>
      </w:pPr>
    </w:p>
    <w:p w:rsidR="00B52DD2" w:rsidRPr="003F4BC8" w:rsidRDefault="00B52DD2" w:rsidP="00B52DD2">
      <w:pPr>
        <w:rPr>
          <w:rFonts w:ascii="Times New Roman" w:hAnsi="Times New Roman" w:cs="Times New Roman"/>
        </w:rPr>
      </w:pPr>
      <w:r w:rsidRPr="003F4BC8">
        <w:rPr>
          <w:rFonts w:ascii="Times New Roman" w:hAnsi="Times New Roman" w:cs="Times New Roman"/>
        </w:rPr>
        <w:br w:type="page"/>
      </w:r>
    </w:p>
    <w:p w:rsidR="00B52DD2" w:rsidRPr="00B44CF7" w:rsidRDefault="00B52DD2" w:rsidP="00B52DD2">
      <w:pPr>
        <w:spacing w:line="480" w:lineRule="auto"/>
        <w:rPr>
          <w:rFonts w:ascii="Times New Roman" w:hAnsi="Times New Roman" w:cs="Times New Roman"/>
          <w:b/>
          <w:sz w:val="36"/>
          <w:szCs w:val="36"/>
        </w:rPr>
      </w:pPr>
      <w:bookmarkStart w:id="0" w:name="_Hlk6223464"/>
      <w:r w:rsidRPr="00B44CF7">
        <w:rPr>
          <w:rFonts w:ascii="Times New Roman" w:hAnsi="Times New Roman" w:cs="Times New Roman"/>
          <w:b/>
          <w:sz w:val="36"/>
          <w:szCs w:val="36"/>
        </w:rPr>
        <w:lastRenderedPageBreak/>
        <w:t>List of Figures</w:t>
      </w:r>
    </w:p>
    <w:bookmarkEnd w:id="0"/>
    <w:p w:rsidR="00B52DD2" w:rsidRPr="00B44CF7" w:rsidRDefault="00B52DD2" w:rsidP="00B52DD2">
      <w:pPr>
        <w:spacing w:line="480" w:lineRule="auto"/>
        <w:rPr>
          <w:rFonts w:ascii="Times New Roman" w:hAnsi="Times New Roman" w:cs="Times New Roman"/>
        </w:rPr>
      </w:pPr>
      <w:r w:rsidRPr="00B44CF7">
        <w:rPr>
          <w:rFonts w:ascii="Times New Roman" w:eastAsia="Times New Roman" w:hAnsi="Times New Roman" w:cs="Times New Roman"/>
          <w:color w:val="222222"/>
          <w:shd w:val="clear" w:color="auto" w:fill="FFFFFF"/>
        </w:rPr>
        <w:t>Figure 1-1. Continuum of Micro-foundation of Individual Decision Making</w:t>
      </w:r>
      <w:r w:rsidRPr="00B44CF7">
        <w:rPr>
          <w:rFonts w:ascii="Times New Roman" w:hAnsi="Times New Roman" w:cs="Times New Roman"/>
        </w:rPr>
        <w:ptab w:relativeTo="margin" w:alignment="right" w:leader="dot"/>
      </w:r>
      <w:r w:rsidRPr="00B44CF7">
        <w:rPr>
          <w:rFonts w:ascii="Times New Roman" w:hAnsi="Times New Roman" w:cs="Times New Roman"/>
          <w:bCs/>
        </w:rPr>
        <w:t>8</w:t>
      </w:r>
    </w:p>
    <w:p w:rsidR="00B52DD2" w:rsidRPr="00B44CF7" w:rsidRDefault="00B52DD2" w:rsidP="00B52DD2">
      <w:pPr>
        <w:spacing w:line="480" w:lineRule="auto"/>
        <w:rPr>
          <w:rFonts w:ascii="Times New Roman" w:hAnsi="Times New Roman" w:cs="Times New Roman"/>
        </w:rPr>
      </w:pPr>
      <w:r w:rsidRPr="00B44CF7">
        <w:rPr>
          <w:rFonts w:ascii="Times New Roman" w:eastAsia="Times New Roman" w:hAnsi="Times New Roman" w:cs="Times New Roman"/>
          <w:color w:val="222222"/>
          <w:shd w:val="clear" w:color="auto" w:fill="FFFFFF"/>
        </w:rPr>
        <w:t>Figure 2-1. The U.S. Political Environment According to Systems Approach</w:t>
      </w:r>
      <w:r w:rsidRPr="00B44CF7">
        <w:rPr>
          <w:rFonts w:ascii="Times New Roman" w:hAnsi="Times New Roman" w:cs="Times New Roman"/>
        </w:rPr>
        <w:ptab w:relativeTo="margin" w:alignment="right" w:leader="dot"/>
      </w:r>
      <w:r w:rsidRPr="00B44CF7">
        <w:rPr>
          <w:rFonts w:ascii="Times New Roman" w:hAnsi="Times New Roman" w:cs="Times New Roman"/>
        </w:rPr>
        <w:t>1</w:t>
      </w:r>
      <w:r>
        <w:rPr>
          <w:rFonts w:ascii="Times New Roman" w:hAnsi="Times New Roman" w:cs="Times New Roman"/>
          <w:bCs/>
        </w:rPr>
        <w:t>8</w:t>
      </w:r>
    </w:p>
    <w:p w:rsidR="00B52DD2" w:rsidRPr="00B44CF7" w:rsidRDefault="00B52DD2" w:rsidP="00B52DD2">
      <w:pPr>
        <w:spacing w:line="480" w:lineRule="auto"/>
        <w:rPr>
          <w:rFonts w:ascii="Times New Roman" w:hAnsi="Times New Roman" w:cs="Times New Roman"/>
        </w:rPr>
      </w:pPr>
      <w:r w:rsidRPr="00B44CF7">
        <w:rPr>
          <w:rFonts w:ascii="Times New Roman" w:eastAsia="Times New Roman" w:hAnsi="Times New Roman" w:cs="Times New Roman"/>
          <w:color w:val="222222"/>
          <w:shd w:val="clear" w:color="auto" w:fill="FFFFFF"/>
        </w:rPr>
        <w:t>Figure 2-2. The Policy Making Milieu</w:t>
      </w:r>
      <w:r w:rsidRPr="00B44CF7">
        <w:rPr>
          <w:rFonts w:ascii="Times New Roman" w:hAnsi="Times New Roman" w:cs="Times New Roman"/>
        </w:rPr>
        <w:ptab w:relativeTo="margin" w:alignment="right" w:leader="dot"/>
      </w:r>
      <w:r>
        <w:rPr>
          <w:rFonts w:ascii="Times New Roman" w:hAnsi="Times New Roman" w:cs="Times New Roman"/>
          <w:bCs/>
        </w:rPr>
        <w:t>19</w:t>
      </w:r>
    </w:p>
    <w:p w:rsidR="00B52DD2" w:rsidRPr="00B44CF7" w:rsidRDefault="00B52DD2" w:rsidP="00B52DD2">
      <w:pPr>
        <w:spacing w:line="480" w:lineRule="auto"/>
        <w:rPr>
          <w:rFonts w:ascii="Times New Roman" w:hAnsi="Times New Roman" w:cs="Times New Roman"/>
        </w:rPr>
      </w:pPr>
      <w:r w:rsidRPr="00B44CF7">
        <w:rPr>
          <w:rFonts w:ascii="Times New Roman" w:eastAsia="Times New Roman" w:hAnsi="Times New Roman" w:cs="Times New Roman"/>
          <w:color w:val="222222"/>
          <w:shd w:val="clear" w:color="auto" w:fill="FFFFFF"/>
        </w:rPr>
        <w:t>Figure 3-1. Nuclear Energy Mean Risk Perceptions from 2006-2019</w:t>
      </w:r>
      <w:r w:rsidRPr="00B44CF7">
        <w:rPr>
          <w:rFonts w:ascii="Times New Roman" w:hAnsi="Times New Roman" w:cs="Times New Roman"/>
        </w:rPr>
        <w:ptab w:relativeTo="margin" w:alignment="right" w:leader="dot"/>
      </w:r>
      <w:r w:rsidRPr="00B44CF7">
        <w:rPr>
          <w:rFonts w:ascii="Times New Roman" w:hAnsi="Times New Roman" w:cs="Times New Roman"/>
          <w:bCs/>
        </w:rPr>
        <w:t>3</w:t>
      </w:r>
      <w:r>
        <w:rPr>
          <w:rFonts w:ascii="Times New Roman" w:hAnsi="Times New Roman" w:cs="Times New Roman"/>
          <w:bCs/>
        </w:rPr>
        <w:t>2</w:t>
      </w:r>
    </w:p>
    <w:p w:rsidR="00B52DD2" w:rsidRPr="00B44CF7" w:rsidRDefault="00B52DD2" w:rsidP="00B52DD2">
      <w:pPr>
        <w:spacing w:line="480" w:lineRule="auto"/>
        <w:rPr>
          <w:rFonts w:ascii="Times New Roman" w:hAnsi="Times New Roman" w:cs="Times New Roman"/>
          <w:bCs/>
        </w:rPr>
      </w:pPr>
      <w:r w:rsidRPr="00B44CF7">
        <w:rPr>
          <w:rFonts w:ascii="Times New Roman" w:eastAsia="Times New Roman" w:hAnsi="Times New Roman" w:cs="Times New Roman"/>
          <w:color w:val="222222"/>
          <w:shd w:val="clear" w:color="auto" w:fill="FFFFFF"/>
        </w:rPr>
        <w:t>Figure 3-2. Nuclear Energy Mean Benefit Perceptions from 2006-2019</w:t>
      </w:r>
      <w:r w:rsidRPr="00B44CF7">
        <w:rPr>
          <w:rFonts w:ascii="Times New Roman" w:hAnsi="Times New Roman" w:cs="Times New Roman"/>
        </w:rPr>
        <w:ptab w:relativeTo="margin" w:alignment="right" w:leader="dot"/>
      </w:r>
      <w:r w:rsidRPr="00B44CF7">
        <w:rPr>
          <w:rFonts w:ascii="Times New Roman" w:hAnsi="Times New Roman" w:cs="Times New Roman"/>
          <w:bCs/>
        </w:rPr>
        <w:t>3</w:t>
      </w:r>
      <w:r>
        <w:rPr>
          <w:rFonts w:ascii="Times New Roman" w:hAnsi="Times New Roman" w:cs="Times New Roman"/>
          <w:bCs/>
        </w:rPr>
        <w:t>3</w:t>
      </w:r>
    </w:p>
    <w:p w:rsidR="00B52DD2" w:rsidRPr="00B44CF7" w:rsidRDefault="00B52DD2" w:rsidP="00B52DD2">
      <w:pPr>
        <w:spacing w:line="480" w:lineRule="auto"/>
        <w:rPr>
          <w:rFonts w:ascii="Times New Roman" w:hAnsi="Times New Roman" w:cs="Times New Roman"/>
          <w:bCs/>
        </w:rPr>
      </w:pPr>
      <w:r w:rsidRPr="00B44CF7">
        <w:rPr>
          <w:rFonts w:ascii="Times New Roman" w:eastAsia="Times New Roman" w:hAnsi="Times New Roman" w:cs="Times New Roman"/>
          <w:color w:val="222222"/>
          <w:shd w:val="clear" w:color="auto" w:fill="FFFFFF"/>
        </w:rPr>
        <w:t>Figure 3-3. Mean Public Trust towards Experts for Regulation and Management of Nuclear Technology</w:t>
      </w:r>
      <w:r w:rsidRPr="00B44CF7">
        <w:rPr>
          <w:rFonts w:ascii="Times New Roman" w:hAnsi="Times New Roman" w:cs="Times New Roman"/>
        </w:rPr>
        <w:ptab w:relativeTo="margin" w:alignment="right" w:leader="dot"/>
      </w:r>
      <w:r w:rsidRPr="00B44CF7">
        <w:rPr>
          <w:rFonts w:ascii="Times New Roman" w:hAnsi="Times New Roman" w:cs="Times New Roman"/>
        </w:rPr>
        <w:t>3</w:t>
      </w:r>
      <w:r>
        <w:rPr>
          <w:rFonts w:ascii="Times New Roman" w:hAnsi="Times New Roman" w:cs="Times New Roman"/>
          <w:bCs/>
        </w:rPr>
        <w:t>4</w:t>
      </w:r>
    </w:p>
    <w:p w:rsidR="00B52DD2" w:rsidRPr="00B44CF7" w:rsidRDefault="00B52DD2" w:rsidP="00B52DD2">
      <w:pPr>
        <w:spacing w:line="480" w:lineRule="auto"/>
        <w:rPr>
          <w:rFonts w:ascii="Times New Roman" w:hAnsi="Times New Roman" w:cs="Times New Roman"/>
          <w:bCs/>
        </w:rPr>
      </w:pPr>
      <w:r w:rsidRPr="00B44CF7">
        <w:rPr>
          <w:rFonts w:ascii="Times New Roman" w:eastAsia="Times New Roman" w:hAnsi="Times New Roman" w:cs="Times New Roman"/>
          <w:color w:val="222222"/>
          <w:shd w:val="clear" w:color="auto" w:fill="FFFFFF"/>
        </w:rPr>
        <w:t>Figure 3-4. Knowledge about SNF Management and Storage Policy Options</w:t>
      </w:r>
      <w:r w:rsidRPr="00B44CF7">
        <w:rPr>
          <w:rFonts w:ascii="Times New Roman" w:hAnsi="Times New Roman" w:cs="Times New Roman"/>
        </w:rPr>
        <w:ptab w:relativeTo="margin" w:alignment="right" w:leader="dot"/>
      </w:r>
      <w:r w:rsidRPr="00B44CF7">
        <w:rPr>
          <w:rFonts w:ascii="Times New Roman" w:hAnsi="Times New Roman" w:cs="Times New Roman"/>
        </w:rPr>
        <w:t>3</w:t>
      </w:r>
      <w:r>
        <w:rPr>
          <w:rFonts w:ascii="Times New Roman" w:hAnsi="Times New Roman" w:cs="Times New Roman"/>
          <w:bCs/>
        </w:rPr>
        <w:t>5</w:t>
      </w:r>
    </w:p>
    <w:p w:rsidR="00B52DD2" w:rsidRPr="00B44CF7" w:rsidRDefault="00B52DD2" w:rsidP="00B52DD2">
      <w:pPr>
        <w:spacing w:line="480" w:lineRule="auto"/>
        <w:rPr>
          <w:rFonts w:ascii="Times New Roman" w:hAnsi="Times New Roman" w:cs="Times New Roman"/>
          <w:bCs/>
        </w:rPr>
      </w:pPr>
      <w:r w:rsidRPr="00B44CF7">
        <w:rPr>
          <w:rFonts w:ascii="Times New Roman" w:eastAsia="Times New Roman" w:hAnsi="Times New Roman" w:cs="Times New Roman"/>
          <w:color w:val="222222"/>
          <w:shd w:val="clear" w:color="auto" w:fill="FFFFFF"/>
        </w:rPr>
        <w:t>Figure 3-5. Mean Preferences in SNF Storage Policy Options</w:t>
      </w:r>
      <w:r w:rsidRPr="00B44CF7">
        <w:rPr>
          <w:rFonts w:ascii="Times New Roman" w:hAnsi="Times New Roman" w:cs="Times New Roman"/>
        </w:rPr>
        <w:ptab w:relativeTo="margin" w:alignment="right" w:leader="dot"/>
      </w:r>
      <w:r w:rsidRPr="00B44CF7">
        <w:rPr>
          <w:rFonts w:ascii="Times New Roman" w:hAnsi="Times New Roman" w:cs="Times New Roman"/>
        </w:rPr>
        <w:t>3</w:t>
      </w:r>
      <w:r>
        <w:rPr>
          <w:rFonts w:ascii="Times New Roman" w:hAnsi="Times New Roman" w:cs="Times New Roman"/>
          <w:bCs/>
        </w:rPr>
        <w:t>6</w:t>
      </w:r>
    </w:p>
    <w:p w:rsidR="00B52DD2" w:rsidRPr="00DA0E95" w:rsidRDefault="00B52DD2" w:rsidP="00B52DD2">
      <w:pPr>
        <w:spacing w:line="480" w:lineRule="auto"/>
        <w:rPr>
          <w:rFonts w:ascii="Times New Roman" w:hAnsi="Times New Roman" w:cs="Times New Roman"/>
        </w:rPr>
      </w:pPr>
      <w:r w:rsidRPr="00DA0E95">
        <w:rPr>
          <w:rFonts w:ascii="Times New Roman" w:hAnsi="Times New Roman" w:cs="Times New Roman"/>
        </w:rPr>
        <w:t>Figure 3-6. Line Charts of Differenced Independent and Dependent Variables</w:t>
      </w:r>
      <w:r w:rsidRPr="00B44CF7">
        <w:rPr>
          <w:rFonts w:ascii="Times New Roman" w:hAnsi="Times New Roman" w:cs="Times New Roman"/>
        </w:rPr>
        <w:ptab w:relativeTo="margin" w:alignment="right" w:leader="dot"/>
      </w:r>
      <w:r>
        <w:rPr>
          <w:rFonts w:ascii="Times New Roman" w:hAnsi="Times New Roman" w:cs="Times New Roman"/>
        </w:rPr>
        <w:t>38</w:t>
      </w:r>
    </w:p>
    <w:p w:rsidR="00B52DD2" w:rsidRPr="00B44CF7" w:rsidRDefault="00B52DD2" w:rsidP="00B52DD2">
      <w:pPr>
        <w:spacing w:line="480" w:lineRule="auto"/>
        <w:rPr>
          <w:rFonts w:ascii="Times New Roman" w:hAnsi="Times New Roman" w:cs="Times New Roman"/>
          <w:bCs/>
        </w:rPr>
      </w:pPr>
      <w:r w:rsidRPr="00B44CF7">
        <w:rPr>
          <w:rFonts w:ascii="Times New Roman" w:eastAsia="Times New Roman" w:hAnsi="Times New Roman" w:cs="Times New Roman"/>
          <w:color w:val="222222"/>
          <w:shd w:val="clear" w:color="auto" w:fill="FFFFFF"/>
        </w:rPr>
        <w:t>Figure 3-</w:t>
      </w:r>
      <w:r>
        <w:rPr>
          <w:rFonts w:ascii="Times New Roman" w:eastAsia="Times New Roman" w:hAnsi="Times New Roman" w:cs="Times New Roman"/>
          <w:color w:val="222222"/>
          <w:shd w:val="clear" w:color="auto" w:fill="FFFFFF"/>
        </w:rPr>
        <w:t>7</w:t>
      </w:r>
      <w:r w:rsidRPr="00B44CF7">
        <w:rPr>
          <w:rFonts w:ascii="Times New Roman" w:eastAsia="Times New Roman" w:hAnsi="Times New Roman" w:cs="Times New Roman"/>
          <w:color w:val="222222"/>
          <w:shd w:val="clear" w:color="auto" w:fill="FFFFFF"/>
        </w:rPr>
        <w:t>. Risks of Nuclear Waste Transportation/Storage and SNF Deep Geologic Storage</w:t>
      </w:r>
      <w:r w:rsidRPr="00B44CF7">
        <w:rPr>
          <w:rFonts w:ascii="Times New Roman" w:hAnsi="Times New Roman" w:cs="Times New Roman"/>
        </w:rPr>
        <w:ptab w:relativeTo="margin" w:alignment="right" w:leader="dot"/>
      </w:r>
      <w:r>
        <w:rPr>
          <w:rFonts w:ascii="Times New Roman" w:hAnsi="Times New Roman" w:cs="Times New Roman"/>
        </w:rPr>
        <w:t>41</w:t>
      </w:r>
    </w:p>
    <w:p w:rsidR="00B52DD2" w:rsidRPr="00B44CF7" w:rsidRDefault="00B52DD2" w:rsidP="00B52DD2">
      <w:pPr>
        <w:spacing w:line="480" w:lineRule="auto"/>
        <w:rPr>
          <w:rFonts w:ascii="Times New Roman" w:hAnsi="Times New Roman" w:cs="Times New Roman"/>
          <w:bCs/>
        </w:rPr>
      </w:pPr>
      <w:r w:rsidRPr="00467353">
        <w:rPr>
          <w:rFonts w:ascii="Times New Roman" w:eastAsia="Times New Roman" w:hAnsi="Times New Roman" w:cs="Times New Roman"/>
          <w:color w:val="222222"/>
          <w:shd w:val="clear" w:color="auto" w:fill="FFFFFF"/>
        </w:rPr>
        <w:t>Figure 3-8. Benefits of Reduced Mining and Support for SNF Onsite Storage</w:t>
      </w:r>
      <w:r w:rsidRPr="00467353">
        <w:rPr>
          <w:rFonts w:ascii="Times New Roman" w:hAnsi="Times New Roman" w:cs="Times New Roman"/>
        </w:rPr>
        <w:ptab w:relativeTo="margin" w:alignment="right" w:leader="dot"/>
      </w:r>
      <w:r w:rsidRPr="00467353">
        <w:rPr>
          <w:rFonts w:ascii="Times New Roman" w:hAnsi="Times New Roman" w:cs="Times New Roman"/>
        </w:rPr>
        <w:t>4</w:t>
      </w:r>
      <w:r>
        <w:rPr>
          <w:rFonts w:ascii="Times New Roman" w:hAnsi="Times New Roman" w:cs="Times New Roman"/>
          <w:bCs/>
        </w:rPr>
        <w:t>2</w:t>
      </w:r>
    </w:p>
    <w:p w:rsidR="00B52DD2" w:rsidRPr="00B44CF7" w:rsidRDefault="00B52DD2" w:rsidP="00B52DD2">
      <w:pPr>
        <w:spacing w:line="480" w:lineRule="auto"/>
        <w:rPr>
          <w:rFonts w:ascii="Times New Roman" w:hAnsi="Times New Roman" w:cs="Times New Roman"/>
          <w:bCs/>
        </w:rPr>
      </w:pPr>
      <w:bookmarkStart w:id="1" w:name="_Hlk6227802"/>
      <w:r w:rsidRPr="00B44CF7">
        <w:rPr>
          <w:rFonts w:ascii="Times New Roman" w:eastAsia="Times New Roman" w:hAnsi="Times New Roman" w:cs="Times New Roman"/>
          <w:color w:val="222222"/>
          <w:shd w:val="clear" w:color="auto" w:fill="FFFFFF"/>
        </w:rPr>
        <w:t>Figure 3-</w:t>
      </w:r>
      <w:r>
        <w:rPr>
          <w:rFonts w:ascii="Times New Roman" w:eastAsia="Times New Roman" w:hAnsi="Times New Roman" w:cs="Times New Roman"/>
          <w:color w:val="222222"/>
          <w:shd w:val="clear" w:color="auto" w:fill="FFFFFF"/>
        </w:rPr>
        <w:t>9</w:t>
      </w:r>
      <w:r w:rsidRPr="00B44CF7">
        <w:rPr>
          <w:rFonts w:ascii="Times New Roman" w:eastAsia="Times New Roman" w:hAnsi="Times New Roman" w:cs="Times New Roman"/>
          <w:color w:val="222222"/>
          <w:shd w:val="clear" w:color="auto" w:fill="FFFFFF"/>
        </w:rPr>
        <w:t>. Benefits of Reduced Mining and Support for SNF Interim Storage</w:t>
      </w:r>
      <w:bookmarkEnd w:id="1"/>
      <w:r w:rsidRPr="00B44CF7">
        <w:rPr>
          <w:rFonts w:ascii="Times New Roman" w:hAnsi="Times New Roman" w:cs="Times New Roman"/>
        </w:rPr>
        <w:ptab w:relativeTo="margin" w:alignment="right" w:leader="dot"/>
      </w:r>
      <w:r w:rsidRPr="00B44CF7">
        <w:rPr>
          <w:rFonts w:ascii="Times New Roman" w:hAnsi="Times New Roman" w:cs="Times New Roman"/>
          <w:bCs/>
        </w:rPr>
        <w:t>4</w:t>
      </w:r>
      <w:r>
        <w:rPr>
          <w:rFonts w:ascii="Times New Roman" w:hAnsi="Times New Roman" w:cs="Times New Roman"/>
          <w:bCs/>
        </w:rPr>
        <w:t>2</w:t>
      </w:r>
    </w:p>
    <w:p w:rsidR="00B52DD2" w:rsidRPr="00B44CF7" w:rsidRDefault="00B52DD2" w:rsidP="00B52DD2">
      <w:pPr>
        <w:spacing w:line="480" w:lineRule="auto"/>
        <w:rPr>
          <w:rFonts w:ascii="Times New Roman" w:hAnsi="Times New Roman" w:cs="Times New Roman"/>
          <w:bCs/>
        </w:rPr>
      </w:pPr>
      <w:r w:rsidRPr="00467353">
        <w:rPr>
          <w:rFonts w:ascii="Times New Roman" w:eastAsia="Times New Roman" w:hAnsi="Times New Roman" w:cs="Times New Roman"/>
          <w:color w:val="222222"/>
          <w:shd w:val="clear" w:color="auto" w:fill="FFFFFF"/>
        </w:rPr>
        <w:t>Figure 3-10.</w:t>
      </w:r>
      <w:r w:rsidRPr="00B44CF7">
        <w:rPr>
          <w:rFonts w:ascii="Times New Roman" w:eastAsia="Times New Roman" w:hAnsi="Times New Roman" w:cs="Times New Roman"/>
          <w:color w:val="222222"/>
          <w:shd w:val="clear" w:color="auto" w:fill="FFFFFF"/>
        </w:rPr>
        <w:t xml:space="preserve"> Trust in the Department of Defense &amp; SNF Deep Geologic Storage</w:t>
      </w:r>
      <w:r w:rsidRPr="00B44CF7">
        <w:rPr>
          <w:rFonts w:ascii="Times New Roman" w:hAnsi="Times New Roman" w:cs="Times New Roman"/>
        </w:rPr>
        <w:ptab w:relativeTo="margin" w:alignment="right" w:leader="dot"/>
      </w:r>
      <w:r w:rsidRPr="00B44CF7">
        <w:rPr>
          <w:rFonts w:ascii="Times New Roman" w:hAnsi="Times New Roman" w:cs="Times New Roman"/>
          <w:bCs/>
        </w:rPr>
        <w:t>4</w:t>
      </w:r>
      <w:r>
        <w:rPr>
          <w:rFonts w:ascii="Times New Roman" w:hAnsi="Times New Roman" w:cs="Times New Roman"/>
          <w:bCs/>
        </w:rPr>
        <w:t>3</w:t>
      </w:r>
    </w:p>
    <w:p w:rsidR="00B52DD2" w:rsidRPr="00B44CF7" w:rsidRDefault="00B52DD2" w:rsidP="00B52DD2">
      <w:pPr>
        <w:spacing w:line="480" w:lineRule="auto"/>
        <w:rPr>
          <w:rFonts w:ascii="Times New Roman" w:hAnsi="Times New Roman" w:cs="Times New Roman"/>
          <w:bCs/>
        </w:rPr>
      </w:pPr>
      <w:r w:rsidRPr="00B44CF7">
        <w:rPr>
          <w:rFonts w:ascii="Times New Roman" w:eastAsia="Times New Roman" w:hAnsi="Times New Roman" w:cs="Times New Roman"/>
          <w:color w:val="222222"/>
          <w:shd w:val="clear" w:color="auto" w:fill="FFFFFF"/>
        </w:rPr>
        <w:t>Figure 3-1</w:t>
      </w:r>
      <w:r>
        <w:rPr>
          <w:rFonts w:ascii="Times New Roman" w:eastAsia="Times New Roman" w:hAnsi="Times New Roman" w:cs="Times New Roman"/>
          <w:color w:val="222222"/>
          <w:shd w:val="clear" w:color="auto" w:fill="FFFFFF"/>
        </w:rPr>
        <w:t>1</w:t>
      </w:r>
      <w:r w:rsidRPr="00B44CF7">
        <w:rPr>
          <w:rFonts w:ascii="Times New Roman" w:eastAsia="Times New Roman" w:hAnsi="Times New Roman" w:cs="Times New Roman"/>
          <w:color w:val="222222"/>
          <w:shd w:val="clear" w:color="auto" w:fill="FFFFFF"/>
        </w:rPr>
        <w:t>. Trust in the National Labs &amp; SNF Deep Geologic Storage</w:t>
      </w:r>
      <w:r w:rsidRPr="00B44CF7">
        <w:rPr>
          <w:rFonts w:ascii="Times New Roman" w:hAnsi="Times New Roman" w:cs="Times New Roman"/>
        </w:rPr>
        <w:ptab w:relativeTo="margin" w:alignment="right" w:leader="dot"/>
      </w:r>
      <w:r w:rsidRPr="00B44CF7">
        <w:rPr>
          <w:rFonts w:ascii="Times New Roman" w:hAnsi="Times New Roman" w:cs="Times New Roman"/>
          <w:bCs/>
        </w:rPr>
        <w:t>4</w:t>
      </w:r>
      <w:r>
        <w:rPr>
          <w:rFonts w:ascii="Times New Roman" w:hAnsi="Times New Roman" w:cs="Times New Roman"/>
          <w:bCs/>
        </w:rPr>
        <w:t>3</w:t>
      </w:r>
    </w:p>
    <w:p w:rsidR="00B52DD2" w:rsidRPr="00B44CF7" w:rsidRDefault="00B52DD2" w:rsidP="00B52DD2">
      <w:pPr>
        <w:spacing w:line="480" w:lineRule="auto"/>
        <w:rPr>
          <w:rFonts w:ascii="Times New Roman" w:hAnsi="Times New Roman" w:cs="Times New Roman"/>
          <w:bCs/>
        </w:rPr>
      </w:pPr>
      <w:r w:rsidRPr="00B44CF7">
        <w:rPr>
          <w:rFonts w:ascii="Times New Roman" w:eastAsia="Times New Roman" w:hAnsi="Times New Roman" w:cs="Times New Roman"/>
          <w:color w:val="222222"/>
          <w:shd w:val="clear" w:color="auto" w:fill="FFFFFF"/>
        </w:rPr>
        <w:t>Figure 3-</w:t>
      </w:r>
      <w:r w:rsidRPr="002D43EC">
        <w:rPr>
          <w:rFonts w:ascii="Times New Roman" w:eastAsia="Times New Roman" w:hAnsi="Times New Roman" w:cs="Times New Roman"/>
          <w:color w:val="222222"/>
          <w:shd w:val="clear" w:color="auto" w:fill="FFFFFF"/>
        </w:rPr>
        <w:t>12</w:t>
      </w:r>
      <w:r w:rsidRPr="00B44CF7">
        <w:rPr>
          <w:rFonts w:ascii="Times New Roman" w:eastAsia="Times New Roman" w:hAnsi="Times New Roman" w:cs="Times New Roman"/>
          <w:color w:val="222222"/>
          <w:shd w:val="clear" w:color="auto" w:fill="FFFFFF"/>
        </w:rPr>
        <w:t>. Trust in the EPA &amp; Support for SNF Onsite Storage</w:t>
      </w:r>
      <w:r w:rsidRPr="00B44CF7">
        <w:rPr>
          <w:rFonts w:ascii="Times New Roman" w:hAnsi="Times New Roman" w:cs="Times New Roman"/>
        </w:rPr>
        <w:ptab w:relativeTo="margin" w:alignment="right" w:leader="dot"/>
      </w:r>
      <w:r w:rsidRPr="00B44CF7">
        <w:rPr>
          <w:rFonts w:ascii="Times New Roman" w:hAnsi="Times New Roman" w:cs="Times New Roman"/>
          <w:bCs/>
        </w:rPr>
        <w:t>4</w:t>
      </w:r>
      <w:r>
        <w:rPr>
          <w:rFonts w:ascii="Times New Roman" w:hAnsi="Times New Roman" w:cs="Times New Roman"/>
          <w:bCs/>
        </w:rPr>
        <w:t>4</w:t>
      </w:r>
    </w:p>
    <w:p w:rsidR="00B52DD2" w:rsidRPr="00B44CF7" w:rsidRDefault="00B52DD2" w:rsidP="00B52DD2">
      <w:pPr>
        <w:spacing w:line="480" w:lineRule="auto"/>
        <w:rPr>
          <w:rFonts w:ascii="Times New Roman" w:hAnsi="Times New Roman" w:cs="Times New Roman"/>
          <w:bCs/>
        </w:rPr>
      </w:pPr>
      <w:r w:rsidRPr="00B44CF7">
        <w:rPr>
          <w:rFonts w:ascii="Times New Roman" w:eastAsia="Times New Roman" w:hAnsi="Times New Roman" w:cs="Times New Roman"/>
          <w:color w:val="222222"/>
          <w:shd w:val="clear" w:color="auto" w:fill="FFFFFF"/>
        </w:rPr>
        <w:t>Figure 3-1</w:t>
      </w:r>
      <w:r>
        <w:rPr>
          <w:rFonts w:ascii="Times New Roman" w:eastAsia="Times New Roman" w:hAnsi="Times New Roman" w:cs="Times New Roman"/>
          <w:color w:val="222222"/>
          <w:shd w:val="clear" w:color="auto" w:fill="FFFFFF"/>
        </w:rPr>
        <w:t>3</w:t>
      </w:r>
      <w:r w:rsidRPr="00B44CF7">
        <w:rPr>
          <w:rFonts w:ascii="Times New Roman" w:eastAsia="Times New Roman" w:hAnsi="Times New Roman" w:cs="Times New Roman"/>
          <w:color w:val="222222"/>
          <w:shd w:val="clear" w:color="auto" w:fill="FFFFFF"/>
        </w:rPr>
        <w:t>. Trust in the EPA &amp; Support for SNF Interim Storage</w:t>
      </w:r>
      <w:r w:rsidRPr="00B44CF7">
        <w:rPr>
          <w:rFonts w:ascii="Times New Roman" w:hAnsi="Times New Roman" w:cs="Times New Roman"/>
        </w:rPr>
        <w:ptab w:relativeTo="margin" w:alignment="right" w:leader="dot"/>
      </w:r>
      <w:r w:rsidRPr="00B44CF7">
        <w:rPr>
          <w:rFonts w:ascii="Times New Roman" w:hAnsi="Times New Roman" w:cs="Times New Roman"/>
          <w:bCs/>
        </w:rPr>
        <w:t>4</w:t>
      </w:r>
      <w:r>
        <w:rPr>
          <w:rFonts w:ascii="Times New Roman" w:hAnsi="Times New Roman" w:cs="Times New Roman"/>
          <w:bCs/>
        </w:rPr>
        <w:t>4</w:t>
      </w:r>
    </w:p>
    <w:p w:rsidR="00B52DD2" w:rsidRPr="00B44CF7" w:rsidRDefault="00B52DD2" w:rsidP="00B52DD2">
      <w:pPr>
        <w:spacing w:line="480" w:lineRule="auto"/>
        <w:rPr>
          <w:rFonts w:ascii="Times New Roman" w:hAnsi="Times New Roman" w:cs="Times New Roman"/>
          <w:bCs/>
        </w:rPr>
      </w:pPr>
      <w:r w:rsidRPr="00B44CF7">
        <w:rPr>
          <w:rFonts w:ascii="Times New Roman" w:eastAsia="Times New Roman" w:hAnsi="Times New Roman" w:cs="Times New Roman"/>
          <w:color w:val="222222"/>
          <w:shd w:val="clear" w:color="auto" w:fill="FFFFFF"/>
        </w:rPr>
        <w:t>Figure 3-1</w:t>
      </w:r>
      <w:r>
        <w:rPr>
          <w:rFonts w:ascii="Times New Roman" w:eastAsia="Times New Roman" w:hAnsi="Times New Roman" w:cs="Times New Roman"/>
          <w:color w:val="222222"/>
          <w:shd w:val="clear" w:color="auto" w:fill="FFFFFF"/>
        </w:rPr>
        <w:t>4</w:t>
      </w:r>
      <w:r w:rsidRPr="00B44CF7">
        <w:rPr>
          <w:rFonts w:ascii="Times New Roman" w:eastAsia="Times New Roman" w:hAnsi="Times New Roman" w:cs="Times New Roman"/>
          <w:color w:val="222222"/>
          <w:shd w:val="clear" w:color="auto" w:fill="FFFFFF"/>
        </w:rPr>
        <w:t>. Trust in the NRC &amp; Support for SNF Onsite Storage</w:t>
      </w:r>
      <w:r w:rsidRPr="00B44CF7">
        <w:rPr>
          <w:rFonts w:ascii="Times New Roman" w:hAnsi="Times New Roman" w:cs="Times New Roman"/>
        </w:rPr>
        <w:ptab w:relativeTo="margin" w:alignment="right" w:leader="dot"/>
      </w:r>
      <w:r w:rsidRPr="00B44CF7">
        <w:rPr>
          <w:rFonts w:ascii="Times New Roman" w:hAnsi="Times New Roman" w:cs="Times New Roman"/>
          <w:bCs/>
        </w:rPr>
        <w:t>4</w:t>
      </w:r>
      <w:r>
        <w:rPr>
          <w:rFonts w:ascii="Times New Roman" w:hAnsi="Times New Roman" w:cs="Times New Roman"/>
          <w:bCs/>
        </w:rPr>
        <w:t>5</w:t>
      </w:r>
    </w:p>
    <w:p w:rsidR="00B52DD2" w:rsidRPr="00B44CF7" w:rsidRDefault="00B52DD2" w:rsidP="00B52DD2">
      <w:pPr>
        <w:spacing w:line="480" w:lineRule="auto"/>
        <w:rPr>
          <w:rFonts w:ascii="Times New Roman" w:hAnsi="Times New Roman" w:cs="Times New Roman"/>
          <w:bCs/>
        </w:rPr>
      </w:pPr>
      <w:r w:rsidRPr="00B44CF7">
        <w:rPr>
          <w:rFonts w:ascii="Times New Roman" w:eastAsia="Times New Roman" w:hAnsi="Times New Roman" w:cs="Times New Roman"/>
          <w:color w:val="222222"/>
          <w:shd w:val="clear" w:color="auto" w:fill="FFFFFF"/>
        </w:rPr>
        <w:t>Figure 3-1</w:t>
      </w:r>
      <w:r>
        <w:rPr>
          <w:rFonts w:ascii="Times New Roman" w:eastAsia="Times New Roman" w:hAnsi="Times New Roman" w:cs="Times New Roman"/>
          <w:color w:val="222222"/>
          <w:shd w:val="clear" w:color="auto" w:fill="FFFFFF"/>
        </w:rPr>
        <w:t>5</w:t>
      </w:r>
      <w:r w:rsidRPr="00B44CF7">
        <w:rPr>
          <w:rFonts w:ascii="Times New Roman" w:eastAsia="Times New Roman" w:hAnsi="Times New Roman" w:cs="Times New Roman"/>
          <w:color w:val="222222"/>
          <w:shd w:val="clear" w:color="auto" w:fill="FFFFFF"/>
        </w:rPr>
        <w:t>. Trust in the NRC &amp; Support for SNF Interim Storage</w:t>
      </w:r>
      <w:r w:rsidRPr="00B44CF7">
        <w:rPr>
          <w:rFonts w:ascii="Times New Roman" w:hAnsi="Times New Roman" w:cs="Times New Roman"/>
        </w:rPr>
        <w:ptab w:relativeTo="margin" w:alignment="right" w:leader="dot"/>
      </w:r>
      <w:r w:rsidRPr="00B44CF7">
        <w:rPr>
          <w:rFonts w:ascii="Times New Roman" w:hAnsi="Times New Roman" w:cs="Times New Roman"/>
        </w:rPr>
        <w:t>4</w:t>
      </w:r>
      <w:r>
        <w:rPr>
          <w:rFonts w:ascii="Times New Roman" w:hAnsi="Times New Roman" w:cs="Times New Roman"/>
          <w:bCs/>
        </w:rPr>
        <w:t>5</w:t>
      </w:r>
    </w:p>
    <w:p w:rsidR="00B52DD2" w:rsidRPr="00B44CF7" w:rsidRDefault="00B52DD2" w:rsidP="00B52DD2">
      <w:pPr>
        <w:spacing w:line="480" w:lineRule="auto"/>
        <w:rPr>
          <w:rFonts w:ascii="Times New Roman" w:hAnsi="Times New Roman" w:cs="Times New Roman"/>
          <w:bCs/>
        </w:rPr>
      </w:pPr>
      <w:r w:rsidRPr="00E6102D">
        <w:rPr>
          <w:rFonts w:ascii="Times New Roman" w:eastAsia="Times New Roman" w:hAnsi="Times New Roman" w:cs="Times New Roman"/>
          <w:color w:val="222222"/>
          <w:shd w:val="clear" w:color="auto" w:fill="FFFFFF"/>
        </w:rPr>
        <w:lastRenderedPageBreak/>
        <w:t>Figure 3-1</w:t>
      </w:r>
      <w:r>
        <w:rPr>
          <w:rFonts w:ascii="Times New Roman" w:eastAsia="Times New Roman" w:hAnsi="Times New Roman" w:cs="Times New Roman"/>
          <w:color w:val="222222"/>
          <w:shd w:val="clear" w:color="auto" w:fill="FFFFFF"/>
        </w:rPr>
        <w:t>6</w:t>
      </w:r>
      <w:r w:rsidRPr="00E6102D">
        <w:rPr>
          <w:rFonts w:ascii="Times New Roman" w:eastAsia="Times New Roman" w:hAnsi="Times New Roman" w:cs="Times New Roman"/>
          <w:color w:val="222222"/>
          <w:shd w:val="clear" w:color="auto" w:fill="FFFFFF"/>
        </w:rPr>
        <w:t>. Knowledge about Actual SNF Storage Processes &amp; Support for Interim Storage</w:t>
      </w:r>
      <w:r w:rsidRPr="00E6102D">
        <w:rPr>
          <w:rFonts w:ascii="Times New Roman" w:hAnsi="Times New Roman" w:cs="Times New Roman"/>
        </w:rPr>
        <w:ptab w:relativeTo="margin" w:alignment="right" w:leader="dot"/>
      </w:r>
      <w:r>
        <w:rPr>
          <w:rFonts w:ascii="Times New Roman" w:hAnsi="Times New Roman" w:cs="Times New Roman"/>
          <w:bCs/>
        </w:rPr>
        <w:t>46</w:t>
      </w:r>
    </w:p>
    <w:p w:rsidR="00B52DD2" w:rsidRPr="00E6102D" w:rsidRDefault="00B52DD2" w:rsidP="00B52DD2">
      <w:pPr>
        <w:spacing w:line="480" w:lineRule="auto"/>
        <w:rPr>
          <w:rFonts w:ascii="Times New Roman" w:hAnsi="Times New Roman" w:cs="Times New Roman"/>
          <w:bCs/>
        </w:rPr>
      </w:pPr>
      <w:r w:rsidRPr="00E6102D">
        <w:rPr>
          <w:rFonts w:ascii="Times New Roman" w:eastAsia="Times New Roman" w:hAnsi="Times New Roman" w:cs="Times New Roman"/>
          <w:color w:val="222222"/>
          <w:shd w:val="clear" w:color="auto" w:fill="FFFFFF"/>
        </w:rPr>
        <w:t>Figure 3-1</w:t>
      </w:r>
      <w:r>
        <w:rPr>
          <w:rFonts w:ascii="Times New Roman" w:eastAsia="Times New Roman" w:hAnsi="Times New Roman" w:cs="Times New Roman"/>
          <w:color w:val="222222"/>
          <w:shd w:val="clear" w:color="auto" w:fill="FFFFFF"/>
        </w:rPr>
        <w:t>7</w:t>
      </w:r>
      <w:r w:rsidRPr="00E6102D">
        <w:rPr>
          <w:rFonts w:ascii="Times New Roman" w:eastAsia="Times New Roman" w:hAnsi="Times New Roman" w:cs="Times New Roman"/>
          <w:color w:val="222222"/>
          <w:shd w:val="clear" w:color="auto" w:fill="FFFFFF"/>
        </w:rPr>
        <w:t>. Knowledge about Actual SNF Storage Processes &amp; Support for Onsight Storage</w:t>
      </w:r>
      <w:r w:rsidRPr="00E6102D">
        <w:rPr>
          <w:rFonts w:ascii="Times New Roman" w:hAnsi="Times New Roman" w:cs="Times New Roman"/>
        </w:rPr>
        <w:ptab w:relativeTo="margin" w:alignment="right" w:leader="dot"/>
      </w:r>
      <w:r>
        <w:rPr>
          <w:rFonts w:ascii="Times New Roman" w:hAnsi="Times New Roman" w:cs="Times New Roman"/>
          <w:bCs/>
        </w:rPr>
        <w:t>46</w:t>
      </w:r>
    </w:p>
    <w:p w:rsidR="00B52DD2" w:rsidRPr="00B44CF7" w:rsidRDefault="00B52DD2" w:rsidP="00B52DD2">
      <w:pPr>
        <w:spacing w:line="480" w:lineRule="auto"/>
        <w:rPr>
          <w:rFonts w:ascii="Times New Roman" w:hAnsi="Times New Roman" w:cs="Times New Roman"/>
          <w:bCs/>
        </w:rPr>
      </w:pPr>
      <w:r w:rsidRPr="00024E0C">
        <w:rPr>
          <w:rFonts w:ascii="Times New Roman" w:eastAsia="Times New Roman" w:hAnsi="Times New Roman" w:cs="Times New Roman"/>
          <w:shd w:val="clear" w:color="auto" w:fill="FFFFFF"/>
        </w:rPr>
        <w:t>Figure 3-18</w:t>
      </w:r>
      <w:r w:rsidRPr="009C63F7">
        <w:rPr>
          <w:rFonts w:ascii="Times New Roman" w:eastAsia="Times New Roman" w:hAnsi="Times New Roman" w:cs="Times New Roman"/>
          <w:shd w:val="clear" w:color="auto" w:fill="FFFFFF"/>
        </w:rPr>
        <w:t xml:space="preserve"> </w:t>
      </w:r>
      <w:r w:rsidRPr="00B44CF7">
        <w:rPr>
          <w:rFonts w:ascii="Times New Roman" w:eastAsia="Times New Roman" w:hAnsi="Times New Roman" w:cs="Times New Roman"/>
          <w:color w:val="222222"/>
          <w:shd w:val="clear" w:color="auto" w:fill="FFFFFF"/>
        </w:rPr>
        <w:t>Knowledge about Actual SNF Storage Processes &amp; Support for Dee</w:t>
      </w:r>
      <w:r>
        <w:rPr>
          <w:rFonts w:ascii="Times New Roman" w:eastAsia="Times New Roman" w:hAnsi="Times New Roman" w:cs="Times New Roman"/>
          <w:color w:val="222222"/>
          <w:shd w:val="clear" w:color="auto" w:fill="FFFFFF"/>
        </w:rPr>
        <w:t>p Geologic Option</w:t>
      </w:r>
      <w:r w:rsidRPr="00B44CF7">
        <w:rPr>
          <w:rFonts w:ascii="Times New Roman" w:hAnsi="Times New Roman" w:cs="Times New Roman"/>
        </w:rPr>
        <w:ptab w:relativeTo="margin" w:alignment="right" w:leader="dot"/>
      </w:r>
      <w:r>
        <w:rPr>
          <w:rFonts w:ascii="Times New Roman" w:hAnsi="Times New Roman" w:cs="Times New Roman"/>
          <w:bCs/>
        </w:rPr>
        <w:t>47</w:t>
      </w:r>
    </w:p>
    <w:p w:rsidR="00B52DD2" w:rsidRPr="00333ECA" w:rsidRDefault="00B52DD2" w:rsidP="00B52DD2">
      <w:pPr>
        <w:spacing w:line="480" w:lineRule="auto"/>
        <w:rPr>
          <w:rFonts w:ascii="Times New Roman" w:eastAsia="Times New Roman" w:hAnsi="Times New Roman" w:cs="Times New Roman"/>
          <w:color w:val="222222"/>
          <w:shd w:val="clear" w:color="auto" w:fill="FFFFFF"/>
        </w:rPr>
      </w:pPr>
      <w:r w:rsidRPr="007D7763">
        <w:rPr>
          <w:rFonts w:ascii="Times New Roman" w:eastAsia="Times New Roman" w:hAnsi="Times New Roman" w:cs="Times New Roman"/>
          <w:color w:val="222222"/>
          <w:shd w:val="clear" w:color="auto" w:fill="FFFFFF"/>
        </w:rPr>
        <w:t>Figure 4-1.</w:t>
      </w:r>
      <w:r w:rsidRPr="00B44CF7">
        <w:rPr>
          <w:rFonts w:ascii="Times New Roman" w:eastAsia="Times New Roman" w:hAnsi="Times New Roman" w:cs="Times New Roman"/>
          <w:color w:val="222222"/>
          <w:shd w:val="clear" w:color="auto" w:fill="FFFFFF"/>
        </w:rPr>
        <w:t xml:space="preserve"> </w:t>
      </w:r>
      <w:r w:rsidRPr="00333ECA">
        <w:rPr>
          <w:rFonts w:ascii="Times New Roman" w:eastAsia="Times New Roman" w:hAnsi="Times New Roman" w:cs="Times New Roman"/>
          <w:color w:val="222222"/>
          <w:shd w:val="clear" w:color="auto" w:fill="FFFFFF"/>
        </w:rPr>
        <w:t>Nevada County Map</w:t>
      </w:r>
      <w:r w:rsidRPr="00B44CF7">
        <w:rPr>
          <w:rFonts w:ascii="Times New Roman" w:hAnsi="Times New Roman" w:cs="Times New Roman"/>
        </w:rPr>
        <w:ptab w:relativeTo="margin" w:alignment="right" w:leader="dot"/>
      </w:r>
      <w:r w:rsidRPr="00B44CF7">
        <w:rPr>
          <w:rFonts w:ascii="Times New Roman" w:hAnsi="Times New Roman" w:cs="Times New Roman"/>
          <w:bCs/>
        </w:rPr>
        <w:t>6</w:t>
      </w:r>
      <w:r>
        <w:rPr>
          <w:rFonts w:ascii="Times New Roman" w:hAnsi="Times New Roman" w:cs="Times New Roman"/>
          <w:bCs/>
        </w:rPr>
        <w:t>6</w:t>
      </w:r>
    </w:p>
    <w:p w:rsidR="00B52DD2" w:rsidRPr="007D7763" w:rsidRDefault="00B52DD2" w:rsidP="00B52DD2">
      <w:pPr>
        <w:spacing w:line="480" w:lineRule="auto"/>
        <w:rPr>
          <w:rFonts w:ascii="Times New Roman" w:hAnsi="Times New Roman" w:cs="Times New Roman"/>
          <w:bCs/>
        </w:rPr>
      </w:pPr>
      <w:r w:rsidRPr="007D7763">
        <w:rPr>
          <w:rFonts w:ascii="Times New Roman" w:eastAsia="Times New Roman" w:hAnsi="Times New Roman" w:cs="Times New Roman"/>
          <w:color w:val="222222"/>
          <w:shd w:val="clear" w:color="auto" w:fill="FFFFFF"/>
        </w:rPr>
        <w:t>Figure 4-2. Coefficient Plot for Event-Study Model Testing the Effect of NWPA on Democratic Votes</w:t>
      </w:r>
      <w:r w:rsidRPr="007D7763">
        <w:rPr>
          <w:rFonts w:ascii="Times New Roman" w:hAnsi="Times New Roman" w:cs="Times New Roman"/>
        </w:rPr>
        <w:ptab w:relativeTo="margin" w:alignment="right" w:leader="dot"/>
      </w:r>
      <w:r w:rsidRPr="007D7763">
        <w:rPr>
          <w:rFonts w:ascii="Times New Roman" w:hAnsi="Times New Roman" w:cs="Times New Roman"/>
          <w:bCs/>
        </w:rPr>
        <w:t>7</w:t>
      </w:r>
      <w:r>
        <w:rPr>
          <w:rFonts w:ascii="Times New Roman" w:hAnsi="Times New Roman" w:cs="Times New Roman"/>
          <w:bCs/>
        </w:rPr>
        <w:t>6</w:t>
      </w:r>
    </w:p>
    <w:p w:rsidR="00B52DD2" w:rsidRPr="00B44CF7" w:rsidRDefault="00B52DD2" w:rsidP="00B52DD2">
      <w:pPr>
        <w:spacing w:line="480" w:lineRule="auto"/>
        <w:rPr>
          <w:rFonts w:ascii="Times New Roman" w:hAnsi="Times New Roman" w:cs="Times New Roman"/>
          <w:bCs/>
        </w:rPr>
      </w:pPr>
      <w:r w:rsidRPr="007D7763">
        <w:rPr>
          <w:rFonts w:ascii="Times New Roman" w:eastAsia="Times New Roman" w:hAnsi="Times New Roman" w:cs="Times New Roman"/>
          <w:color w:val="222222"/>
          <w:shd w:val="clear" w:color="auto" w:fill="FFFFFF"/>
        </w:rPr>
        <w:t>Figure 4-3.</w:t>
      </w:r>
      <w:r w:rsidRPr="00B44CF7">
        <w:rPr>
          <w:rFonts w:ascii="Times New Roman" w:eastAsia="Times New Roman" w:hAnsi="Times New Roman" w:cs="Times New Roman"/>
          <w:color w:val="222222"/>
          <w:shd w:val="clear" w:color="auto" w:fill="FFFFFF"/>
        </w:rPr>
        <w:t xml:space="preserve"> Coefficient Plot for Event-Study Model Testing the Effect of NWPA on Republican Votes</w:t>
      </w:r>
      <w:r w:rsidRPr="00B44CF7">
        <w:rPr>
          <w:rFonts w:ascii="Times New Roman" w:hAnsi="Times New Roman" w:cs="Times New Roman"/>
        </w:rPr>
        <w:ptab w:relativeTo="margin" w:alignment="right" w:leader="dot"/>
      </w:r>
      <w:r>
        <w:rPr>
          <w:rFonts w:ascii="Times New Roman" w:hAnsi="Times New Roman" w:cs="Times New Roman"/>
          <w:bCs/>
        </w:rPr>
        <w:t>76</w:t>
      </w:r>
    </w:p>
    <w:p w:rsidR="00B52DD2" w:rsidRPr="00B44CF7" w:rsidRDefault="00B52DD2" w:rsidP="00B52DD2">
      <w:pPr>
        <w:spacing w:line="480" w:lineRule="auto"/>
        <w:rPr>
          <w:rFonts w:ascii="Times New Roman" w:hAnsi="Times New Roman" w:cs="Times New Roman"/>
          <w:bCs/>
        </w:rPr>
      </w:pPr>
      <w:r w:rsidRPr="00B44CF7">
        <w:rPr>
          <w:rFonts w:ascii="Times New Roman" w:eastAsia="Times New Roman" w:hAnsi="Times New Roman" w:cs="Times New Roman"/>
          <w:color w:val="222222"/>
          <w:shd w:val="clear" w:color="auto" w:fill="FFFFFF"/>
        </w:rPr>
        <w:t>Figure 4-A1. The Map of the State of Nevada with NWPA Affected Counties</w:t>
      </w:r>
      <w:r w:rsidRPr="00B44CF7">
        <w:rPr>
          <w:rFonts w:ascii="Times New Roman" w:hAnsi="Times New Roman" w:cs="Times New Roman"/>
        </w:rPr>
        <w:ptab w:relativeTo="margin" w:alignment="right" w:leader="dot"/>
      </w:r>
      <w:r>
        <w:rPr>
          <w:rFonts w:ascii="Times New Roman" w:hAnsi="Times New Roman" w:cs="Times New Roman"/>
        </w:rPr>
        <w:t>8</w:t>
      </w:r>
      <w:r w:rsidRPr="00B44CF7">
        <w:rPr>
          <w:rFonts w:ascii="Times New Roman" w:hAnsi="Times New Roman" w:cs="Times New Roman"/>
          <w:bCs/>
        </w:rPr>
        <w:t>1</w:t>
      </w:r>
    </w:p>
    <w:p w:rsidR="00B52DD2" w:rsidRPr="00B44CF7" w:rsidRDefault="00B52DD2" w:rsidP="00B52DD2">
      <w:pPr>
        <w:spacing w:line="480" w:lineRule="auto"/>
        <w:rPr>
          <w:rFonts w:ascii="Times New Roman" w:hAnsi="Times New Roman" w:cs="Times New Roman"/>
          <w:bCs/>
        </w:rPr>
      </w:pPr>
      <w:r w:rsidRPr="007D7763">
        <w:rPr>
          <w:rFonts w:ascii="Times New Roman" w:eastAsia="Times New Roman" w:hAnsi="Times New Roman" w:cs="Times New Roman"/>
          <w:shd w:val="clear" w:color="auto" w:fill="FFFFFF"/>
        </w:rPr>
        <w:t xml:space="preserve">Figure 4-C1. </w:t>
      </w:r>
      <w:r w:rsidRPr="00B44CF7">
        <w:rPr>
          <w:rFonts w:ascii="Times New Roman" w:eastAsia="Times New Roman" w:hAnsi="Times New Roman" w:cs="Times New Roman"/>
          <w:color w:val="222222"/>
          <w:shd w:val="clear" w:color="auto" w:fill="FFFFFF"/>
        </w:rPr>
        <w:t>Coefficient Plot for Event-Study Model Testing the Effect of NWPA on Election Turnout</w:t>
      </w:r>
      <w:r w:rsidRPr="00B44CF7">
        <w:rPr>
          <w:rFonts w:ascii="Times New Roman" w:hAnsi="Times New Roman" w:cs="Times New Roman"/>
        </w:rPr>
        <w:ptab w:relativeTo="margin" w:alignment="right" w:leader="dot"/>
      </w:r>
      <w:r>
        <w:rPr>
          <w:rFonts w:ascii="Times New Roman" w:hAnsi="Times New Roman" w:cs="Times New Roman"/>
          <w:bCs/>
        </w:rPr>
        <w:t>8</w:t>
      </w:r>
      <w:r w:rsidRPr="00B44CF7">
        <w:rPr>
          <w:rFonts w:ascii="Times New Roman" w:hAnsi="Times New Roman" w:cs="Times New Roman"/>
          <w:bCs/>
        </w:rPr>
        <w:t>3</w:t>
      </w:r>
    </w:p>
    <w:p w:rsidR="00B52DD2" w:rsidRPr="00B44CF7" w:rsidRDefault="00B52DD2" w:rsidP="00B52DD2">
      <w:pPr>
        <w:spacing w:line="480" w:lineRule="auto"/>
        <w:rPr>
          <w:rFonts w:ascii="Times New Roman" w:hAnsi="Times New Roman" w:cs="Times New Roman"/>
          <w:bCs/>
        </w:rPr>
      </w:pPr>
      <w:r w:rsidRPr="00F55AF6">
        <w:rPr>
          <w:rFonts w:ascii="Times New Roman" w:eastAsia="Times New Roman" w:hAnsi="Times New Roman" w:cs="Times New Roman"/>
          <w:shd w:val="clear" w:color="auto" w:fill="FFFFFF"/>
        </w:rPr>
        <w:t xml:space="preserve">Figure </w:t>
      </w:r>
      <w:r w:rsidRPr="00F55AF6">
        <w:rPr>
          <w:rFonts w:ascii="Times New Roman" w:eastAsia="Times New Roman" w:hAnsi="Times New Roman"/>
          <w:shd w:val="clear" w:color="auto" w:fill="FFFFFF"/>
        </w:rPr>
        <w:t>5-</w:t>
      </w:r>
      <w:r w:rsidRPr="00F55AF6">
        <w:rPr>
          <w:rFonts w:ascii="Times New Roman" w:eastAsia="Times New Roman" w:hAnsi="Times New Roman" w:cs="Times New Roman"/>
          <w:shd w:val="clear" w:color="auto" w:fill="FFFFFF"/>
        </w:rPr>
        <w:t xml:space="preserve">1. </w:t>
      </w:r>
      <w:r w:rsidRPr="00B44CF7">
        <w:rPr>
          <w:rFonts w:ascii="Times New Roman" w:eastAsia="Times New Roman" w:hAnsi="Times New Roman" w:cs="Times New Roman"/>
          <w:color w:val="222222"/>
          <w:shd w:val="clear" w:color="auto" w:fill="FFFFFF"/>
        </w:rPr>
        <w:t>Ternary Plot Demonstrating Respondents’ Energy Source Preferences</w:t>
      </w:r>
      <w:r w:rsidRPr="00B44CF7">
        <w:rPr>
          <w:rFonts w:ascii="Times New Roman" w:hAnsi="Times New Roman" w:cs="Times New Roman"/>
        </w:rPr>
        <w:ptab w:relativeTo="margin" w:alignment="right" w:leader="dot"/>
      </w:r>
      <w:r>
        <w:rPr>
          <w:rFonts w:ascii="Times New Roman" w:hAnsi="Times New Roman" w:cs="Times New Roman"/>
        </w:rPr>
        <w:t>8</w:t>
      </w:r>
      <w:r>
        <w:rPr>
          <w:rFonts w:ascii="Times New Roman" w:hAnsi="Times New Roman" w:cs="Times New Roman"/>
          <w:bCs/>
        </w:rPr>
        <w:t>9</w:t>
      </w:r>
    </w:p>
    <w:p w:rsidR="00B52DD2" w:rsidRPr="00B44CF7" w:rsidRDefault="00B52DD2" w:rsidP="00B52DD2">
      <w:pPr>
        <w:spacing w:line="480" w:lineRule="auto"/>
        <w:rPr>
          <w:rFonts w:ascii="Times New Roman" w:hAnsi="Times New Roman" w:cs="Times New Roman"/>
          <w:bCs/>
        </w:rPr>
      </w:pPr>
      <w:r w:rsidRPr="00F55AF6">
        <w:rPr>
          <w:rFonts w:ascii="Times New Roman" w:eastAsia="Times New Roman" w:hAnsi="Times New Roman"/>
          <w:color w:val="222222"/>
          <w:shd w:val="clear" w:color="auto" w:fill="FFFFFF"/>
        </w:rPr>
        <w:t>Figure 5-2.</w:t>
      </w:r>
      <w:r w:rsidRPr="00B44CF7">
        <w:rPr>
          <w:rFonts w:ascii="Times New Roman" w:eastAsia="Times New Roman" w:hAnsi="Times New Roman"/>
          <w:color w:val="222222"/>
          <w:shd w:val="clear" w:color="auto" w:fill="FFFFFF"/>
        </w:rPr>
        <w:t xml:space="preserve"> The Probability of Energy Source Preference among Cultural Subgroups</w:t>
      </w:r>
      <w:r w:rsidRPr="00B44CF7">
        <w:rPr>
          <w:rFonts w:ascii="Times New Roman" w:hAnsi="Times New Roman" w:cs="Times New Roman"/>
        </w:rPr>
        <w:ptab w:relativeTo="margin" w:alignment="right" w:leader="dot"/>
      </w:r>
      <w:r>
        <w:rPr>
          <w:rFonts w:ascii="Times New Roman" w:hAnsi="Times New Roman" w:cs="Times New Roman"/>
          <w:bCs/>
        </w:rPr>
        <w:t>98</w:t>
      </w:r>
    </w:p>
    <w:p w:rsidR="00B52DD2" w:rsidRPr="00B44CF7" w:rsidRDefault="00B52DD2" w:rsidP="00B52DD2">
      <w:pPr>
        <w:spacing w:line="480" w:lineRule="auto"/>
        <w:rPr>
          <w:rFonts w:ascii="Times New Roman" w:hAnsi="Times New Roman" w:cs="Times New Roman"/>
          <w:bCs/>
        </w:rPr>
      </w:pPr>
      <w:r w:rsidRPr="00B44CF7">
        <w:rPr>
          <w:rFonts w:ascii="Times New Roman" w:eastAsia="Times New Roman" w:hAnsi="Times New Roman"/>
          <w:color w:val="222222"/>
          <w:shd w:val="clear" w:color="auto" w:fill="FFFFFF"/>
        </w:rPr>
        <w:t>Figure 5-3. The Probability of Energy Source Preference among Strong Cultural Subgroups</w:t>
      </w:r>
      <w:r w:rsidRPr="00B44CF7">
        <w:rPr>
          <w:rFonts w:ascii="Times New Roman" w:hAnsi="Times New Roman" w:cs="Times New Roman"/>
        </w:rPr>
        <w:ptab w:relativeTo="margin" w:alignment="right" w:leader="dot"/>
      </w:r>
      <w:r>
        <w:rPr>
          <w:rFonts w:ascii="Times New Roman" w:hAnsi="Times New Roman" w:cs="Times New Roman"/>
          <w:bCs/>
        </w:rPr>
        <w:t>99</w:t>
      </w:r>
    </w:p>
    <w:p w:rsidR="00B52DD2" w:rsidRPr="00B44CF7" w:rsidRDefault="00B52DD2" w:rsidP="00B52DD2">
      <w:pPr>
        <w:spacing w:line="480" w:lineRule="auto"/>
        <w:rPr>
          <w:rFonts w:ascii="Times New Roman" w:hAnsi="Times New Roman" w:cs="Times New Roman"/>
          <w:bCs/>
        </w:rPr>
      </w:pPr>
      <w:r w:rsidRPr="00B44CF7">
        <w:rPr>
          <w:rFonts w:ascii="Times New Roman" w:eastAsia="Times New Roman" w:hAnsi="Times New Roman"/>
          <w:color w:val="222222"/>
          <w:shd w:val="clear" w:color="auto" w:fill="FFFFFF"/>
        </w:rPr>
        <w:t>Figure 5-4. The Probability of Energy Source Preference among Ideological Subsets</w:t>
      </w:r>
      <w:r w:rsidRPr="00B44CF7">
        <w:rPr>
          <w:rFonts w:ascii="Times New Roman" w:hAnsi="Times New Roman" w:cs="Times New Roman"/>
        </w:rPr>
        <w:ptab w:relativeTo="margin" w:alignment="right" w:leader="dot"/>
      </w:r>
      <w:r>
        <w:rPr>
          <w:rFonts w:ascii="Times New Roman" w:hAnsi="Times New Roman" w:cs="Times New Roman"/>
        </w:rPr>
        <w:t>10</w:t>
      </w:r>
      <w:r>
        <w:rPr>
          <w:rFonts w:ascii="Times New Roman" w:hAnsi="Times New Roman" w:cs="Times New Roman"/>
          <w:bCs/>
        </w:rPr>
        <w:t>0</w:t>
      </w:r>
    </w:p>
    <w:p w:rsidR="00B52DD2" w:rsidRPr="003F4BC8" w:rsidRDefault="00B52DD2" w:rsidP="00B52DD2">
      <w:pPr>
        <w:spacing w:line="480" w:lineRule="auto"/>
        <w:rPr>
          <w:rFonts w:ascii="Times New Roman" w:hAnsi="Times New Roman" w:cs="Times New Roman"/>
          <w:bCs/>
        </w:rPr>
      </w:pPr>
      <w:r w:rsidRPr="00B44CF7">
        <w:rPr>
          <w:rFonts w:ascii="Times New Roman" w:eastAsia="Times New Roman" w:hAnsi="Times New Roman" w:cs="Times New Roman"/>
          <w:color w:val="222222"/>
          <w:shd w:val="clear" w:color="auto" w:fill="FFFFFF"/>
        </w:rPr>
        <w:t>Figure 6-1. The Preference Formation Factors for “Homo-Politicus” Model of the Individual</w:t>
      </w:r>
      <w:r w:rsidRPr="00B44CF7">
        <w:rPr>
          <w:rFonts w:ascii="Times New Roman" w:hAnsi="Times New Roman" w:cs="Times New Roman"/>
        </w:rPr>
        <w:ptab w:relativeTo="margin" w:alignment="right" w:leader="dot"/>
      </w:r>
      <w:r>
        <w:rPr>
          <w:rFonts w:ascii="Times New Roman" w:hAnsi="Times New Roman" w:cs="Times New Roman"/>
        </w:rPr>
        <w:t>10</w:t>
      </w:r>
      <w:r>
        <w:rPr>
          <w:rFonts w:ascii="Times New Roman" w:hAnsi="Times New Roman" w:cs="Times New Roman"/>
          <w:bCs/>
        </w:rPr>
        <w:t>5</w:t>
      </w:r>
    </w:p>
    <w:p w:rsidR="00B52DD2" w:rsidRPr="003F4BC8" w:rsidRDefault="00B52DD2" w:rsidP="00B52DD2">
      <w:pPr>
        <w:spacing w:line="480" w:lineRule="auto"/>
        <w:rPr>
          <w:rFonts w:ascii="Times New Roman" w:hAnsi="Times New Roman" w:cs="Times New Roman"/>
          <w:bCs/>
        </w:rPr>
      </w:pPr>
    </w:p>
    <w:p w:rsidR="00B52DD2" w:rsidRDefault="00B52DD2" w:rsidP="00B52DD2">
      <w:pPr>
        <w:rPr>
          <w:rFonts w:ascii="Times New Roman" w:hAnsi="Times New Roman" w:cs="Times New Roman"/>
          <w:b/>
          <w:sz w:val="36"/>
          <w:szCs w:val="36"/>
        </w:rPr>
      </w:pPr>
      <w:r w:rsidRPr="003F4BC8">
        <w:rPr>
          <w:rFonts w:ascii="Times New Roman" w:hAnsi="Times New Roman" w:cs="Times New Roman"/>
        </w:rPr>
        <w:br w:type="page"/>
      </w:r>
      <w:r w:rsidRPr="00260666">
        <w:rPr>
          <w:rFonts w:ascii="Times New Roman" w:hAnsi="Times New Roman" w:cs="Times New Roman"/>
          <w:b/>
          <w:sz w:val="36"/>
          <w:szCs w:val="36"/>
        </w:rPr>
        <w:lastRenderedPageBreak/>
        <w:t>List of Tables</w:t>
      </w:r>
    </w:p>
    <w:p w:rsidR="00B52DD2" w:rsidRPr="00CC7BD4" w:rsidRDefault="00B52DD2" w:rsidP="00B52DD2">
      <w:pPr>
        <w:rPr>
          <w:rFonts w:ascii="Times New Roman" w:hAnsi="Times New Roman" w:cs="Times New Roman"/>
        </w:rPr>
      </w:pPr>
    </w:p>
    <w:p w:rsidR="00B52DD2" w:rsidRPr="00C23460" w:rsidRDefault="00B52DD2" w:rsidP="00B52DD2">
      <w:pPr>
        <w:spacing w:line="480" w:lineRule="auto"/>
        <w:rPr>
          <w:rFonts w:ascii="Times New Roman" w:hAnsi="Times New Roman" w:cs="Times New Roman"/>
        </w:rPr>
      </w:pPr>
      <w:r w:rsidRPr="00C23460">
        <w:rPr>
          <w:rFonts w:ascii="Times New Roman" w:eastAsia="Times New Roman" w:hAnsi="Times New Roman" w:cs="Times New Roman"/>
          <w:color w:val="222222"/>
          <w:shd w:val="clear" w:color="auto" w:fill="FFFFFF"/>
        </w:rPr>
        <w:t>Table 1-1. Comparison of Individual Preference Formation Models</w:t>
      </w:r>
      <w:r w:rsidRPr="00C23460">
        <w:rPr>
          <w:rFonts w:ascii="Times New Roman" w:hAnsi="Times New Roman" w:cs="Times New Roman"/>
        </w:rPr>
        <w:ptab w:relativeTo="margin" w:alignment="right" w:leader="dot"/>
      </w:r>
      <w:r w:rsidRPr="00C23460">
        <w:rPr>
          <w:rFonts w:ascii="Times New Roman" w:hAnsi="Times New Roman" w:cs="Times New Roman"/>
        </w:rPr>
        <w:t>9</w:t>
      </w:r>
    </w:p>
    <w:p w:rsidR="00B52DD2" w:rsidRPr="00C23460" w:rsidRDefault="00B52DD2" w:rsidP="00B52DD2">
      <w:pPr>
        <w:spacing w:line="480" w:lineRule="auto"/>
        <w:rPr>
          <w:rFonts w:ascii="Times New Roman" w:hAnsi="Times New Roman" w:cs="Times New Roman"/>
        </w:rPr>
      </w:pPr>
      <w:r w:rsidRPr="00C23460">
        <w:rPr>
          <w:rFonts w:ascii="Times New Roman" w:eastAsia="Times New Roman" w:hAnsi="Times New Roman" w:cs="Times New Roman"/>
          <w:color w:val="222222"/>
          <w:shd w:val="clear" w:color="auto" w:fill="FFFFFF"/>
        </w:rPr>
        <w:t>Table 3-A1. Measurement of Key Variables</w:t>
      </w:r>
      <w:r w:rsidRPr="00C23460">
        <w:rPr>
          <w:rFonts w:ascii="Times New Roman" w:hAnsi="Times New Roman" w:cs="Times New Roman"/>
        </w:rPr>
        <w:ptab w:relativeTo="margin" w:alignment="right" w:leader="dot"/>
      </w:r>
      <w:r>
        <w:rPr>
          <w:rFonts w:ascii="Times New Roman" w:hAnsi="Times New Roman" w:cs="Times New Roman"/>
        </w:rPr>
        <w:t>51</w:t>
      </w:r>
    </w:p>
    <w:p w:rsidR="00B52DD2" w:rsidRPr="00C23460" w:rsidRDefault="00B52DD2" w:rsidP="00B52DD2">
      <w:pPr>
        <w:spacing w:line="480" w:lineRule="auto"/>
        <w:rPr>
          <w:rFonts w:ascii="Times New Roman" w:hAnsi="Times New Roman" w:cs="Times New Roman"/>
        </w:rPr>
      </w:pPr>
      <w:r w:rsidRPr="00C23460">
        <w:rPr>
          <w:rFonts w:ascii="Times New Roman" w:eastAsia="Times New Roman" w:hAnsi="Times New Roman" w:cs="Times New Roman"/>
          <w:color w:val="222222"/>
          <w:shd w:val="clear" w:color="auto" w:fill="FFFFFF"/>
        </w:rPr>
        <w:t>Table 3-</w:t>
      </w:r>
      <w:r>
        <w:rPr>
          <w:rFonts w:ascii="Times New Roman" w:eastAsia="Times New Roman" w:hAnsi="Times New Roman" w:cs="Times New Roman"/>
          <w:color w:val="222222"/>
          <w:shd w:val="clear" w:color="auto" w:fill="FFFFFF"/>
        </w:rPr>
        <w:t>B1</w:t>
      </w:r>
      <w:r w:rsidRPr="00C23460">
        <w:rPr>
          <w:rFonts w:ascii="Times New Roman" w:eastAsia="Times New Roman" w:hAnsi="Times New Roman" w:cs="Times New Roman"/>
          <w:color w:val="222222"/>
          <w:shd w:val="clear" w:color="auto" w:fill="FFFFFF"/>
        </w:rPr>
        <w:t>. Augmented Dickey Fuller (ADCF) Test Results</w:t>
      </w:r>
      <w:r w:rsidRPr="00C23460">
        <w:rPr>
          <w:rFonts w:ascii="Times New Roman" w:hAnsi="Times New Roman" w:cs="Times New Roman"/>
        </w:rPr>
        <w:ptab w:relativeTo="margin" w:alignment="right" w:leader="dot"/>
      </w:r>
      <w:r>
        <w:rPr>
          <w:rFonts w:ascii="Times New Roman" w:hAnsi="Times New Roman" w:cs="Times New Roman"/>
          <w:bCs/>
        </w:rPr>
        <w:t>53</w:t>
      </w:r>
    </w:p>
    <w:p w:rsidR="00B52DD2" w:rsidRPr="00C23460" w:rsidRDefault="00B52DD2" w:rsidP="00B52DD2">
      <w:pPr>
        <w:spacing w:line="480" w:lineRule="auto"/>
        <w:rPr>
          <w:rFonts w:ascii="Times New Roman" w:hAnsi="Times New Roman" w:cs="Times New Roman"/>
        </w:rPr>
      </w:pPr>
      <w:r w:rsidRPr="001564F4">
        <w:rPr>
          <w:rFonts w:ascii="Times New Roman" w:hAnsi="Times New Roman" w:cs="Times New Roman"/>
        </w:rPr>
        <w:t>Table 3-C1:</w:t>
      </w:r>
      <w:r w:rsidRPr="009164F0">
        <w:rPr>
          <w:rFonts w:ascii="Times New Roman" w:hAnsi="Times New Roman" w:cs="Times New Roman"/>
        </w:rPr>
        <w:t xml:space="preserve"> Correlations by lag between Series of Risk and Benefit Perceptions and SNF Preferences</w:t>
      </w:r>
      <w:r w:rsidRPr="00C23460">
        <w:rPr>
          <w:rFonts w:ascii="Times New Roman" w:hAnsi="Times New Roman" w:cs="Times New Roman"/>
        </w:rPr>
        <w:ptab w:relativeTo="margin" w:alignment="right" w:leader="dot"/>
      </w:r>
      <w:r>
        <w:rPr>
          <w:rFonts w:ascii="Times New Roman" w:hAnsi="Times New Roman" w:cs="Times New Roman"/>
        </w:rPr>
        <w:t>54</w:t>
      </w:r>
    </w:p>
    <w:p w:rsidR="00B52DD2" w:rsidRPr="00163C60" w:rsidRDefault="00B52DD2" w:rsidP="00B52DD2">
      <w:pPr>
        <w:rPr>
          <w:rFonts w:ascii="Times New Roman" w:hAnsi="Times New Roman" w:cs="Times New Roman"/>
        </w:rPr>
      </w:pPr>
      <w:r w:rsidRPr="001564F4">
        <w:rPr>
          <w:rFonts w:ascii="Times New Roman" w:hAnsi="Times New Roman" w:cs="Times New Roman"/>
        </w:rPr>
        <w:t>Table 3-C2: Correlations</w:t>
      </w:r>
      <w:r w:rsidRPr="009164F0">
        <w:rPr>
          <w:rFonts w:ascii="Times New Roman" w:hAnsi="Times New Roman" w:cs="Times New Roman"/>
        </w:rPr>
        <w:t xml:space="preserve"> by lag between Series of </w:t>
      </w:r>
      <w:r>
        <w:rPr>
          <w:rFonts w:ascii="Times New Roman" w:hAnsi="Times New Roman" w:cs="Times New Roman"/>
        </w:rPr>
        <w:t>Trust</w:t>
      </w:r>
      <w:r w:rsidRPr="009164F0">
        <w:rPr>
          <w:rFonts w:ascii="Times New Roman" w:hAnsi="Times New Roman" w:cs="Times New Roman"/>
        </w:rPr>
        <w:t xml:space="preserve"> Perceptions and SNF Preferences</w:t>
      </w:r>
    </w:p>
    <w:p w:rsidR="00B52DD2" w:rsidRPr="00C23460" w:rsidRDefault="00B52DD2" w:rsidP="00B52DD2">
      <w:pPr>
        <w:spacing w:line="480" w:lineRule="auto"/>
        <w:rPr>
          <w:rFonts w:ascii="Times New Roman" w:hAnsi="Times New Roman" w:cs="Times New Roman"/>
        </w:rPr>
      </w:pPr>
      <w:r w:rsidRPr="00C23460">
        <w:rPr>
          <w:rFonts w:ascii="Times New Roman" w:hAnsi="Times New Roman" w:cs="Times New Roman"/>
        </w:rPr>
        <w:ptab w:relativeTo="margin" w:alignment="right" w:leader="dot"/>
      </w:r>
      <w:r>
        <w:rPr>
          <w:rFonts w:ascii="Times New Roman" w:hAnsi="Times New Roman" w:cs="Times New Roman"/>
        </w:rPr>
        <w:t>56</w:t>
      </w:r>
    </w:p>
    <w:p w:rsidR="00B52DD2" w:rsidRPr="00C23460" w:rsidRDefault="00B52DD2" w:rsidP="00B52DD2">
      <w:pPr>
        <w:spacing w:line="480" w:lineRule="auto"/>
        <w:rPr>
          <w:rFonts w:ascii="Times New Roman" w:hAnsi="Times New Roman" w:cs="Times New Roman"/>
        </w:rPr>
      </w:pPr>
      <w:r w:rsidRPr="001564F4">
        <w:rPr>
          <w:rFonts w:ascii="Times New Roman" w:hAnsi="Times New Roman" w:cs="Times New Roman"/>
        </w:rPr>
        <w:t>Table 3-C3. Correlations</w:t>
      </w:r>
      <w:r w:rsidRPr="009164F0">
        <w:rPr>
          <w:rFonts w:ascii="Times New Roman" w:hAnsi="Times New Roman" w:cs="Times New Roman"/>
        </w:rPr>
        <w:t xml:space="preserve"> by lag between Series of </w:t>
      </w:r>
      <w:r>
        <w:rPr>
          <w:rFonts w:ascii="Times New Roman" w:hAnsi="Times New Roman" w:cs="Times New Roman"/>
        </w:rPr>
        <w:t>Fraction of Correct Knowledge</w:t>
      </w:r>
      <w:r w:rsidRPr="009164F0">
        <w:rPr>
          <w:rFonts w:ascii="Times New Roman" w:hAnsi="Times New Roman" w:cs="Times New Roman"/>
        </w:rPr>
        <w:t xml:space="preserve"> </w:t>
      </w:r>
      <w:r>
        <w:rPr>
          <w:rFonts w:ascii="Times New Roman" w:hAnsi="Times New Roman" w:cs="Times New Roman"/>
        </w:rPr>
        <w:t xml:space="preserve">Response </w:t>
      </w:r>
      <w:r w:rsidRPr="009164F0">
        <w:rPr>
          <w:rFonts w:ascii="Times New Roman" w:hAnsi="Times New Roman" w:cs="Times New Roman"/>
        </w:rPr>
        <w:t>and SNF Preferences</w:t>
      </w:r>
      <w:r w:rsidRPr="00C23460">
        <w:rPr>
          <w:rFonts w:ascii="Times New Roman" w:hAnsi="Times New Roman" w:cs="Times New Roman"/>
        </w:rPr>
        <w:ptab w:relativeTo="margin" w:alignment="right" w:leader="dot"/>
      </w:r>
      <w:r>
        <w:rPr>
          <w:rFonts w:ascii="Times New Roman" w:hAnsi="Times New Roman" w:cs="Times New Roman"/>
        </w:rPr>
        <w:t>58</w:t>
      </w:r>
    </w:p>
    <w:p w:rsidR="00B52DD2" w:rsidRPr="00C23460" w:rsidRDefault="00B52DD2" w:rsidP="00B52DD2">
      <w:pPr>
        <w:spacing w:line="480" w:lineRule="auto"/>
        <w:rPr>
          <w:rFonts w:ascii="Times New Roman" w:hAnsi="Times New Roman" w:cs="Times New Roman"/>
        </w:rPr>
      </w:pPr>
      <w:r w:rsidRPr="007E273F">
        <w:rPr>
          <w:rFonts w:ascii="Times New Roman" w:eastAsia="Times New Roman" w:hAnsi="Times New Roman" w:cs="Times New Roman"/>
          <w:shd w:val="clear" w:color="auto" w:fill="FFFFFF"/>
        </w:rPr>
        <w:t xml:space="preserve">Table 4-1. Descriptive </w:t>
      </w:r>
      <w:r w:rsidRPr="00C23460">
        <w:rPr>
          <w:rFonts w:ascii="Times New Roman" w:eastAsia="Times New Roman" w:hAnsi="Times New Roman" w:cs="Times New Roman"/>
          <w:color w:val="222222"/>
          <w:shd w:val="clear" w:color="auto" w:fill="FFFFFF"/>
        </w:rPr>
        <w:t>Statistics</w:t>
      </w:r>
      <w:r w:rsidRPr="00C23460">
        <w:rPr>
          <w:rFonts w:ascii="Times New Roman" w:hAnsi="Times New Roman" w:cs="Times New Roman"/>
        </w:rPr>
        <w:ptab w:relativeTo="margin" w:alignment="right" w:leader="dot"/>
      </w:r>
      <w:r>
        <w:rPr>
          <w:rFonts w:ascii="Times New Roman" w:hAnsi="Times New Roman" w:cs="Times New Roman"/>
        </w:rPr>
        <w:t>7</w:t>
      </w:r>
      <w:r w:rsidRPr="00C23460">
        <w:rPr>
          <w:rFonts w:ascii="Times New Roman" w:hAnsi="Times New Roman" w:cs="Times New Roman"/>
        </w:rPr>
        <w:t>0</w:t>
      </w:r>
    </w:p>
    <w:p w:rsidR="00B52DD2" w:rsidRPr="00C23460" w:rsidRDefault="00B52DD2" w:rsidP="00B52DD2">
      <w:pPr>
        <w:spacing w:line="480" w:lineRule="auto"/>
        <w:rPr>
          <w:rFonts w:ascii="Times New Roman" w:hAnsi="Times New Roman" w:cs="Times New Roman"/>
          <w:bCs/>
        </w:rPr>
      </w:pPr>
      <w:r w:rsidRPr="00C23460">
        <w:rPr>
          <w:rFonts w:ascii="Times New Roman" w:eastAsia="Times New Roman" w:hAnsi="Times New Roman" w:cs="Times New Roman"/>
          <w:color w:val="222222"/>
          <w:shd w:val="clear" w:color="auto" w:fill="FFFFFF"/>
        </w:rPr>
        <w:t>Table 4-2. The Effect of NWPA of 1982 on Voting Behavior and Election Turnout in Geographically Affected Counties, Non-Affected Ones as Controls</w:t>
      </w:r>
      <w:r w:rsidRPr="00C23460">
        <w:rPr>
          <w:rFonts w:ascii="Times New Roman" w:hAnsi="Times New Roman" w:cs="Times New Roman"/>
        </w:rPr>
        <w:ptab w:relativeTo="margin" w:alignment="right" w:leader="dot"/>
      </w:r>
      <w:r>
        <w:rPr>
          <w:rFonts w:ascii="Times New Roman" w:hAnsi="Times New Roman" w:cs="Times New Roman"/>
          <w:bCs/>
        </w:rPr>
        <w:t>73</w:t>
      </w:r>
    </w:p>
    <w:p w:rsidR="00B52DD2" w:rsidRPr="00C23460" w:rsidRDefault="00B52DD2" w:rsidP="00B52DD2">
      <w:pPr>
        <w:spacing w:line="480" w:lineRule="auto"/>
        <w:rPr>
          <w:rFonts w:ascii="Times New Roman" w:hAnsi="Times New Roman" w:cs="Times New Roman"/>
          <w:bCs/>
        </w:rPr>
      </w:pPr>
      <w:r w:rsidRPr="00C23460">
        <w:rPr>
          <w:rFonts w:ascii="Times New Roman" w:eastAsia="Times New Roman" w:hAnsi="Times New Roman" w:cs="Times New Roman"/>
          <w:color w:val="222222"/>
          <w:shd w:val="clear" w:color="auto" w:fill="FFFFFF"/>
        </w:rPr>
        <w:t>Table 4-3. The Effect of NWPA of 1982 and its 1987 Amendment on Majority Republican or Democratic Votes in Geographically Affected Counties, Non-Affected Ones as Controls</w:t>
      </w:r>
      <w:r w:rsidRPr="00C23460">
        <w:rPr>
          <w:rFonts w:ascii="Times New Roman" w:hAnsi="Times New Roman" w:cs="Times New Roman"/>
        </w:rPr>
        <w:ptab w:relativeTo="margin" w:alignment="right" w:leader="dot"/>
      </w:r>
      <w:r>
        <w:rPr>
          <w:rFonts w:ascii="Times New Roman" w:hAnsi="Times New Roman" w:cs="Times New Roman"/>
          <w:bCs/>
        </w:rPr>
        <w:t>74</w:t>
      </w:r>
    </w:p>
    <w:p w:rsidR="00B52DD2" w:rsidRPr="00C23460" w:rsidRDefault="00B52DD2" w:rsidP="00B52DD2">
      <w:pPr>
        <w:spacing w:line="480" w:lineRule="auto"/>
        <w:rPr>
          <w:rFonts w:ascii="Times New Roman" w:hAnsi="Times New Roman" w:cs="Times New Roman"/>
          <w:bCs/>
        </w:rPr>
      </w:pPr>
      <w:r w:rsidRPr="00C23460">
        <w:rPr>
          <w:rFonts w:ascii="Times New Roman" w:eastAsia="Times New Roman" w:hAnsi="Times New Roman" w:cs="Times New Roman"/>
          <w:color w:val="222222"/>
          <w:shd w:val="clear" w:color="auto" w:fill="FFFFFF"/>
        </w:rPr>
        <w:t>Table 4-4. Event-Study Results for the Effect of NWPA on Voting Behavior</w:t>
      </w:r>
      <w:r w:rsidRPr="00C23460">
        <w:rPr>
          <w:rFonts w:ascii="Times New Roman" w:hAnsi="Times New Roman" w:cs="Times New Roman"/>
        </w:rPr>
        <w:ptab w:relativeTo="margin" w:alignment="right" w:leader="dot"/>
      </w:r>
      <w:r>
        <w:rPr>
          <w:rFonts w:ascii="Times New Roman" w:hAnsi="Times New Roman" w:cs="Times New Roman"/>
          <w:bCs/>
        </w:rPr>
        <w:t>75</w:t>
      </w:r>
    </w:p>
    <w:p w:rsidR="00B52DD2" w:rsidRPr="00C23460" w:rsidRDefault="00B52DD2" w:rsidP="00B52DD2">
      <w:pPr>
        <w:spacing w:line="480" w:lineRule="auto"/>
        <w:rPr>
          <w:rFonts w:ascii="Times New Roman" w:hAnsi="Times New Roman" w:cs="Times New Roman"/>
          <w:bCs/>
        </w:rPr>
      </w:pPr>
      <w:r w:rsidRPr="00DF0B68">
        <w:rPr>
          <w:rFonts w:ascii="Times New Roman" w:eastAsia="Times New Roman" w:hAnsi="Times New Roman" w:cs="Times New Roman"/>
          <w:shd w:val="clear" w:color="auto" w:fill="FFFFFF"/>
        </w:rPr>
        <w:t xml:space="preserve">Table 4-B1. </w:t>
      </w:r>
      <w:r w:rsidRPr="00C23460">
        <w:rPr>
          <w:rFonts w:ascii="Times New Roman" w:eastAsia="Times New Roman" w:hAnsi="Times New Roman" w:cs="Times New Roman"/>
          <w:color w:val="222222"/>
          <w:shd w:val="clear" w:color="auto" w:fill="FFFFFF"/>
        </w:rPr>
        <w:t>The Effect of NWPA of 1987 on Voting Behavior and Election Turnout in Geographically Affected Counties, Non-Affected Ones as Controls</w:t>
      </w:r>
      <w:r w:rsidRPr="00C23460">
        <w:rPr>
          <w:rFonts w:ascii="Times New Roman" w:hAnsi="Times New Roman" w:cs="Times New Roman"/>
        </w:rPr>
        <w:ptab w:relativeTo="margin" w:alignment="right" w:leader="dot"/>
      </w:r>
      <w:r>
        <w:rPr>
          <w:rFonts w:ascii="Times New Roman" w:hAnsi="Times New Roman" w:cs="Times New Roman"/>
          <w:bCs/>
        </w:rPr>
        <w:t>8</w:t>
      </w:r>
      <w:r w:rsidRPr="00C23460">
        <w:rPr>
          <w:rFonts w:ascii="Times New Roman" w:hAnsi="Times New Roman" w:cs="Times New Roman"/>
          <w:bCs/>
        </w:rPr>
        <w:t>2</w:t>
      </w:r>
    </w:p>
    <w:p w:rsidR="00B52DD2" w:rsidRPr="00C23460" w:rsidRDefault="00B52DD2" w:rsidP="00B52DD2">
      <w:pPr>
        <w:spacing w:line="480" w:lineRule="auto"/>
        <w:rPr>
          <w:rFonts w:ascii="Times New Roman" w:hAnsi="Times New Roman" w:cs="Times New Roman"/>
          <w:bCs/>
        </w:rPr>
      </w:pPr>
      <w:r w:rsidRPr="00F6187F">
        <w:rPr>
          <w:rFonts w:ascii="Times New Roman" w:eastAsia="Times New Roman" w:hAnsi="Times New Roman" w:cs="Times New Roman"/>
          <w:shd w:val="clear" w:color="auto" w:fill="FFFFFF"/>
        </w:rPr>
        <w:t xml:space="preserve">Table </w:t>
      </w:r>
      <w:r w:rsidRPr="00F6187F">
        <w:rPr>
          <w:rFonts w:ascii="Times New Roman" w:eastAsia="Times New Roman" w:hAnsi="Times New Roman"/>
          <w:shd w:val="clear" w:color="auto" w:fill="FFFFFF"/>
        </w:rPr>
        <w:t>5-</w:t>
      </w:r>
      <w:r w:rsidRPr="00F6187F">
        <w:rPr>
          <w:rFonts w:ascii="Times New Roman" w:eastAsia="Times New Roman" w:hAnsi="Times New Roman" w:cs="Times New Roman"/>
          <w:shd w:val="clear" w:color="auto" w:fill="FFFFFF"/>
        </w:rPr>
        <w:t xml:space="preserve">1: </w:t>
      </w:r>
      <w:r w:rsidRPr="00C23460">
        <w:rPr>
          <w:rFonts w:ascii="Times New Roman" w:eastAsia="Times New Roman" w:hAnsi="Times New Roman" w:cs="Times New Roman"/>
          <w:color w:val="222222"/>
          <w:shd w:val="clear" w:color="auto" w:fill="FFFFFF"/>
        </w:rPr>
        <w:t>Variables and Models</w:t>
      </w:r>
      <w:r w:rsidRPr="00C23460">
        <w:rPr>
          <w:rFonts w:ascii="Times New Roman" w:hAnsi="Times New Roman" w:cs="Times New Roman"/>
        </w:rPr>
        <w:ptab w:relativeTo="margin" w:alignment="right" w:leader="dot"/>
      </w:r>
      <w:r>
        <w:rPr>
          <w:rFonts w:ascii="Times New Roman" w:hAnsi="Times New Roman" w:cs="Times New Roman"/>
          <w:bCs/>
        </w:rPr>
        <w:t>88</w:t>
      </w:r>
    </w:p>
    <w:p w:rsidR="00B52DD2" w:rsidRPr="00C23460" w:rsidRDefault="00B52DD2" w:rsidP="00B52DD2">
      <w:pPr>
        <w:spacing w:line="480" w:lineRule="auto"/>
        <w:rPr>
          <w:rFonts w:ascii="Times New Roman" w:hAnsi="Times New Roman" w:cs="Times New Roman"/>
          <w:bCs/>
        </w:rPr>
      </w:pPr>
      <w:r w:rsidRPr="00F6187F">
        <w:rPr>
          <w:rFonts w:ascii="Times New Roman" w:eastAsia="Times New Roman" w:hAnsi="Times New Roman" w:cs="Times New Roman"/>
          <w:shd w:val="clear" w:color="auto" w:fill="FFFFFF"/>
        </w:rPr>
        <w:t xml:space="preserve">Table </w:t>
      </w:r>
      <w:r w:rsidRPr="00F6187F">
        <w:rPr>
          <w:rFonts w:ascii="Times New Roman" w:eastAsia="Times New Roman" w:hAnsi="Times New Roman"/>
          <w:shd w:val="clear" w:color="auto" w:fill="FFFFFF"/>
        </w:rPr>
        <w:t>5-</w:t>
      </w:r>
      <w:r w:rsidRPr="00F6187F">
        <w:rPr>
          <w:rFonts w:ascii="Times New Roman" w:eastAsia="Times New Roman" w:hAnsi="Times New Roman" w:cs="Times New Roman"/>
          <w:shd w:val="clear" w:color="auto" w:fill="FFFFFF"/>
        </w:rPr>
        <w:t xml:space="preserve">2: </w:t>
      </w:r>
      <w:r w:rsidRPr="00C23460">
        <w:rPr>
          <w:rFonts w:ascii="Times New Roman" w:eastAsia="Times New Roman" w:hAnsi="Times New Roman" w:cs="Times New Roman"/>
          <w:color w:val="222222"/>
          <w:shd w:val="clear" w:color="auto" w:fill="FFFFFF"/>
        </w:rPr>
        <w:t>Descriptive Statistics</w:t>
      </w:r>
      <w:r w:rsidRPr="00C23460">
        <w:rPr>
          <w:rFonts w:ascii="Times New Roman" w:hAnsi="Times New Roman" w:cs="Times New Roman"/>
        </w:rPr>
        <w:ptab w:relativeTo="margin" w:alignment="right" w:leader="dot"/>
      </w:r>
      <w:r>
        <w:rPr>
          <w:rFonts w:ascii="Times New Roman" w:hAnsi="Times New Roman" w:cs="Times New Roman"/>
          <w:bCs/>
        </w:rPr>
        <w:t>91</w:t>
      </w:r>
    </w:p>
    <w:p w:rsidR="00B52DD2" w:rsidRPr="00C23460" w:rsidRDefault="00B52DD2" w:rsidP="00B52DD2">
      <w:pPr>
        <w:spacing w:line="480" w:lineRule="auto"/>
        <w:rPr>
          <w:rFonts w:ascii="Times New Roman" w:hAnsi="Times New Roman" w:cs="Times New Roman"/>
          <w:bCs/>
        </w:rPr>
      </w:pPr>
      <w:r w:rsidRPr="00C23460">
        <w:rPr>
          <w:rFonts w:ascii="Times New Roman" w:eastAsia="Times New Roman" w:hAnsi="Times New Roman"/>
          <w:color w:val="222222"/>
          <w:shd w:val="clear" w:color="auto" w:fill="FFFFFF"/>
        </w:rPr>
        <w:t>Table 5-3: Frequency Distribution of Demographic Covariates</w:t>
      </w:r>
      <w:r w:rsidRPr="00C23460">
        <w:rPr>
          <w:rFonts w:ascii="Times New Roman" w:hAnsi="Times New Roman" w:cs="Times New Roman"/>
        </w:rPr>
        <w:ptab w:relativeTo="margin" w:alignment="right" w:leader="dot"/>
      </w:r>
      <w:r>
        <w:rPr>
          <w:rFonts w:ascii="Times New Roman" w:hAnsi="Times New Roman" w:cs="Times New Roman"/>
          <w:bCs/>
        </w:rPr>
        <w:t>92</w:t>
      </w:r>
    </w:p>
    <w:p w:rsidR="00B52DD2" w:rsidRPr="00C23460" w:rsidRDefault="00B52DD2" w:rsidP="00B52DD2">
      <w:pPr>
        <w:spacing w:line="480" w:lineRule="auto"/>
        <w:rPr>
          <w:rFonts w:ascii="Times New Roman" w:eastAsia="Times New Roman" w:hAnsi="Times New Roman" w:cs="Times New Roman"/>
          <w:color w:val="222222"/>
          <w:shd w:val="clear" w:color="auto" w:fill="FFFFFF"/>
        </w:rPr>
      </w:pPr>
      <w:r w:rsidRPr="00C23460">
        <w:rPr>
          <w:rFonts w:ascii="Times New Roman" w:eastAsia="Times New Roman" w:hAnsi="Times New Roman"/>
          <w:color w:val="222222"/>
          <w:shd w:val="clear" w:color="auto" w:fill="FFFFFF"/>
        </w:rPr>
        <w:lastRenderedPageBreak/>
        <w:t>Table 5-4: OLS Regression Results for Energy Source Preferences in Interaction with Cultural Worldviews</w:t>
      </w:r>
      <w:r w:rsidRPr="00C23460">
        <w:rPr>
          <w:rFonts w:ascii="Times New Roman" w:hAnsi="Times New Roman" w:cs="Times New Roman"/>
        </w:rPr>
        <w:ptab w:relativeTo="margin" w:alignment="right" w:leader="dot"/>
      </w:r>
      <w:r>
        <w:rPr>
          <w:rFonts w:ascii="Times New Roman" w:hAnsi="Times New Roman"/>
          <w:bCs/>
        </w:rPr>
        <w:t>93</w:t>
      </w:r>
    </w:p>
    <w:p w:rsidR="00B52DD2" w:rsidRPr="00C23460" w:rsidRDefault="00B52DD2" w:rsidP="00B52DD2">
      <w:pPr>
        <w:spacing w:line="480" w:lineRule="auto"/>
        <w:rPr>
          <w:rFonts w:ascii="Times New Roman" w:eastAsia="Times New Roman" w:hAnsi="Times New Roman" w:cs="Times New Roman"/>
          <w:color w:val="222222"/>
          <w:shd w:val="clear" w:color="auto" w:fill="FFFFFF"/>
        </w:rPr>
      </w:pPr>
      <w:r w:rsidRPr="00C23460">
        <w:rPr>
          <w:rFonts w:ascii="Times New Roman" w:eastAsia="Times New Roman" w:hAnsi="Times New Roman"/>
          <w:color w:val="222222"/>
          <w:shd w:val="clear" w:color="auto" w:fill="FFFFFF"/>
        </w:rPr>
        <w:t>Table 5-5: OLS Regression Results for Energy Source Preferences in Interaction with Political Ideology</w:t>
      </w:r>
      <w:r w:rsidRPr="00C23460">
        <w:rPr>
          <w:rFonts w:ascii="Times New Roman" w:hAnsi="Times New Roman" w:cs="Times New Roman"/>
        </w:rPr>
        <w:ptab w:relativeTo="margin" w:alignment="right" w:leader="dot"/>
      </w:r>
      <w:r>
        <w:rPr>
          <w:rFonts w:ascii="Times New Roman" w:hAnsi="Times New Roman" w:cs="Times New Roman"/>
          <w:bCs/>
        </w:rPr>
        <w:t>97</w:t>
      </w:r>
    </w:p>
    <w:p w:rsidR="00B52DD2" w:rsidRDefault="00B52DD2" w:rsidP="00B52DD2">
      <w:pPr>
        <w:spacing w:line="480" w:lineRule="auto"/>
        <w:rPr>
          <w:rFonts w:ascii="Times New Roman" w:hAnsi="Times New Roman" w:cs="Times New Roman"/>
          <w:bCs/>
        </w:rPr>
      </w:pPr>
      <w:r w:rsidRPr="00C23460">
        <w:rPr>
          <w:rFonts w:ascii="Times New Roman" w:eastAsia="Times New Roman" w:hAnsi="Times New Roman" w:cs="Times New Roman"/>
          <w:color w:val="222222"/>
          <w:shd w:val="clear" w:color="auto" w:fill="FFFFFF"/>
        </w:rPr>
        <w:t>Table 5-A1: Study Variables and Measures</w:t>
      </w:r>
      <w:r w:rsidRPr="00C23460">
        <w:rPr>
          <w:rFonts w:ascii="Times New Roman" w:hAnsi="Times New Roman" w:cs="Times New Roman"/>
        </w:rPr>
        <w:ptab w:relativeTo="margin" w:alignment="right" w:leader="dot"/>
      </w:r>
      <w:r>
        <w:rPr>
          <w:rFonts w:ascii="Times New Roman" w:hAnsi="Times New Roman" w:cs="Times New Roman"/>
          <w:bCs/>
        </w:rPr>
        <w:t>103</w:t>
      </w:r>
    </w:p>
    <w:p w:rsidR="00B174B3" w:rsidRDefault="00B174B3" w:rsidP="00B52DD2">
      <w:pPr>
        <w:spacing w:line="480" w:lineRule="auto"/>
        <w:rPr>
          <w:rFonts w:ascii="Times New Roman" w:hAnsi="Times New Roman" w:cs="Times New Roman"/>
          <w:b/>
          <w:sz w:val="36"/>
          <w:szCs w:val="36"/>
        </w:rPr>
      </w:pPr>
      <w:r>
        <w:rPr>
          <w:rFonts w:ascii="Times New Roman" w:hAnsi="Times New Roman" w:cs="Times New Roman"/>
          <w:b/>
          <w:sz w:val="36"/>
          <w:szCs w:val="36"/>
        </w:rPr>
        <w:br w:type="page"/>
      </w:r>
    </w:p>
    <w:p w:rsidR="00B52DD2" w:rsidRPr="008D16FB" w:rsidRDefault="00B52DD2" w:rsidP="00B52DD2">
      <w:pPr>
        <w:spacing w:line="480" w:lineRule="auto"/>
        <w:rPr>
          <w:rFonts w:ascii="Times New Roman" w:hAnsi="Times New Roman" w:cs="Times New Roman"/>
          <w:b/>
          <w:sz w:val="36"/>
          <w:szCs w:val="36"/>
        </w:rPr>
      </w:pPr>
      <w:r w:rsidRPr="008D16FB">
        <w:rPr>
          <w:rFonts w:ascii="Times New Roman" w:hAnsi="Times New Roman" w:cs="Times New Roman"/>
          <w:b/>
          <w:sz w:val="36"/>
          <w:szCs w:val="36"/>
        </w:rPr>
        <w:lastRenderedPageBreak/>
        <w:t>Abstract</w:t>
      </w:r>
    </w:p>
    <w:p w:rsidR="00B52DD2" w:rsidRDefault="00B52DD2" w:rsidP="00B52DD2">
      <w:pPr>
        <w:spacing w:line="480" w:lineRule="auto"/>
        <w:jc w:val="both"/>
        <w:rPr>
          <w:rFonts w:ascii="Times New Roman" w:hAnsi="Times New Roman" w:cs="Times New Roman"/>
        </w:rPr>
        <w:sectPr w:rsidR="00B52DD2" w:rsidSect="00150C36">
          <w:headerReference w:type="default" r:id="rId8"/>
          <w:pgSz w:w="12240" w:h="15840"/>
          <w:pgMar w:top="1728" w:right="1728" w:bottom="1728" w:left="1728" w:header="720" w:footer="720" w:gutter="0"/>
          <w:pgNumType w:fmt="lowerRoman"/>
          <w:cols w:space="720"/>
          <w:docGrid w:linePitch="360"/>
        </w:sectPr>
      </w:pPr>
      <w:r w:rsidRPr="003F4BC8">
        <w:rPr>
          <w:rFonts w:ascii="Times New Roman" w:hAnsi="Times New Roman" w:cs="Times New Roman"/>
        </w:rPr>
        <w:t xml:space="preserve">This dissertation research examines the prolonged nuclear stalemate in USA by investigating “the NIMBY syndrome” or the local opposition to spent nuclear fuel siting policy options from a public policy perspective. Nuclear energy production in general and nuclear waste disposal in particular is a highly contentious debate and a partisan policy issue that has evolved through many years. Using a range of quantitative analyses of cross-sectional data </w:t>
      </w:r>
      <w:r>
        <w:rPr>
          <w:rFonts w:ascii="Times New Roman" w:hAnsi="Times New Roman" w:cs="Times New Roman"/>
        </w:rPr>
        <w:t xml:space="preserve">as well as data over time, </w:t>
      </w:r>
      <w:r w:rsidRPr="003F4BC8">
        <w:rPr>
          <w:rFonts w:ascii="Times New Roman" w:hAnsi="Times New Roman" w:cs="Times New Roman"/>
        </w:rPr>
        <w:t>I f</w:t>
      </w:r>
      <w:r>
        <w:rPr>
          <w:rFonts w:ascii="Times New Roman" w:hAnsi="Times New Roman" w:cs="Times New Roman"/>
        </w:rPr>
        <w:t>ind</w:t>
      </w:r>
      <w:r w:rsidRPr="003F4BC8">
        <w:rPr>
          <w:rFonts w:ascii="Times New Roman" w:hAnsi="Times New Roman" w:cs="Times New Roman"/>
        </w:rPr>
        <w:t xml:space="preserve"> evidence for localized nuclear opposition to result in reshaping the political landscape in terms of citizen partisan and ideological dispositions in the state of Nevada. The analyses of a nationwide representative sample of respondents reveal increased </w:t>
      </w:r>
      <w:r w:rsidRPr="00DC7603">
        <w:rPr>
          <w:rFonts w:ascii="Times New Roman" w:hAnsi="Times New Roman" w:cs="Times New Roman"/>
        </w:rPr>
        <w:t>risk perceptions in nuclear waste transportation over time negatively affects public support for SNF deep geologic disposal five years later.</w:t>
      </w:r>
      <w:r w:rsidRPr="000D6F1F">
        <w:rPr>
          <w:rFonts w:ascii="Times New Roman" w:hAnsi="Times New Roman" w:cs="Times New Roman"/>
        </w:rPr>
        <w:t xml:space="preserve"> </w:t>
      </w:r>
      <w:r>
        <w:rPr>
          <w:rFonts w:ascii="Times New Roman" w:hAnsi="Times New Roman" w:cs="Times New Roman"/>
        </w:rPr>
        <w:t xml:space="preserve">Likewise, </w:t>
      </w:r>
      <w:r w:rsidRPr="009C3E43">
        <w:rPr>
          <w:rFonts w:ascii="Times New Roman" w:hAnsi="Times New Roman" w:cs="Times New Roman"/>
        </w:rPr>
        <w:t>increased benefit perceptions in reduced mining is likely to lead an above average support for SNF onsite storage policy option 1 year later.</w:t>
      </w:r>
      <w:r>
        <w:rPr>
          <w:rFonts w:ascii="Times New Roman" w:hAnsi="Times New Roman" w:cs="Times New Roman"/>
        </w:rPr>
        <w:t xml:space="preserve"> </w:t>
      </w:r>
      <w:r w:rsidRPr="003F4BC8">
        <w:rPr>
          <w:rFonts w:ascii="Times New Roman" w:hAnsi="Times New Roman" w:cs="Times New Roman"/>
        </w:rPr>
        <w:t>While the nuclear impasse in its essence is a tangle of governance</w:t>
      </w:r>
      <w:r w:rsidRPr="003F4BC8">
        <w:rPr>
          <w:rStyle w:val="FootnoteReference"/>
          <w:rFonts w:ascii="Times New Roman" w:hAnsi="Times New Roman" w:cs="Times New Roman"/>
        </w:rPr>
        <w:t xml:space="preserve"> </w:t>
      </w:r>
      <w:r w:rsidRPr="003F4BC8">
        <w:rPr>
          <w:rFonts w:ascii="Times New Roman" w:hAnsi="Times New Roman" w:cs="Times New Roman"/>
        </w:rPr>
        <w:t xml:space="preserve">problems and </w:t>
      </w:r>
      <w:r>
        <w:rPr>
          <w:rFonts w:ascii="Times New Roman" w:hAnsi="Times New Roman" w:cs="Times New Roman"/>
        </w:rPr>
        <w:t xml:space="preserve">management </w:t>
      </w:r>
      <w:r w:rsidRPr="003F4BC8">
        <w:rPr>
          <w:rFonts w:ascii="Times New Roman" w:hAnsi="Times New Roman" w:cs="Times New Roman"/>
        </w:rPr>
        <w:t>processes</w:t>
      </w:r>
      <w:r>
        <w:rPr>
          <w:rFonts w:ascii="Times New Roman" w:hAnsi="Times New Roman" w:cs="Times New Roman"/>
        </w:rPr>
        <w:t>,</w:t>
      </w:r>
      <w:r w:rsidRPr="003F4BC8">
        <w:rPr>
          <w:rFonts w:ascii="Times New Roman" w:hAnsi="Times New Roman" w:cs="Times New Roman"/>
        </w:rPr>
        <w:t xml:space="preserve"> its resolution </w:t>
      </w:r>
      <w:r w:rsidRPr="003F4BC8">
        <w:rPr>
          <w:rFonts w:ascii="Times New Roman" w:eastAsia="Times New Roman" w:hAnsi="Times New Roman" w:cs="Times New Roman"/>
          <w:color w:val="222222"/>
          <w:shd w:val="clear" w:color="auto" w:fill="FFFFFF"/>
        </w:rPr>
        <w:t>seems far-fetched</w:t>
      </w:r>
      <w:r>
        <w:rPr>
          <w:rFonts w:ascii="Times New Roman" w:eastAsia="Times New Roman" w:hAnsi="Times New Roman" w:cs="Times New Roman"/>
          <w:color w:val="222222"/>
          <w:shd w:val="clear" w:color="auto" w:fill="FFFFFF"/>
        </w:rPr>
        <w:t>.</w:t>
      </w:r>
      <w:r w:rsidRPr="003F4BC8">
        <w:rPr>
          <w:rFonts w:ascii="Times New Roman" w:eastAsia="Times New Roman" w:hAnsi="Times New Roman" w:cs="Times New Roman"/>
          <w:color w:val="222222"/>
          <w:shd w:val="clear" w:color="auto" w:fill="FFFFFF"/>
        </w:rPr>
        <w:t xml:space="preserve"> </w:t>
      </w:r>
      <w:r>
        <w:rPr>
          <w:rFonts w:ascii="Times New Roman" w:hAnsi="Times New Roman" w:cs="Times New Roman"/>
        </w:rPr>
        <w:t>T</w:t>
      </w:r>
      <w:r w:rsidRPr="003F4BC8">
        <w:rPr>
          <w:rFonts w:ascii="Times New Roman" w:hAnsi="Times New Roman" w:cs="Times New Roman"/>
        </w:rPr>
        <w:t>he findings of this dissertation imply that changes in public perceptions and awareness in the long run may result in policy change.</w:t>
      </w:r>
    </w:p>
    <w:p w:rsidR="00B52DD2" w:rsidRPr="00415FC4" w:rsidRDefault="00B52DD2" w:rsidP="00B52DD2">
      <w:pPr>
        <w:spacing w:line="480" w:lineRule="auto"/>
        <w:rPr>
          <w:rFonts w:ascii="Times New Roman" w:hAnsi="Times New Roman" w:cs="Times New Roman"/>
        </w:rPr>
      </w:pPr>
      <w:r w:rsidRPr="008D16FB">
        <w:rPr>
          <w:rFonts w:ascii="Times New Roman" w:hAnsi="Times New Roman" w:cs="Times New Roman"/>
          <w:b/>
          <w:bCs/>
          <w:sz w:val="36"/>
          <w:szCs w:val="36"/>
        </w:rPr>
        <w:lastRenderedPageBreak/>
        <w:t>Chapter 1: Political Stalemate and Individual Preferences in Nuclear Waste Debate</w:t>
      </w:r>
    </w:p>
    <w:p w:rsidR="00B52DD2" w:rsidRPr="003F4BC8" w:rsidRDefault="00B52DD2" w:rsidP="00B52DD2">
      <w:pPr>
        <w:spacing w:line="480" w:lineRule="auto"/>
        <w:outlineLvl w:val="0"/>
        <w:rPr>
          <w:rFonts w:ascii="Times New Roman" w:hAnsi="Times New Roman" w:cs="Times New Roman"/>
          <w:b/>
          <w:bCs/>
        </w:rPr>
      </w:pPr>
      <w:r w:rsidRPr="003F4BC8">
        <w:rPr>
          <w:rFonts w:ascii="Times New Roman" w:hAnsi="Times New Roman" w:cs="Times New Roman"/>
          <w:b/>
          <w:bCs/>
        </w:rPr>
        <w:t>Introduction</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Despite broad scientific consensus that deep geologic isolation is the preferred method for disposing of long-lived radioactive wastes (National Research Council 2001; IAEA 2014), siting facilities for the storage and disposal of these wastes has historically been among the most contentious policy problems and the most difficult tasks that governments have attempted to undertake (Hadden et al. 1983; O'Hare et al., 1983; Matheny and Williams 1985; Kraft and Clary 1991). The heart of this controversial policy debate concerns the distribution of perceived costs and benefits, a topic that has been the subject of study by public choice theorists (</w:t>
      </w:r>
      <w:r w:rsidRPr="003F4BC8">
        <w:rPr>
          <w:rFonts w:ascii="Times New Roman" w:eastAsia="Times New Roman" w:hAnsi="Times New Roman" w:cs="Times New Roman"/>
          <w:color w:val="222222"/>
          <w:shd w:val="clear" w:color="auto" w:fill="FFFFFF"/>
        </w:rPr>
        <w:t>Buchanan &amp; Tullock 1962</w:t>
      </w:r>
      <w:r w:rsidRPr="003F4BC8">
        <w:rPr>
          <w:rFonts w:ascii="Times New Roman" w:eastAsia="Times New Roman" w:hAnsi="Times New Roman" w:cs="Times New Roman"/>
        </w:rPr>
        <w:t>) and political economists (Wilson 1984; Wilson et al 2018). The decision about where to site a nuclear waste disposal facility has typically been characterized as one that would concentrate the risks and costs (e.g., the potential effects on human health and environment near the facility) on a small segment of population whose residences are geographically concentrated around the disposal facility, while the benefits (e.g., increased security, reduced environmental and health risks from geographically dispersed temporary storage facilities) are spread across the general population (</w:t>
      </w:r>
      <w:r w:rsidRPr="003F4BC8">
        <w:rPr>
          <w:rFonts w:ascii="Times New Roman" w:hAnsi="Times New Roman" w:cs="Times New Roman"/>
        </w:rPr>
        <w:t>Matheny and Williams 1985; Kraft and Clary 1991). Absent public support by those near the proposed disposal facility, political opposition can – and often has – effectively blocked efforts to site such facilities. Public opinion and citizen participation in the policy opportunity structures of democratic political systems thus play a critical role in hazardous waste disposal facility siting (</w:t>
      </w:r>
      <w:r w:rsidRPr="003F4BC8">
        <w:rPr>
          <w:rFonts w:ascii="Times New Roman" w:eastAsia="Times New Roman" w:hAnsi="Times New Roman" w:cs="Times New Roman"/>
          <w:color w:val="222222"/>
          <w:shd w:val="clear" w:color="auto" w:fill="FFFFFF"/>
        </w:rPr>
        <w:t xml:space="preserve">Rosenbaum 1983; Barber 1984; </w:t>
      </w:r>
      <w:r w:rsidRPr="003F4BC8">
        <w:rPr>
          <w:rFonts w:ascii="Times New Roman" w:hAnsi="Times New Roman" w:cs="Times New Roman"/>
        </w:rPr>
        <w:t xml:space="preserve">Matheny and Williams 1985; Kraft and Clary 1991). </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lastRenderedPageBreak/>
        <w:t>The political stalemates confronting nuclear waste disposal policies are an example of a broader class of policy conflicts, known as "the NIMBY syndrome" (Matheny and Williams 1985, p. 1). “NIMBY (“Not In My Back Yard”) refers to intense, sometimes emotional, and often adamant local opposition to siting proposals that residents believe will result in adverse impacts” (Kraft and Clary 1991, p. 2). While the critics of NIMBYism often claim that technical and economic development or broader safety gains are being delayed because of myopic local concerns and overstated risks (Mazmanian and Morell 1990), a more positive assessment argues that NIMBYism is a rational and legitimate expression of local concerns and interests (</w:t>
      </w:r>
      <w:r w:rsidRPr="003F4BC8">
        <w:rPr>
          <w:rFonts w:ascii="Times New Roman" w:eastAsia="Times New Roman" w:hAnsi="Times New Roman" w:cs="Times New Roman"/>
          <w:color w:val="222222"/>
          <w:shd w:val="clear" w:color="auto" w:fill="FFFFFF"/>
        </w:rPr>
        <w:t xml:space="preserve">Shrader-Frechette 1988; </w:t>
      </w:r>
      <w:r w:rsidRPr="003F4BC8">
        <w:rPr>
          <w:rFonts w:ascii="Times New Roman" w:hAnsi="Times New Roman" w:cs="Times New Roman"/>
        </w:rPr>
        <w:t>Matheny and Williams 1985, Slovic’s 1993).</w:t>
      </w:r>
    </w:p>
    <w:p w:rsidR="00B52DD2" w:rsidRPr="003F4BC8" w:rsidRDefault="00B52DD2" w:rsidP="00B52DD2">
      <w:pPr>
        <w:spacing w:line="480" w:lineRule="auto"/>
        <w:jc w:val="both"/>
        <w:rPr>
          <w:rFonts w:ascii="Times New Roman" w:hAnsi="Times New Roman" w:cs="Times New Roman"/>
        </w:rPr>
      </w:pPr>
      <w:r w:rsidRPr="003F4BC8">
        <w:rPr>
          <w:rFonts w:ascii="Times New Roman" w:hAnsi="Times New Roman" w:cs="Times New Roman"/>
        </w:rPr>
        <w:tab/>
        <w:t>However, the tenacity over many decades of the NIMBY syndrome as it applies to nuclear waste disposal has resulted in the persistent and growing problem of the accumulation of radioactive wastes in temporary storage sites (including “orphaned” waste at the growing number of shut-down reactors), increasing risks and costs for the entire community in the long run (Matheny and Williams 1985). Scientific consensus has established the urgency of this issue both nationally in the US and internationally by global organizations (US National Academy of Sciences National Research Council 2001; International Atomic Energy Association 2014). Large volumes of spent nuclear fuel (SNF) and high-level radioactive wastes (HLW) have accumulated, and experts have consistently concluded that deep-geologic disposal will be the most effective way to isolate these long-lived radioactive materials from people and the environment. In addition, continued (or expanded) reliance on nuclear energy is seen by many experts as necessary to reduce carbon emissions to address climate change (Lynas 2011b; Shaw 2011; Mulligan 2011), which would result in additional stocks of SNF that will require disposal in the future.</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lastRenderedPageBreak/>
        <w:t>But controversy persists. Some policy experts have maintained staunch opposition to nuclear energy in any form (Green 2016). In part this opposition stems from a series of highly publicized nuclear disasters at operating nuclear power plants (Three Miles Island, Chernobyl, Fukushima) which have threatened both local populations and ecosystems. Another perceived threat is that spent nuclear fuel could be reprocessed into plutonium and made into nuclear weapons (Carter 1987). The highly-irradiated materials could also be used as improvised radiation bombs by terrorists. These arguments continue to fuel local opposition to the siting of a permanent disposal facility for spent nuclear fuel.</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Irrespective of support or opposition of the usage of nuclear energy, the global stocks of spent nuclear fuel continue to grow. “The total cumulative amount of spent fuel that will be generated by 2020 is estimated at 445 000 tHM, of which about 324 000 tHM will still be in storage rather than recycled” (IAEA 2007, p. 3). Currently there are two pathways available for countries for safe disposal of spent nuclear fuel: storage on (or near) earth’s surface or in deep underground repositories.</w:t>
      </w:r>
      <w:r w:rsidRPr="003F4BC8">
        <w:rPr>
          <w:rStyle w:val="FootnoteReference"/>
          <w:rFonts w:ascii="Times New Roman" w:hAnsi="Times New Roman" w:cs="Times New Roman"/>
        </w:rPr>
        <w:footnoteReference w:id="1"/>
      </w:r>
      <w:r w:rsidRPr="003F4BC8">
        <w:rPr>
          <w:rFonts w:ascii="Times New Roman" w:hAnsi="Times New Roman" w:cs="Times New Roman"/>
        </w:rPr>
        <w:t xml:space="preserve"> Surface storage is widely seen as only a temporary solution, requiring active management by future generations who may – or may not – have the technical capabilities required for the task. “After four decades of study, the geological repository option remains the only scientifically credible, long-term solution for safely isolating waste without having to rely on active management” (National Research Council 2001). Yet, waste-management programs around the world and in the US have failed not because of the lack of technological solutions but societal and political challenges (Carter 1987; Cravens 2007; National Research Council 2001; IAEA </w:t>
      </w:r>
      <w:r w:rsidRPr="003F4BC8">
        <w:rPr>
          <w:rFonts w:ascii="Times New Roman" w:hAnsi="Times New Roman" w:cs="Times New Roman"/>
        </w:rPr>
        <w:lastRenderedPageBreak/>
        <w:t>2014). Extended nuclear waste management programs are blocked by NIMBY-like reactions at the local level when public authorities try to site nuclear disposal facilities. Public support is considered to be the biggest challenge in “achieving safe and secure storage and permanent waste disposal” (National Research Council 2001).</w:t>
      </w:r>
    </w:p>
    <w:p w:rsidR="00B52DD2" w:rsidRPr="003F4BC8" w:rsidRDefault="00B52DD2" w:rsidP="00B52DD2">
      <w:pPr>
        <w:spacing w:line="480" w:lineRule="auto"/>
        <w:jc w:val="both"/>
        <w:rPr>
          <w:rFonts w:ascii="Times New Roman" w:hAnsi="Times New Roman" w:cs="Times New Roman"/>
        </w:rPr>
      </w:pPr>
      <w:r w:rsidRPr="003F4BC8">
        <w:rPr>
          <w:rFonts w:ascii="Times New Roman" w:hAnsi="Times New Roman" w:cs="Times New Roman"/>
        </w:rPr>
        <w:tab/>
        <w:t xml:space="preserve">Scholars have found that general political attitudes shape support or opposition to </w:t>
      </w:r>
      <w:r w:rsidRPr="003F4BC8">
        <w:rPr>
          <w:rFonts w:ascii="Times New Roman" w:eastAsia="Times New Roman" w:hAnsi="Times New Roman" w:cs="Times New Roman"/>
        </w:rPr>
        <w:t>potentially risky technologies (Rothman and Lichter 1987, Slovic 1993). Paul Slovic (1993) claimed that society’s levels of risk perception and trust to government is reflected in its risk management mechanisms and the level of public participation and control in representative democracy. In this regard, political ideology and partisanship, as expressions of competing public values, are important because they</w:t>
      </w:r>
      <w:r w:rsidRPr="003F4BC8">
        <w:rPr>
          <w:rFonts w:ascii="Times New Roman" w:hAnsi="Times New Roman" w:cs="Times New Roman"/>
        </w:rPr>
        <w:t xml:space="preserve"> influence policy debates and are linked to policy preferences for nuclear waste technologies (Conover and Feldman 1981; Jenkins-Smith and Smith 1994; Rothman and Lichter 1987). Previous studies have demonstrated that Democrats and liberals are more likely to</w:t>
      </w:r>
      <w:r w:rsidRPr="003F4BC8">
        <w:rPr>
          <w:rFonts w:ascii="Times New Roman" w:eastAsia="Times New Roman" w:hAnsi="Times New Roman" w:cs="Times New Roman"/>
          <w:color w:val="1C1D1E"/>
          <w:shd w:val="clear" w:color="auto" w:fill="FFFFFF"/>
        </w:rPr>
        <w:t xml:space="preserve"> express opposition in nuclear waste policy debate than Republicans and conservatives (Jenkins-Smith et al. 2011; </w:t>
      </w:r>
      <w:r w:rsidRPr="003F4BC8">
        <w:rPr>
          <w:rFonts w:ascii="Times New Roman" w:hAnsi="Times New Roman" w:cs="Times New Roman"/>
        </w:rPr>
        <w:t>Hunter and Leyden 1995; Rothman and Lichter 1987)</w:t>
      </w:r>
      <w:r w:rsidRPr="003F4BC8">
        <w:rPr>
          <w:rFonts w:ascii="Times New Roman" w:eastAsia="Times New Roman" w:hAnsi="Times New Roman" w:cs="Times New Roman"/>
          <w:color w:val="1C1D1E"/>
          <w:shd w:val="clear" w:color="auto" w:fill="FFFFFF"/>
        </w:rPr>
        <w:t>.</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 xml:space="preserve">Ideological and partisan influences are coupled with perception of justice and fairness, </w:t>
      </w:r>
      <w:r w:rsidRPr="003F4BC8">
        <w:rPr>
          <w:rFonts w:ascii="Times New Roman" w:eastAsia="Times New Roman" w:hAnsi="Times New Roman" w:cs="Times New Roman"/>
        </w:rPr>
        <w:t xml:space="preserve">as evident in findings by </w:t>
      </w:r>
      <w:r w:rsidRPr="003F4BC8">
        <w:rPr>
          <w:rFonts w:ascii="Times New Roman" w:hAnsi="Times New Roman" w:cs="Times New Roman"/>
        </w:rPr>
        <w:t>Frey and Oberholzer Gee (1996). Like Slovic (1993), they found that while expected economic impacts and risk estimates influence individuals’ willingness to accept/oppose the siting of nuclear waste repositories, such procedural aspects as perceived fairness of the rules for disposal site selection also influence acceptance of these facilities (Frey and Oberholzer Gee 1996).</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 xml:space="preserve">In this dissertation, I will explore public preferences for hazardous waste disposal policy options. </w:t>
      </w:r>
      <w:r w:rsidRPr="003F4BC8">
        <w:rPr>
          <w:rFonts w:ascii="Times New Roman" w:hAnsi="Times New Roman" w:cs="Times New Roman"/>
          <w:u w:val="single"/>
        </w:rPr>
        <w:t>The question</w:t>
      </w:r>
      <w:r w:rsidRPr="003F4BC8">
        <w:rPr>
          <w:rFonts w:ascii="Times New Roman" w:hAnsi="Times New Roman" w:cs="Times New Roman"/>
        </w:rPr>
        <w:t xml:space="preserve"> that I am seeking to understand is how partisanship and ideology shape public preferences for spent nuclear waste (hereafter SNF) disposal policy options in general, and </w:t>
      </w:r>
      <w:r w:rsidRPr="003F4BC8">
        <w:rPr>
          <w:rFonts w:ascii="Times New Roman" w:hAnsi="Times New Roman" w:cs="Times New Roman"/>
        </w:rPr>
        <w:lastRenderedPageBreak/>
        <w:t>location based policies, in particular. I will also explore whether SNF disposal policy issues at the local level have reshaped the political landscape by influencing partisan and ideological preferences of residents of communities that are identified as potential hosts for SNF disposal facilities. Will local policy concerns have the potential of affecting levels of political participation locally?</w:t>
      </w:r>
    </w:p>
    <w:p w:rsidR="00B52DD2" w:rsidRPr="003F4BC8" w:rsidRDefault="00B52DD2" w:rsidP="00B52DD2">
      <w:pPr>
        <w:spacing w:line="480" w:lineRule="auto"/>
        <w:jc w:val="both"/>
        <w:outlineLvl w:val="0"/>
        <w:rPr>
          <w:rFonts w:ascii="Times New Roman" w:eastAsia="Times New Roman" w:hAnsi="Times New Roman" w:cs="Times New Roman"/>
          <w:b/>
          <w:bCs/>
          <w:color w:val="222222"/>
          <w:shd w:val="clear" w:color="auto" w:fill="FFFFFF"/>
        </w:rPr>
      </w:pPr>
      <w:r w:rsidRPr="003F4BC8">
        <w:rPr>
          <w:rFonts w:ascii="Times New Roman" w:eastAsia="Times New Roman" w:hAnsi="Times New Roman" w:cs="Times New Roman"/>
          <w:b/>
          <w:bCs/>
          <w:color w:val="222222"/>
          <w:shd w:val="clear" w:color="auto" w:fill="FFFFFF"/>
        </w:rPr>
        <w:t>Theoretical Framework</w:t>
      </w:r>
    </w:p>
    <w:p w:rsidR="00B52DD2" w:rsidRPr="003F4BC8" w:rsidRDefault="00B52DD2" w:rsidP="00B52DD2">
      <w:pPr>
        <w:spacing w:line="480" w:lineRule="auto"/>
        <w:ind w:firstLine="720"/>
        <w:jc w:val="both"/>
        <w:rPr>
          <w:rFonts w:ascii="Times New Roman" w:eastAsia="Times New Roman" w:hAnsi="Times New Roman" w:cs="Times New Roman"/>
        </w:rPr>
      </w:pPr>
      <w:r w:rsidRPr="003F4BC8">
        <w:rPr>
          <w:rFonts w:ascii="Times New Roman" w:eastAsia="Times New Roman" w:hAnsi="Times New Roman" w:cs="Times New Roman"/>
          <w:color w:val="222222"/>
          <w:shd w:val="clear" w:color="auto" w:fill="FFFFFF"/>
        </w:rPr>
        <w:t xml:space="preserve">An overview of the research findings from the NIMBY literature shows that </w:t>
      </w:r>
      <w:r w:rsidRPr="003F4BC8">
        <w:rPr>
          <w:rFonts w:ascii="Times New Roman" w:hAnsi="Times New Roman" w:cs="Times New Roman"/>
        </w:rPr>
        <w:t xml:space="preserve">there are distinct sets of arguments about why local opposition to SNF siting develops. One set of arguments is based on homo economicus. </w:t>
      </w:r>
      <w:r w:rsidRPr="003F4BC8">
        <w:rPr>
          <w:rFonts w:ascii="Times New Roman" w:eastAsia="Times New Roman" w:hAnsi="Times New Roman" w:cs="Times New Roman"/>
        </w:rPr>
        <w:t xml:space="preserve">This argument views individuals as self-interested utility maximizers, as posited by the </w:t>
      </w:r>
      <w:r w:rsidRPr="003F4BC8">
        <w:rPr>
          <w:rFonts w:ascii="Times New Roman" w:eastAsia="Times New Roman" w:hAnsi="Times New Roman" w:cs="Times New Roman"/>
          <w:color w:val="222222"/>
          <w:shd w:val="clear" w:color="auto" w:fill="FFFFFF"/>
        </w:rPr>
        <w:t>rational choice model of the individual. By this argument, when</w:t>
      </w:r>
      <w:r w:rsidRPr="003F4BC8">
        <w:rPr>
          <w:rFonts w:ascii="Times New Roman" w:eastAsia="Times New Roman" w:hAnsi="Times New Roman" w:cs="Times New Roman"/>
        </w:rPr>
        <w:t xml:space="preserve"> individuals are faced with a choice situation, they consider all the possible options, weigh the costs and benefits associated with each option, and then choose the option that is calculated to bring </w:t>
      </w:r>
      <w:r w:rsidRPr="003F4BC8">
        <w:rPr>
          <w:rFonts w:ascii="Times New Roman" w:hAnsi="Times New Roman" w:cs="Times New Roman"/>
        </w:rPr>
        <w:t>the</w:t>
      </w:r>
      <w:r w:rsidRPr="003F4BC8">
        <w:rPr>
          <w:rFonts w:ascii="Times New Roman" w:eastAsia="Times New Roman" w:hAnsi="Times New Roman" w:cs="Times New Roman"/>
        </w:rPr>
        <w:t xml:space="preserve"> highest net utility to them (Riker 1990, Hindmore 2010).</w:t>
      </w:r>
      <w:r w:rsidRPr="003F4BC8">
        <w:rPr>
          <w:rFonts w:ascii="Times New Roman" w:eastAsia="Times New Roman" w:hAnsi="Times New Roman" w:cs="Times New Roman"/>
          <w:color w:val="222222"/>
          <w:shd w:val="clear" w:color="auto" w:fill="FFFFFF"/>
        </w:rPr>
        <w:t xml:space="preserve"> By implication, when individuals are faced with a decision option that would impose greater localized costs in pursuit of diffuse benefits for the larger society, they naturally oppose that option. Support can be expected only when localized benefits off-set the localized costs (</w:t>
      </w:r>
      <w:r w:rsidRPr="003F4BC8">
        <w:rPr>
          <w:rFonts w:ascii="Times New Roman" w:hAnsi="Times New Roman" w:cs="Times New Roman"/>
        </w:rPr>
        <w:t xml:space="preserve">Jenkins-Smith and Kunreuther 2001). In some instances, arguments that local community members are best understood as self-interested utility maximizers focus narrowly on proximity to the site (as a proxy for perceived costs) in their explanations. </w:t>
      </w:r>
      <w:r w:rsidRPr="003F4BC8">
        <w:rPr>
          <w:rFonts w:ascii="Times New Roman" w:eastAsia="Times New Roman" w:hAnsi="Times New Roman" w:cs="Times New Roman"/>
          <w:color w:val="222222"/>
          <w:shd w:val="clear" w:color="auto" w:fill="FFFFFF"/>
        </w:rPr>
        <w:t xml:space="preserve">Despite the potential sophistication of rational choice models, I will argue that the usage of proximity as the main explanatory variable for support or opposition of a proposed disposal facility is based on an overly simplistic assumption about the individual’s utility function and their decision making in general. </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eastAsia="Times New Roman" w:hAnsi="Times New Roman" w:cs="Times New Roman"/>
          <w:color w:val="222222"/>
          <w:shd w:val="clear" w:color="auto" w:fill="FFFFFF"/>
        </w:rPr>
        <w:lastRenderedPageBreak/>
        <w:t xml:space="preserve">In the NIMBY literature, </w:t>
      </w:r>
      <w:r w:rsidRPr="003F4BC8">
        <w:rPr>
          <w:rFonts w:ascii="Times New Roman" w:hAnsi="Times New Roman" w:cs="Times New Roman"/>
        </w:rPr>
        <w:t>another set of arguments about local opposition to SNF siting draws more heavily on behavioral economics – the homo-heuristicus set. NIMBY models based on behavioral economics (</w:t>
      </w:r>
      <w:r w:rsidRPr="003F4BC8">
        <w:rPr>
          <w:rFonts w:ascii="Times New Roman" w:eastAsia="Times New Roman" w:hAnsi="Times New Roman" w:cs="Times New Roman"/>
          <w:color w:val="222222"/>
          <w:shd w:val="clear" w:color="auto" w:fill="FFFFFF"/>
        </w:rPr>
        <w:t>Tversky and Kahneman 1974; Kahneman and Tversky 2013</w:t>
      </w:r>
      <w:r w:rsidRPr="003F4BC8">
        <w:rPr>
          <w:rFonts w:ascii="Times New Roman" w:hAnsi="Times New Roman" w:cs="Times New Roman"/>
        </w:rPr>
        <w:t>), or psychometrics of risk perceptions (</w:t>
      </w:r>
      <w:r w:rsidRPr="003F4BC8">
        <w:rPr>
          <w:rFonts w:ascii="Times New Roman" w:eastAsia="Times New Roman" w:hAnsi="Times New Roman" w:cs="Times New Roman"/>
          <w:color w:val="222222"/>
          <w:shd w:val="clear" w:color="auto" w:fill="FFFFFF"/>
        </w:rPr>
        <w:t>Jenkins</w:t>
      </w:r>
      <w:r w:rsidRPr="003F4BC8">
        <w:rPr>
          <w:rFonts w:ascii="Times New Roman" w:eastAsia="Calibri" w:hAnsi="Times New Roman" w:cs="Times New Roman"/>
          <w:color w:val="222222"/>
          <w:shd w:val="clear" w:color="auto" w:fill="FFFFFF"/>
        </w:rPr>
        <w:t>‐</w:t>
      </w:r>
      <w:r w:rsidRPr="003F4BC8">
        <w:rPr>
          <w:rFonts w:ascii="Times New Roman" w:eastAsia="Times New Roman" w:hAnsi="Times New Roman" w:cs="Times New Roman"/>
          <w:color w:val="222222"/>
          <w:shd w:val="clear" w:color="auto" w:fill="FFFFFF"/>
        </w:rPr>
        <w:t xml:space="preserve">Smith and Kunreuther 2001; </w:t>
      </w:r>
      <w:r w:rsidRPr="003F4BC8">
        <w:rPr>
          <w:rFonts w:ascii="Times New Roman" w:eastAsia="Calibri" w:hAnsi="Times New Roman" w:cs="Times New Roman"/>
          <w:color w:val="222222"/>
          <w:shd w:val="clear" w:color="auto" w:fill="FFFFFF"/>
        </w:rPr>
        <w:t>Slovic</w:t>
      </w:r>
      <w:r w:rsidRPr="003F4BC8">
        <w:rPr>
          <w:rFonts w:ascii="Times New Roman" w:hAnsi="Times New Roman" w:cs="Times New Roman"/>
        </w:rPr>
        <w:t xml:space="preserve"> et al. 1991) consider the central role of psychological biases and heuristics in shaping individuals’ views and beliefs for policy preferences. In this literature, people use simplifying heuristics to identify and rate risks (Slovic 2010). Nuclear risks are among the most dreaded, and are particularly salient and impactful when the exposure to radiation is seen as imposed (involuntary) by other actors or the government (Slovic 1987). Importantly, high perceived risks lead homo-heruisticus to see the benefits as lower, making it very difficult to secure local support for nuclear waste disposal sites when the facility is seen as imposed upon the local community.</w:t>
      </w:r>
    </w:p>
    <w:p w:rsidR="00B52DD2" w:rsidRDefault="00B52DD2" w:rsidP="00B52DD2">
      <w:pPr>
        <w:spacing w:line="480" w:lineRule="auto"/>
        <w:ind w:firstLine="720"/>
        <w:jc w:val="both"/>
        <w:rPr>
          <w:rFonts w:ascii="Times New Roman" w:eastAsia="Times New Roman" w:hAnsi="Times New Roman" w:cs="Times New Roman"/>
          <w:color w:val="222222"/>
          <w:shd w:val="clear" w:color="auto" w:fill="FFFFFF"/>
        </w:rPr>
      </w:pPr>
      <w:r w:rsidRPr="003F4BC8">
        <w:rPr>
          <w:rFonts w:ascii="Times New Roman" w:hAnsi="Times New Roman" w:cs="Times New Roman"/>
        </w:rPr>
        <w:t>In this dissertation, in contrast to both the homo-economicus and the homo-heuristicus models, I focus on NIMBY decision-making from a broader public policy perspective, based on the homo-politicus as the model of the individual. One of the major theories of policy process argues that public policy preferences within a policy domain are formulated based on deep core beliefs that serve as a foundation for the formulation of more specific policy positions (</w:t>
      </w:r>
      <w:r w:rsidRPr="003F4BC8">
        <w:rPr>
          <w:rFonts w:ascii="Times New Roman" w:eastAsia="Times New Roman" w:hAnsi="Times New Roman" w:cs="Times New Roman"/>
          <w:color w:val="222222"/>
          <w:shd w:val="clear" w:color="auto" w:fill="FFFFFF"/>
        </w:rPr>
        <w:t>Jenkins-Smith et al. 2017; Jenkins-Smith et al. 2014a). From this perspective, we assume that an individual is boundedly rational and is motivated by systems of structured beliefs (</w:t>
      </w:r>
      <w:r w:rsidRPr="003F4BC8">
        <w:rPr>
          <w:rFonts w:ascii="Times New Roman" w:eastAsia="Times New Roman" w:hAnsi="Times New Roman" w:cs="Times New Roman"/>
        </w:rPr>
        <w:t xml:space="preserve">Lindblom 1959; Simon 1985, Jones 2001; </w:t>
      </w:r>
      <w:r w:rsidRPr="003F4BC8">
        <w:rPr>
          <w:rFonts w:ascii="Times New Roman" w:hAnsi="Times New Roman" w:cs="Times New Roman"/>
        </w:rPr>
        <w:t xml:space="preserve">Ripberger et al. 2014; </w:t>
      </w:r>
      <w:r w:rsidRPr="003F4BC8">
        <w:rPr>
          <w:rFonts w:ascii="Times New Roman" w:eastAsia="Times New Roman" w:hAnsi="Times New Roman" w:cs="Times New Roman"/>
          <w:color w:val="222222"/>
          <w:shd w:val="clear" w:color="auto" w:fill="FFFFFF"/>
        </w:rPr>
        <w:t>Jenkins-Smith et al. 2014b</w:t>
      </w:r>
      <w:r w:rsidRPr="003F4BC8">
        <w:rPr>
          <w:rFonts w:ascii="Times New Roman" w:eastAsia="Times New Roman" w:hAnsi="Times New Roman" w:cs="Times New Roman"/>
        </w:rPr>
        <w:t>)</w:t>
      </w:r>
      <w:r w:rsidRPr="003F4BC8">
        <w:rPr>
          <w:rFonts w:ascii="Times New Roman" w:eastAsia="Times New Roman" w:hAnsi="Times New Roman" w:cs="Times New Roman"/>
          <w:color w:val="222222"/>
          <w:shd w:val="clear" w:color="auto" w:fill="FFFFFF"/>
        </w:rPr>
        <w:t>. This model of the individual is in contrast with the sets of assumptions more commonly employed in the NIMBY literature, as described above.</w:t>
      </w:r>
    </w:p>
    <w:p w:rsidR="00B52DD2" w:rsidRDefault="00B52DD2" w:rsidP="00B52DD2">
      <w:pPr>
        <w:spacing w:line="480" w:lineRule="auto"/>
        <w:ind w:firstLine="720"/>
        <w:jc w:val="both"/>
        <w:rPr>
          <w:rFonts w:ascii="Times New Roman" w:eastAsia="Times New Roman" w:hAnsi="Times New Roman" w:cs="Times New Roman"/>
          <w:color w:val="222222"/>
          <w:shd w:val="clear" w:color="auto" w:fill="FFFFFF"/>
        </w:rPr>
      </w:pPr>
    </w:p>
    <w:p w:rsidR="00B52DD2" w:rsidRPr="001A790F" w:rsidRDefault="00B52DD2" w:rsidP="00B52DD2">
      <w:pPr>
        <w:spacing w:line="480" w:lineRule="auto"/>
        <w:ind w:firstLine="720"/>
        <w:jc w:val="both"/>
        <w:rPr>
          <w:rFonts w:ascii="Times New Roman" w:eastAsia="Times New Roman" w:hAnsi="Times New Roman" w:cs="Times New Roman"/>
          <w:color w:val="222222"/>
          <w:shd w:val="clear" w:color="auto" w:fill="FFFFFF"/>
        </w:rPr>
      </w:pPr>
    </w:p>
    <w:p w:rsidR="00B52DD2" w:rsidRPr="003F4BC8" w:rsidRDefault="00B52DD2" w:rsidP="00B52DD2">
      <w:pPr>
        <w:spacing w:line="480" w:lineRule="auto"/>
        <w:ind w:firstLine="720"/>
        <w:jc w:val="center"/>
        <w:rPr>
          <w:rFonts w:ascii="Times New Roman" w:eastAsia="Times New Roman" w:hAnsi="Times New Roman" w:cs="Times New Roman"/>
          <w:color w:val="222222"/>
          <w:shd w:val="clear" w:color="auto" w:fill="FFFFFF"/>
        </w:rPr>
      </w:pPr>
      <w:r w:rsidRPr="003F4BC8">
        <w:rPr>
          <w:rFonts w:ascii="Times New Roman" w:eastAsia="Times New Roman" w:hAnsi="Times New Roman" w:cs="Times New Roman"/>
          <w:b/>
          <w:bCs/>
          <w:color w:val="222222"/>
          <w:shd w:val="clear" w:color="auto" w:fill="FFFFFF"/>
        </w:rPr>
        <w:lastRenderedPageBreak/>
        <w:t>Figure 1-1.</w:t>
      </w:r>
      <w:r w:rsidRPr="003F4BC8">
        <w:rPr>
          <w:rFonts w:ascii="Times New Roman" w:eastAsia="Times New Roman" w:hAnsi="Times New Roman" w:cs="Times New Roman"/>
          <w:color w:val="222222"/>
          <w:shd w:val="clear" w:color="auto" w:fill="FFFFFF"/>
        </w:rPr>
        <w:t xml:space="preserve"> Continuum of Micro-foundation of Individual Decision Making</w:t>
      </w:r>
    </w:p>
    <w:p w:rsidR="00B52DD2" w:rsidRPr="003F4BC8" w:rsidRDefault="00B52DD2" w:rsidP="00B52DD2">
      <w:pPr>
        <w:spacing w:line="480" w:lineRule="auto"/>
        <w:rPr>
          <w:rFonts w:ascii="Times New Roman" w:eastAsia="Times New Roman" w:hAnsi="Times New Roman" w:cs="Times New Roman"/>
          <w:color w:val="222222"/>
          <w:shd w:val="clear" w:color="auto" w:fill="FFFFFF"/>
        </w:rPr>
      </w:pPr>
      <w:r w:rsidRPr="003F4BC8">
        <w:rPr>
          <w:rFonts w:ascii="Times New Roman" w:eastAsia="Times New Roman" w:hAnsi="Times New Roman" w:cs="Times New Roman"/>
          <w:noProof/>
          <w:color w:val="222222"/>
          <w:shd w:val="clear" w:color="auto" w:fill="FFFFFF"/>
        </w:rPr>
        <w:drawing>
          <wp:inline distT="0" distB="0" distL="0" distR="0" wp14:anchorId="6554B9E0" wp14:editId="7E6BADC6">
            <wp:extent cx="5580055" cy="1687308"/>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oretical diagram_revised.pdf"/>
                    <pic:cNvPicPr/>
                  </pic:nvPicPr>
                  <pic:blipFill rotWithShape="1">
                    <a:blip r:embed="rId9">
                      <a:extLst>
                        <a:ext uri="{28A0092B-C50C-407E-A947-70E740481C1C}">
                          <a14:useLocalDpi xmlns:a14="http://schemas.microsoft.com/office/drawing/2010/main" val="0"/>
                        </a:ext>
                      </a:extLst>
                    </a:blip>
                    <a:srcRect l="13811" t="9803" r="3843" b="70957"/>
                    <a:stretch/>
                  </pic:blipFill>
                  <pic:spPr bwMode="auto">
                    <a:xfrm>
                      <a:off x="0" y="0"/>
                      <a:ext cx="5849557" cy="1768800"/>
                    </a:xfrm>
                    <a:prstGeom prst="rect">
                      <a:avLst/>
                    </a:prstGeom>
                    <a:ln>
                      <a:noFill/>
                    </a:ln>
                    <a:extLst>
                      <a:ext uri="{53640926-AAD7-44D8-BBD7-CCE9431645EC}">
                        <a14:shadowObscured xmlns:a14="http://schemas.microsoft.com/office/drawing/2010/main"/>
                      </a:ext>
                    </a:extLst>
                  </pic:spPr>
                </pic:pic>
              </a:graphicData>
            </a:graphic>
          </wp:inline>
        </w:drawing>
      </w:r>
    </w:p>
    <w:p w:rsidR="00B52DD2" w:rsidRDefault="00B52DD2" w:rsidP="00B52DD2">
      <w:pPr>
        <w:spacing w:line="480" w:lineRule="auto"/>
        <w:ind w:firstLine="720"/>
        <w:jc w:val="both"/>
        <w:rPr>
          <w:rFonts w:ascii="Times New Roman" w:eastAsia="Times New Roman" w:hAnsi="Times New Roman" w:cs="Times New Roman"/>
          <w:color w:val="222222"/>
          <w:shd w:val="clear" w:color="auto" w:fill="FFFFFF"/>
        </w:rPr>
      </w:pPr>
    </w:p>
    <w:p w:rsidR="00B52DD2" w:rsidRDefault="00B52DD2" w:rsidP="00B52DD2">
      <w:pPr>
        <w:spacing w:line="480" w:lineRule="auto"/>
        <w:ind w:firstLine="720"/>
        <w:jc w:val="both"/>
        <w:rPr>
          <w:rFonts w:ascii="Times New Roman" w:hAnsi="Times New Roman" w:cs="Times New Roman"/>
        </w:rPr>
      </w:pPr>
      <w:r w:rsidRPr="003F4BC8">
        <w:rPr>
          <w:rFonts w:ascii="Times New Roman" w:eastAsia="Times New Roman" w:hAnsi="Times New Roman" w:cs="Times New Roman"/>
          <w:color w:val="222222"/>
          <w:shd w:val="clear" w:color="auto" w:fill="FFFFFF"/>
        </w:rPr>
        <w:t>As it can be seen from Figure 1-1, both for NIMBY (</w:t>
      </w:r>
      <w:r w:rsidRPr="003F4BC8">
        <w:rPr>
          <w:rFonts w:ascii="Times New Roman" w:hAnsi="Times New Roman" w:cs="Times New Roman"/>
        </w:rPr>
        <w:t xml:space="preserve">Hadden et al. 1983; O'Hare et al., 1983; Matheny and Williams 1985; Kraft and Clary 1991; Armour 1991; Greenberg 1993; Benford et al. 1993; Lui 1997; Williams et al. 1999; Schively 2007; Smith 2015; Davy 2016; Lester 2018; Slovic et al. 1991; Jenkins-Smith and Kunreuther 2001; Sjoberg 2004; Schively 2007) </w:t>
      </w:r>
      <w:r w:rsidRPr="003F4BC8">
        <w:rPr>
          <w:rFonts w:ascii="Times New Roman" w:eastAsia="Times New Roman" w:hAnsi="Times New Roman" w:cs="Times New Roman"/>
          <w:color w:val="222222"/>
          <w:shd w:val="clear" w:color="auto" w:fill="FFFFFF"/>
        </w:rPr>
        <w:t>and for the traditional public opinion literature (</w:t>
      </w:r>
      <w:r w:rsidRPr="003F4BC8">
        <w:rPr>
          <w:rFonts w:ascii="Times New Roman" w:hAnsi="Times New Roman" w:cs="Times New Roman"/>
        </w:rPr>
        <w:t xml:space="preserve">Lippmann 1922; Campbell et al. 1960; Dewey 1927; Gallup 1939; Converse 1964; Peters 1995; Zaller 1992, Jenkins-Smith and Herron 2006; </w:t>
      </w:r>
      <w:r w:rsidRPr="003F4BC8">
        <w:rPr>
          <w:rFonts w:ascii="Times New Roman" w:eastAsia="Times New Roman" w:hAnsi="Times New Roman" w:cs="Times New Roman"/>
          <w:color w:val="222222"/>
          <w:shd w:val="clear" w:color="auto" w:fill="FFFFFF"/>
        </w:rPr>
        <w:t xml:space="preserve">Schudson 2008; Dewey and Rogers 2012), individuals are assumed to be self-interested players who are driven by heuristics and biases. Whereas from public policy perspective individuals or “homo-politicus” have hierarchically structured beliefs systems with deep core beliefs as the essential driver for their policy preferences. In addition, </w:t>
      </w:r>
      <w:r w:rsidRPr="003F4BC8">
        <w:rPr>
          <w:rFonts w:ascii="Times New Roman" w:hAnsi="Times New Roman" w:cs="Times New Roman"/>
        </w:rPr>
        <w:t>belief systems in the ACF implies that individuals are driven by broader societal considerations that are formed through their values and belief systems (Jenkins-Smith et al. 2014b). Whereas traditional NIMBY literature implies that individuals are merely driven by their local narrow concerns. Table 1-1 presented below briefly summarizes these differences:</w:t>
      </w:r>
    </w:p>
    <w:p w:rsidR="00B52DD2" w:rsidRDefault="00B52DD2" w:rsidP="00B52DD2">
      <w:pPr>
        <w:spacing w:line="480" w:lineRule="auto"/>
        <w:ind w:firstLine="720"/>
        <w:jc w:val="both"/>
        <w:rPr>
          <w:rFonts w:ascii="Times New Roman" w:hAnsi="Times New Roman" w:cs="Times New Roman"/>
        </w:rPr>
      </w:pPr>
    </w:p>
    <w:p w:rsidR="00B52DD2" w:rsidRPr="000D6F1F" w:rsidRDefault="00B52DD2" w:rsidP="00B52DD2">
      <w:pPr>
        <w:spacing w:line="480" w:lineRule="auto"/>
        <w:ind w:firstLine="720"/>
        <w:jc w:val="both"/>
        <w:rPr>
          <w:rFonts w:ascii="Times New Roman" w:hAnsi="Times New Roman" w:cs="Times New Roman"/>
        </w:rPr>
      </w:pPr>
    </w:p>
    <w:p w:rsidR="00B52DD2" w:rsidRPr="003F4BC8" w:rsidRDefault="00B52DD2" w:rsidP="00B52DD2">
      <w:pPr>
        <w:spacing w:line="480" w:lineRule="auto"/>
        <w:ind w:firstLine="720"/>
        <w:jc w:val="center"/>
        <w:rPr>
          <w:rFonts w:ascii="Times New Roman" w:hAnsi="Times New Roman" w:cs="Times New Roman"/>
        </w:rPr>
      </w:pPr>
      <w:r w:rsidRPr="003F4BC8">
        <w:rPr>
          <w:rFonts w:ascii="Times New Roman" w:hAnsi="Times New Roman" w:cs="Times New Roman"/>
          <w:b/>
          <w:bCs/>
        </w:rPr>
        <w:lastRenderedPageBreak/>
        <w:t>Table 1-1.</w:t>
      </w:r>
      <w:r w:rsidRPr="003F4BC8">
        <w:rPr>
          <w:rFonts w:ascii="Times New Roman" w:hAnsi="Times New Roman" w:cs="Times New Roman"/>
        </w:rPr>
        <w:t xml:space="preserve"> Comparison of Individual Preference Formation Models</w:t>
      </w:r>
    </w:p>
    <w:tbl>
      <w:tblPr>
        <w:tblStyle w:val="TableGrid"/>
        <w:tblW w:w="8820"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070"/>
        <w:gridCol w:w="2430"/>
        <w:gridCol w:w="2340"/>
      </w:tblGrid>
      <w:tr w:rsidR="00B52DD2" w:rsidRPr="003F4BC8" w:rsidTr="00150C36">
        <w:trPr>
          <w:trHeight w:val="420"/>
        </w:trPr>
        <w:tc>
          <w:tcPr>
            <w:tcW w:w="1980" w:type="dxa"/>
            <w:tcBorders>
              <w:top w:val="single" w:sz="18" w:space="0" w:color="auto"/>
              <w:bottom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Preference formation factors</w:t>
            </w:r>
          </w:p>
        </w:tc>
        <w:tc>
          <w:tcPr>
            <w:tcW w:w="2070" w:type="dxa"/>
            <w:tcBorders>
              <w:top w:val="single" w:sz="18" w:space="0" w:color="auto"/>
              <w:bottom w:val="single" w:sz="12" w:space="0" w:color="auto"/>
            </w:tcBorders>
          </w:tcPr>
          <w:p w:rsidR="00B52DD2" w:rsidRPr="003F4BC8" w:rsidRDefault="00B52DD2" w:rsidP="00150C36">
            <w:pPr>
              <w:jc w:val="both"/>
              <w:rPr>
                <w:rFonts w:ascii="Times New Roman" w:hAnsi="Times New Roman" w:cs="Times New Roman"/>
              </w:rPr>
            </w:pPr>
            <w:r w:rsidRPr="003F4BC8">
              <w:rPr>
                <w:rFonts w:ascii="Times New Roman" w:hAnsi="Times New Roman" w:cs="Times New Roman"/>
              </w:rPr>
              <w:t>Homo-economicus</w:t>
            </w:r>
          </w:p>
        </w:tc>
        <w:tc>
          <w:tcPr>
            <w:tcW w:w="2430" w:type="dxa"/>
            <w:tcBorders>
              <w:top w:val="single" w:sz="18" w:space="0" w:color="auto"/>
              <w:bottom w:val="single" w:sz="12" w:space="0" w:color="auto"/>
            </w:tcBorders>
          </w:tcPr>
          <w:p w:rsidR="00B52DD2" w:rsidRPr="003F4BC8" w:rsidRDefault="00B52DD2" w:rsidP="00150C36">
            <w:pPr>
              <w:jc w:val="both"/>
              <w:rPr>
                <w:rFonts w:ascii="Times New Roman" w:hAnsi="Times New Roman" w:cs="Times New Roman"/>
              </w:rPr>
            </w:pPr>
            <w:r w:rsidRPr="003F4BC8">
              <w:rPr>
                <w:rFonts w:ascii="Times New Roman" w:hAnsi="Times New Roman" w:cs="Times New Roman"/>
              </w:rPr>
              <w:t>Homo-heuristicus</w:t>
            </w:r>
          </w:p>
        </w:tc>
        <w:tc>
          <w:tcPr>
            <w:tcW w:w="2340" w:type="dxa"/>
            <w:tcBorders>
              <w:top w:val="single" w:sz="18" w:space="0" w:color="auto"/>
              <w:bottom w:val="single" w:sz="12" w:space="0" w:color="auto"/>
            </w:tcBorders>
          </w:tcPr>
          <w:p w:rsidR="00B52DD2" w:rsidRPr="003F4BC8" w:rsidRDefault="00B52DD2" w:rsidP="00150C36">
            <w:pPr>
              <w:jc w:val="both"/>
              <w:rPr>
                <w:rFonts w:ascii="Times New Roman" w:hAnsi="Times New Roman" w:cs="Times New Roman"/>
              </w:rPr>
            </w:pPr>
            <w:r w:rsidRPr="003F4BC8">
              <w:rPr>
                <w:rFonts w:ascii="Times New Roman" w:hAnsi="Times New Roman" w:cs="Times New Roman"/>
              </w:rPr>
              <w:t>Homo-politicus</w:t>
            </w:r>
          </w:p>
        </w:tc>
      </w:tr>
      <w:tr w:rsidR="00B52DD2" w:rsidRPr="003F4BC8" w:rsidTr="00150C36">
        <w:trPr>
          <w:trHeight w:val="752"/>
        </w:trPr>
        <w:tc>
          <w:tcPr>
            <w:tcW w:w="1980" w:type="dxa"/>
            <w:tcBorders>
              <w:top w:val="single" w:sz="12" w:space="0" w:color="auto"/>
            </w:tcBorders>
          </w:tcPr>
          <w:p w:rsidR="00B52DD2" w:rsidRPr="003F4BC8" w:rsidRDefault="00B52DD2" w:rsidP="00150C36">
            <w:pPr>
              <w:jc w:val="both"/>
              <w:rPr>
                <w:rFonts w:ascii="Times New Roman" w:hAnsi="Times New Roman" w:cs="Times New Roman"/>
              </w:rPr>
            </w:pPr>
            <w:r w:rsidRPr="003F4BC8">
              <w:rPr>
                <w:rFonts w:ascii="Times New Roman" w:hAnsi="Times New Roman" w:cs="Times New Roman"/>
              </w:rPr>
              <w:t>Values</w:t>
            </w:r>
          </w:p>
        </w:tc>
        <w:tc>
          <w:tcPr>
            <w:tcW w:w="2070" w:type="dxa"/>
            <w:tcBorders>
              <w:top w:val="single" w:sz="12" w:space="0" w:color="auto"/>
            </w:tcBorders>
          </w:tcPr>
          <w:p w:rsidR="00B52DD2" w:rsidRPr="003F4BC8" w:rsidRDefault="00B52DD2" w:rsidP="00150C36">
            <w:pPr>
              <w:jc w:val="both"/>
              <w:rPr>
                <w:rFonts w:ascii="Times New Roman" w:hAnsi="Times New Roman" w:cs="Times New Roman"/>
              </w:rPr>
            </w:pPr>
            <w:r w:rsidRPr="003F4BC8">
              <w:rPr>
                <w:rFonts w:ascii="Times New Roman" w:hAnsi="Times New Roman" w:cs="Times New Roman"/>
              </w:rPr>
              <w:t>Self interest</w:t>
            </w:r>
          </w:p>
        </w:tc>
        <w:tc>
          <w:tcPr>
            <w:tcW w:w="2430" w:type="dxa"/>
            <w:tcBorders>
              <w:top w:val="single" w:sz="12" w:space="0" w:color="auto"/>
            </w:tcBorders>
          </w:tcPr>
          <w:p w:rsidR="00B52DD2" w:rsidRPr="003F4BC8" w:rsidRDefault="00B52DD2" w:rsidP="00150C36">
            <w:pPr>
              <w:jc w:val="both"/>
              <w:rPr>
                <w:rFonts w:ascii="Times New Roman" w:hAnsi="Times New Roman" w:cs="Times New Roman"/>
              </w:rPr>
            </w:pPr>
            <w:r w:rsidRPr="003F4BC8">
              <w:rPr>
                <w:rFonts w:ascii="Times New Roman" w:hAnsi="Times New Roman" w:cs="Times New Roman"/>
              </w:rPr>
              <w:t>Biased motivations</w:t>
            </w:r>
          </w:p>
        </w:tc>
        <w:tc>
          <w:tcPr>
            <w:tcW w:w="2340" w:type="dxa"/>
            <w:tcBorders>
              <w:top w:val="single" w:sz="12" w:space="0" w:color="auto"/>
            </w:tcBorders>
          </w:tcPr>
          <w:p w:rsidR="00B52DD2" w:rsidRPr="003F4BC8" w:rsidRDefault="00B52DD2" w:rsidP="00150C36">
            <w:pPr>
              <w:jc w:val="both"/>
              <w:rPr>
                <w:rFonts w:ascii="Times New Roman" w:hAnsi="Times New Roman" w:cs="Times New Roman"/>
              </w:rPr>
            </w:pPr>
            <w:r w:rsidRPr="003F4BC8">
              <w:rPr>
                <w:rFonts w:ascii="Times New Roman" w:hAnsi="Times New Roman" w:cs="Times New Roman"/>
              </w:rPr>
              <w:t>Political culture and ideology</w:t>
            </w:r>
          </w:p>
        </w:tc>
      </w:tr>
      <w:tr w:rsidR="00B52DD2" w:rsidRPr="003F4BC8" w:rsidTr="00150C36">
        <w:trPr>
          <w:trHeight w:val="1140"/>
        </w:trPr>
        <w:tc>
          <w:tcPr>
            <w:tcW w:w="1980" w:type="dxa"/>
          </w:tcPr>
          <w:p w:rsidR="00B52DD2" w:rsidRPr="003F4BC8" w:rsidRDefault="00B52DD2" w:rsidP="00150C36">
            <w:pPr>
              <w:jc w:val="both"/>
              <w:rPr>
                <w:rFonts w:ascii="Times New Roman" w:hAnsi="Times New Roman" w:cs="Times New Roman"/>
              </w:rPr>
            </w:pPr>
            <w:r w:rsidRPr="003F4BC8">
              <w:rPr>
                <w:rFonts w:ascii="Times New Roman" w:hAnsi="Times New Roman" w:cs="Times New Roman"/>
              </w:rPr>
              <w:t>Belief structure</w:t>
            </w:r>
          </w:p>
        </w:tc>
        <w:tc>
          <w:tcPr>
            <w:tcW w:w="2070" w:type="dxa"/>
          </w:tcPr>
          <w:p w:rsidR="00B52DD2" w:rsidRPr="003F4BC8" w:rsidRDefault="00B52DD2" w:rsidP="00150C36">
            <w:pPr>
              <w:jc w:val="both"/>
              <w:rPr>
                <w:rFonts w:ascii="Times New Roman" w:hAnsi="Times New Roman" w:cs="Times New Roman"/>
              </w:rPr>
            </w:pPr>
            <w:r w:rsidRPr="003F4BC8">
              <w:rPr>
                <w:rFonts w:ascii="Times New Roman" w:hAnsi="Times New Roman" w:cs="Times New Roman"/>
              </w:rPr>
              <w:t>Sparse</w:t>
            </w:r>
          </w:p>
        </w:tc>
        <w:tc>
          <w:tcPr>
            <w:tcW w:w="2430" w:type="dxa"/>
          </w:tcPr>
          <w:p w:rsidR="00B52DD2" w:rsidRPr="003F4BC8" w:rsidRDefault="00B52DD2" w:rsidP="00150C36">
            <w:pPr>
              <w:jc w:val="both"/>
              <w:rPr>
                <w:rFonts w:ascii="Times New Roman" w:hAnsi="Times New Roman" w:cs="Times New Roman"/>
              </w:rPr>
            </w:pPr>
            <w:r w:rsidRPr="003F4BC8">
              <w:rPr>
                <w:rFonts w:ascii="Times New Roman" w:hAnsi="Times New Roman" w:cs="Times New Roman"/>
              </w:rPr>
              <w:t>Dense societal belief structures</w:t>
            </w:r>
          </w:p>
        </w:tc>
        <w:tc>
          <w:tcPr>
            <w:tcW w:w="2340" w:type="dxa"/>
          </w:tcPr>
          <w:p w:rsidR="00B52DD2" w:rsidRPr="003F4BC8" w:rsidRDefault="00B52DD2" w:rsidP="00150C36">
            <w:pPr>
              <w:jc w:val="both"/>
              <w:rPr>
                <w:rFonts w:ascii="Times New Roman" w:hAnsi="Times New Roman" w:cs="Times New Roman"/>
              </w:rPr>
            </w:pPr>
            <w:r w:rsidRPr="003F4BC8">
              <w:rPr>
                <w:rFonts w:ascii="Times New Roman" w:hAnsi="Times New Roman" w:cs="Times New Roman"/>
              </w:rPr>
              <w:t xml:space="preserve">Hierarchically structured complex system </w:t>
            </w:r>
          </w:p>
        </w:tc>
      </w:tr>
      <w:tr w:rsidR="00B52DD2" w:rsidRPr="003F4BC8" w:rsidTr="00150C36">
        <w:trPr>
          <w:trHeight w:val="341"/>
        </w:trPr>
        <w:tc>
          <w:tcPr>
            <w:tcW w:w="1980" w:type="dxa"/>
          </w:tcPr>
          <w:p w:rsidR="00B52DD2" w:rsidRPr="003F4BC8" w:rsidRDefault="00B52DD2" w:rsidP="00150C36">
            <w:pPr>
              <w:jc w:val="both"/>
              <w:rPr>
                <w:rFonts w:ascii="Times New Roman" w:hAnsi="Times New Roman" w:cs="Times New Roman"/>
              </w:rPr>
            </w:pPr>
            <w:r w:rsidRPr="003F4BC8">
              <w:rPr>
                <w:rFonts w:ascii="Times New Roman" w:hAnsi="Times New Roman" w:cs="Times New Roman"/>
              </w:rPr>
              <w:t>Reasoning</w:t>
            </w:r>
          </w:p>
        </w:tc>
        <w:tc>
          <w:tcPr>
            <w:tcW w:w="2070" w:type="dxa"/>
          </w:tcPr>
          <w:p w:rsidR="00B52DD2" w:rsidRPr="003F4BC8" w:rsidRDefault="00B52DD2" w:rsidP="00150C36">
            <w:pPr>
              <w:jc w:val="both"/>
              <w:rPr>
                <w:rFonts w:ascii="Times New Roman" w:hAnsi="Times New Roman" w:cs="Times New Roman"/>
              </w:rPr>
            </w:pPr>
            <w:r w:rsidRPr="003F4BC8">
              <w:rPr>
                <w:rFonts w:ascii="Times New Roman" w:hAnsi="Times New Roman" w:cs="Times New Roman"/>
              </w:rPr>
              <w:t>Pure rational</w:t>
            </w:r>
          </w:p>
        </w:tc>
        <w:tc>
          <w:tcPr>
            <w:tcW w:w="2430" w:type="dxa"/>
          </w:tcPr>
          <w:p w:rsidR="00B52DD2" w:rsidRPr="003F4BC8" w:rsidRDefault="00B52DD2" w:rsidP="00150C36">
            <w:pPr>
              <w:jc w:val="both"/>
              <w:rPr>
                <w:rFonts w:ascii="Times New Roman" w:hAnsi="Times New Roman" w:cs="Times New Roman"/>
              </w:rPr>
            </w:pPr>
            <w:r w:rsidRPr="003F4BC8">
              <w:rPr>
                <w:rFonts w:ascii="Times New Roman" w:hAnsi="Times New Roman" w:cs="Times New Roman"/>
              </w:rPr>
              <w:t>Heuristics</w:t>
            </w:r>
          </w:p>
        </w:tc>
        <w:tc>
          <w:tcPr>
            <w:tcW w:w="2340" w:type="dxa"/>
          </w:tcPr>
          <w:p w:rsidR="00B52DD2" w:rsidRPr="003F4BC8" w:rsidRDefault="00B52DD2" w:rsidP="00150C36">
            <w:pPr>
              <w:jc w:val="both"/>
              <w:rPr>
                <w:rFonts w:ascii="Times New Roman" w:hAnsi="Times New Roman" w:cs="Times New Roman"/>
              </w:rPr>
            </w:pPr>
            <w:r w:rsidRPr="003F4BC8">
              <w:rPr>
                <w:rFonts w:ascii="Times New Roman" w:hAnsi="Times New Roman" w:cs="Times New Roman"/>
              </w:rPr>
              <w:t>Mixture of both</w:t>
            </w:r>
          </w:p>
        </w:tc>
      </w:tr>
    </w:tbl>
    <w:p w:rsidR="00B52DD2" w:rsidRPr="003F4BC8" w:rsidRDefault="00B52DD2" w:rsidP="00B52DD2">
      <w:pPr>
        <w:spacing w:line="480" w:lineRule="auto"/>
        <w:jc w:val="both"/>
        <w:rPr>
          <w:rFonts w:ascii="Times New Roman" w:hAnsi="Times New Roman" w:cs="Times New Roman"/>
        </w:rPr>
      </w:pPr>
    </w:p>
    <w:p w:rsidR="00B52DD2" w:rsidRPr="003F4BC8" w:rsidRDefault="00B52DD2" w:rsidP="00B52DD2">
      <w:pPr>
        <w:spacing w:line="480" w:lineRule="auto"/>
        <w:ind w:firstLine="720"/>
        <w:jc w:val="both"/>
        <w:rPr>
          <w:rFonts w:ascii="Times New Roman" w:eastAsia="Times New Roman" w:hAnsi="Times New Roman" w:cs="Times New Roman"/>
          <w:color w:val="222222"/>
          <w:shd w:val="clear" w:color="auto" w:fill="FFFFFF"/>
        </w:rPr>
      </w:pPr>
      <w:r w:rsidRPr="003F4BC8">
        <w:rPr>
          <w:rFonts w:ascii="Times New Roman" w:eastAsia="Times New Roman" w:hAnsi="Times New Roman" w:cs="Times New Roman"/>
          <w:color w:val="222222"/>
          <w:shd w:val="clear" w:color="auto" w:fill="FFFFFF"/>
        </w:rPr>
        <w:t>Hence, these questions have traditionally been centered around social response to hazardous waste disposal facilities by focusing on physical proximity of local residents to the facilities. In this dissertation, I will focus on public preferences in SNF policy options from public policy perspective by focusing on the homo-politicus as the model of the individual. By incorporating “political” variables in the study of NIMBYism syndrome and accounting for the impact of political ideology in the formulation of hierarchically structured complex belief systems I will investigate the political side of SNF policy subsystem.</w:t>
      </w:r>
    </w:p>
    <w:p w:rsidR="00B52DD2" w:rsidRPr="003F4BC8" w:rsidRDefault="00B52DD2" w:rsidP="00B52DD2">
      <w:pPr>
        <w:spacing w:line="480" w:lineRule="auto"/>
        <w:jc w:val="both"/>
        <w:outlineLvl w:val="0"/>
        <w:rPr>
          <w:rFonts w:ascii="Times New Roman" w:eastAsia="Times New Roman" w:hAnsi="Times New Roman" w:cs="Times New Roman"/>
          <w:b/>
          <w:bCs/>
          <w:color w:val="222222"/>
          <w:shd w:val="clear" w:color="auto" w:fill="FFFFFF"/>
        </w:rPr>
      </w:pPr>
      <w:r w:rsidRPr="003F4BC8">
        <w:rPr>
          <w:rFonts w:ascii="Times New Roman" w:eastAsia="Times New Roman" w:hAnsi="Times New Roman" w:cs="Times New Roman"/>
          <w:b/>
          <w:bCs/>
          <w:color w:val="222222"/>
          <w:shd w:val="clear" w:color="auto" w:fill="FFFFFF"/>
        </w:rPr>
        <w:t>Overview of the Dissertation</w:t>
      </w:r>
    </w:p>
    <w:p w:rsidR="00B52DD2" w:rsidRPr="006A66E2" w:rsidRDefault="00B52DD2" w:rsidP="00B52DD2">
      <w:pPr>
        <w:spacing w:line="480" w:lineRule="auto"/>
        <w:ind w:firstLine="720"/>
        <w:jc w:val="both"/>
        <w:rPr>
          <w:rFonts w:ascii="Times New Roman" w:eastAsia="Times New Roman" w:hAnsi="Times New Roman" w:cs="Times New Roman"/>
          <w:color w:val="222222"/>
          <w:shd w:val="clear" w:color="auto" w:fill="FFFFFF"/>
        </w:rPr>
      </w:pPr>
      <w:r w:rsidRPr="003F4BC8">
        <w:rPr>
          <w:rFonts w:ascii="Times New Roman" w:eastAsia="Times New Roman" w:hAnsi="Times New Roman" w:cs="Times New Roman"/>
          <w:color w:val="222222"/>
          <w:shd w:val="clear" w:color="auto" w:fill="FFFFFF"/>
        </w:rPr>
        <w:t xml:space="preserve">In chapter 2 of this dissertation </w:t>
      </w:r>
      <w:r w:rsidRPr="003F4BC8">
        <w:rPr>
          <w:rFonts w:ascii="Times New Roman" w:hAnsi="Times New Roman" w:cs="Times New Roman"/>
        </w:rPr>
        <w:t xml:space="preserve">I review the literature about the role of public opinion in the policy making process and what we know so far about NIMBYism syndrome. In chapter 3 </w:t>
      </w:r>
      <w:r w:rsidRPr="003F4BC8">
        <w:rPr>
          <w:rFonts w:ascii="Times New Roman" w:eastAsia="Times New Roman" w:hAnsi="Times New Roman" w:cs="Times New Roman"/>
          <w:color w:val="222222"/>
          <w:shd w:val="clear" w:color="auto" w:fill="FFFFFF"/>
        </w:rPr>
        <w:t>I examine the changes in public preferences in spent nuclear fuel (hereafter SNF) siting over time in parallel with respondents risk and benefit perceptions and their trust in government. In chapter 4</w:t>
      </w:r>
      <w:r w:rsidRPr="003F4BC8">
        <w:rPr>
          <w:rFonts w:ascii="Times New Roman" w:hAnsi="Times New Roman" w:cs="Times New Roman"/>
        </w:rPr>
        <w:t xml:space="preserve"> I explore whether a highly contested local SNF siting issue has the potential of reshaping partisan and ideological positions among local communities. </w:t>
      </w:r>
      <w:r w:rsidRPr="003F4BC8">
        <w:rPr>
          <w:rFonts w:ascii="Times New Roman" w:eastAsia="Times New Roman" w:hAnsi="Times New Roman" w:cs="Times New Roman"/>
          <w:color w:val="222222"/>
          <w:shd w:val="clear" w:color="auto" w:fill="FFFFFF"/>
        </w:rPr>
        <w:t>In chapter 5, I zoom out of this narrow policy area to cast a broader look at the complex interconnection between environmental and energy policy preferences. Finally, chapter 6 provides a summary of this dissertation.</w:t>
      </w:r>
      <w:r>
        <w:rPr>
          <w:rFonts w:ascii="Times New Roman" w:eastAsia="Times New Roman" w:hAnsi="Times New Roman" w:cs="Times New Roman"/>
          <w:color w:val="222222"/>
          <w:shd w:val="clear" w:color="auto" w:fill="FFFFFF"/>
        </w:rPr>
        <w:br w:type="page"/>
      </w:r>
    </w:p>
    <w:p w:rsidR="00B52DD2" w:rsidRPr="006A66E2" w:rsidRDefault="00B52DD2" w:rsidP="00B52DD2">
      <w:pPr>
        <w:spacing w:line="480" w:lineRule="auto"/>
        <w:rPr>
          <w:rFonts w:ascii="Times New Roman" w:hAnsi="Times New Roman" w:cs="Times New Roman"/>
          <w:b/>
          <w:bCs/>
          <w:sz w:val="36"/>
          <w:szCs w:val="36"/>
        </w:rPr>
      </w:pPr>
      <w:r w:rsidRPr="006A66E2">
        <w:rPr>
          <w:rFonts w:ascii="Times New Roman" w:hAnsi="Times New Roman" w:cs="Times New Roman"/>
          <w:b/>
          <w:bCs/>
          <w:sz w:val="36"/>
          <w:szCs w:val="36"/>
        </w:rPr>
        <w:lastRenderedPageBreak/>
        <w:t>Chapter 2: Public Opinion Literature and Policy Preferences</w:t>
      </w:r>
    </w:p>
    <w:p w:rsidR="00B52DD2" w:rsidRPr="003F4BC8" w:rsidRDefault="00B52DD2" w:rsidP="00B52DD2">
      <w:pPr>
        <w:spacing w:line="480" w:lineRule="auto"/>
        <w:rPr>
          <w:rFonts w:ascii="Times New Roman" w:hAnsi="Times New Roman" w:cs="Times New Roman"/>
          <w:b/>
          <w:bCs/>
        </w:rPr>
      </w:pPr>
      <w:r w:rsidRPr="003F4BC8">
        <w:rPr>
          <w:rFonts w:ascii="Times New Roman" w:hAnsi="Times New Roman" w:cs="Times New Roman"/>
          <w:b/>
          <w:bCs/>
        </w:rPr>
        <w:t>The Role of Public Opinion in a Democracy</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A survey of political science literature demonstrates that public opinion is formed due to the external cultural-ideological environment of the overall political system (</w:t>
      </w:r>
      <w:r w:rsidRPr="003F4BC8">
        <w:rPr>
          <w:rFonts w:ascii="Times New Roman" w:eastAsia="Times New Roman" w:hAnsi="Times New Roman" w:cs="Times New Roman"/>
          <w:color w:val="222222"/>
          <w:shd w:val="clear" w:color="auto" w:fill="FFFFFF"/>
        </w:rPr>
        <w:t>Dahl 2005; Mayo 1960). This environment shapes the inputs of the system. American cultural values, attitudes and habitual patterns of behaviors that individuals acquire due to their political socialization eventually influence their policy preferences that later serve as inputs into the system (Almond and Verba 2015; Dahl 2005).</w:t>
      </w:r>
      <w:r w:rsidRPr="003F4BC8">
        <w:rPr>
          <w:rFonts w:ascii="Times New Roman" w:hAnsi="Times New Roman" w:cs="Times New Roman"/>
        </w:rPr>
        <w:t xml:space="preserve"> In less contemporary political science literature ideology is viewed as part of culture in broad terms (</w:t>
      </w:r>
      <w:r w:rsidRPr="003F4BC8">
        <w:rPr>
          <w:rFonts w:ascii="Times New Roman" w:eastAsia="Times New Roman" w:hAnsi="Times New Roman" w:cs="Times New Roman"/>
          <w:color w:val="222222"/>
          <w:shd w:val="clear" w:color="auto" w:fill="FFFFFF"/>
        </w:rPr>
        <w:t>Gerberding 1970)</w:t>
      </w:r>
      <w:r w:rsidRPr="003F4BC8">
        <w:rPr>
          <w:rFonts w:ascii="Times New Roman" w:hAnsi="Times New Roman" w:cs="Times New Roman"/>
        </w:rPr>
        <w:t>. While the conceptual definitions and their empirical operationalization has evolved in contemporary applications, the influence of culture and ideology in public opinion formation have always been recognized (</w:t>
      </w:r>
      <w:r w:rsidRPr="003F4BC8">
        <w:rPr>
          <w:rFonts w:ascii="Times New Roman" w:eastAsia="Times New Roman" w:hAnsi="Times New Roman" w:cs="Times New Roman"/>
          <w:color w:val="222222"/>
          <w:shd w:val="clear" w:color="auto" w:fill="FFFFFF"/>
        </w:rPr>
        <w:t>Jenkins</w:t>
      </w:r>
      <w:r w:rsidRPr="003F4BC8">
        <w:rPr>
          <w:rFonts w:ascii="Times New Roman" w:eastAsia="Calibri" w:hAnsi="Times New Roman" w:cs="Times New Roman"/>
          <w:color w:val="222222"/>
          <w:shd w:val="clear" w:color="auto" w:fill="FFFFFF"/>
        </w:rPr>
        <w:t>‐</w:t>
      </w:r>
      <w:r w:rsidRPr="003F4BC8">
        <w:rPr>
          <w:rFonts w:ascii="Times New Roman" w:eastAsia="Times New Roman" w:hAnsi="Times New Roman" w:cs="Times New Roman"/>
          <w:color w:val="222222"/>
          <w:shd w:val="clear" w:color="auto" w:fill="FFFFFF"/>
        </w:rPr>
        <w:t>Smith</w:t>
      </w:r>
      <w:r w:rsidRPr="003F4BC8">
        <w:rPr>
          <w:rFonts w:ascii="Times New Roman" w:hAnsi="Times New Roman" w:cs="Times New Roman"/>
        </w:rPr>
        <w:t xml:space="preserve"> et al. 2014b; Ripberger et al. 2014; Ripberger et al. 2011) In this dissertation I will test hypotheses connected with public preferences for SNF policy options with the help of these political variables.</w:t>
      </w:r>
    </w:p>
    <w:p w:rsidR="00B52DD2" w:rsidRPr="003F4BC8" w:rsidRDefault="00B52DD2" w:rsidP="00B52DD2">
      <w:pPr>
        <w:spacing w:line="480" w:lineRule="auto"/>
        <w:ind w:firstLine="720"/>
        <w:jc w:val="both"/>
        <w:rPr>
          <w:rFonts w:ascii="Times New Roman" w:eastAsia="Times New Roman" w:hAnsi="Times New Roman" w:cs="Times New Roman"/>
          <w:color w:val="222222"/>
          <w:shd w:val="clear" w:color="auto" w:fill="FFFFFF"/>
        </w:rPr>
      </w:pPr>
      <w:r w:rsidRPr="003F4BC8">
        <w:rPr>
          <w:rFonts w:ascii="Times New Roman" w:hAnsi="Times New Roman" w:cs="Times New Roman"/>
        </w:rPr>
        <w:t>Policy type is another essential aspect that plays a determining role how various interests are shaped, preferences formed, and interests organized. According to policy sciences typology policies have been classified into distributive, redistributive and regulatory policies (Lowi 1964). The latter were divided into two categories: protective regulatory and competitive regulatory (</w:t>
      </w:r>
      <w:r w:rsidRPr="003F4BC8">
        <w:rPr>
          <w:rFonts w:ascii="Times New Roman" w:eastAsia="Times New Roman" w:hAnsi="Times New Roman" w:cs="Times New Roman"/>
          <w:color w:val="222222"/>
          <w:shd w:val="clear" w:color="auto" w:fill="FFFFFF"/>
        </w:rPr>
        <w:t xml:space="preserve">Ripley and Franklin 1984). In old Lasswellian policy sciences these classifications were intended to avoid conflict by predicting </w:t>
      </w:r>
      <w:r w:rsidRPr="003F4BC8">
        <w:rPr>
          <w:rFonts w:ascii="Times New Roman" w:hAnsi="Times New Roman" w:cs="Times New Roman"/>
        </w:rPr>
        <w:t>how various interests would react to different kinds of policies (</w:t>
      </w:r>
      <w:r w:rsidRPr="003F4BC8">
        <w:rPr>
          <w:rFonts w:ascii="Times New Roman" w:eastAsia="Times New Roman" w:hAnsi="Times New Roman" w:cs="Times New Roman"/>
          <w:color w:val="222222"/>
          <w:shd w:val="clear" w:color="auto" w:fill="FFFFFF"/>
        </w:rPr>
        <w:t>Lasswell 1970)</w:t>
      </w:r>
      <w:r w:rsidRPr="003F4BC8">
        <w:rPr>
          <w:rFonts w:ascii="Times New Roman" w:hAnsi="Times New Roman" w:cs="Times New Roman"/>
        </w:rPr>
        <w:t xml:space="preserve">. James Wilson (1995) classified policies in terms of the extent to which their costs and benefits are focused on one particular interest or are spread across various people, groups or </w:t>
      </w:r>
      <w:r w:rsidRPr="003F4BC8">
        <w:rPr>
          <w:rFonts w:ascii="Times New Roman" w:hAnsi="Times New Roman" w:cs="Times New Roman"/>
        </w:rPr>
        <w:lastRenderedPageBreak/>
        <w:t>interests.</w:t>
      </w:r>
      <w:r w:rsidRPr="003F4BC8">
        <w:rPr>
          <w:rFonts w:ascii="Times New Roman" w:eastAsia="Times New Roman" w:hAnsi="Times New Roman" w:cs="Times New Roman"/>
          <w:color w:val="222222"/>
          <w:shd w:val="clear" w:color="auto" w:fill="FFFFFF"/>
        </w:rPr>
        <w:t xml:space="preserve"> </w:t>
      </w:r>
      <w:r w:rsidRPr="003F4BC8">
        <w:rPr>
          <w:rFonts w:ascii="Times New Roman" w:hAnsi="Times New Roman" w:cs="Times New Roman"/>
        </w:rPr>
        <w:t>Fiorina (2004) argues that on average members of the public tend to prefer policies that will yield them highest benefit at the lowest cost. This is the rationale for efficiency on individual level (Fiorina 2004). At the same time, this is the reason that American politics is formed around lobbying, mobilization and interest group politics (</w:t>
      </w:r>
      <w:r w:rsidRPr="003F4BC8">
        <w:rPr>
          <w:rFonts w:ascii="Times New Roman" w:eastAsia="Times New Roman" w:hAnsi="Times New Roman" w:cs="Times New Roman"/>
          <w:color w:val="222222"/>
          <w:shd w:val="clear" w:color="auto" w:fill="FFFFFF"/>
        </w:rPr>
        <w:t xml:space="preserve">Skocpol and Fiorina 2004). Among many others, the aim and service of political parties per se is to balance narrow interests and </w:t>
      </w:r>
      <w:r w:rsidRPr="003F4BC8">
        <w:rPr>
          <w:rFonts w:ascii="Times New Roman" w:hAnsi="Times New Roman" w:cs="Times New Roman"/>
        </w:rPr>
        <w:t>to avoid collective action problems in government (Aldrich 1995). However, with the decline of political parties in American politics scholars have also found “decline in collective responsibility” (</w:t>
      </w:r>
      <w:r w:rsidRPr="003F4BC8">
        <w:rPr>
          <w:rFonts w:ascii="Times New Roman" w:eastAsia="Times New Roman" w:hAnsi="Times New Roman" w:cs="Times New Roman"/>
          <w:color w:val="222222"/>
          <w:shd w:val="clear" w:color="auto" w:fill="FFFFFF"/>
        </w:rPr>
        <w:t>Fiorina 1980). It can be threatening to liberal democracy when systems are more involved with distribution of benefits to particular interests (Lowi 1979). It is obvious that public interest should be in the center but when individuals are thinking about themselves it is hard for them to distinguish between their own private interests and the public interest overall.</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eastAsia="Times New Roman" w:hAnsi="Times New Roman" w:cs="Times New Roman"/>
          <w:color w:val="222222"/>
          <w:shd w:val="clear" w:color="auto" w:fill="FFFFFF"/>
        </w:rPr>
        <w:t xml:space="preserve">All these policy characteristics play an essential role in shaping public policy preferences. </w:t>
      </w:r>
      <w:r w:rsidRPr="003F4BC8">
        <w:rPr>
          <w:rFonts w:ascii="Times New Roman" w:hAnsi="Times New Roman" w:cs="Times New Roman"/>
        </w:rPr>
        <w:t xml:space="preserve">Soroka and Wleizen (2010, p. 7) make a distinction between public policy preferences and interests. They claim that “many people have a preference for a level of redistributive policy that clearly is not in their best interest, for instance – they are wealthy themselves but support policies that favor the less advantaged.”  </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John Dewey’s (1927) work titled the Public and Its Problems comes to critique Lippmann and his views about the public (</w:t>
      </w:r>
      <w:r w:rsidRPr="003F4BC8">
        <w:rPr>
          <w:rFonts w:ascii="Times New Roman" w:eastAsia="Times New Roman" w:hAnsi="Times New Roman" w:cs="Times New Roman"/>
          <w:color w:val="222222"/>
          <w:shd w:val="clear" w:color="auto" w:fill="FFFFFF"/>
        </w:rPr>
        <w:t xml:space="preserve">Schudson 2008). Dewey believed in representative democracy and in the central role of public opinion for deliberative democracy (Dewey and Rogers 2012). Dewey is considered to be the founder of what Jenkins-Smith and Herron (2006) call the revisionist view of public opinion. “Revisionists expect to find at the aggregate level reasoned preferences driving from stable and persistent belief structures in which logical connections exist between broad ideological dispositions and more specific policy beliefs” (Jenkins-Smith and Herron 2006, p. 18). </w:t>
      </w:r>
      <w:r w:rsidRPr="003F4BC8">
        <w:rPr>
          <w:rFonts w:ascii="Times New Roman" w:eastAsia="Times New Roman" w:hAnsi="Times New Roman" w:cs="Times New Roman"/>
          <w:color w:val="222222"/>
          <w:shd w:val="clear" w:color="auto" w:fill="FFFFFF"/>
        </w:rPr>
        <w:lastRenderedPageBreak/>
        <w:t xml:space="preserve">Here we can see, that as opposed to traditionalist views these scholars have different approach and assessment of public capabilities. They recognize that </w:t>
      </w:r>
      <w:r w:rsidRPr="003F4BC8">
        <w:rPr>
          <w:rFonts w:ascii="Times New Roman" w:hAnsi="Times New Roman" w:cs="Times New Roman"/>
        </w:rPr>
        <w:t>individuals have multiple competing issues and that public is ill-formed because of complex social life (Key 1961; 1966; Page and Shapiro 1992/2010; Erikson, MacKuen and Stimson 2002). Scholars in the revisionist tradition believe that the public is mostly rational and reasonable when forming views on the political issues that are salient to them (Dewey 1927) Key 1961; 1966; Page and Shapiro 1992/2010; Erikson, MacKuen and Stimson 2002). The research conducted by Page and Shapiro (1992/2010) demonstrates that despite fluctuations of opinions of individuals, collectively public opinion is coherent and stable. This stability represents public’s shared value systems and its sensitivity to major events (Page and Shapiro 1992/2010). Page and Shapiro (2010) demonstrate that public opinion is subject to manipulation when government control of information is great. This is an alarming factor for the sustainability of democracy:</w:t>
      </w:r>
      <w:r w:rsidRPr="003F4BC8">
        <w:rPr>
          <w:rFonts w:ascii="Times New Roman" w:eastAsia="Times New Roman" w:hAnsi="Times New Roman" w:cs="Times New Roman"/>
          <w:color w:val="222222"/>
          <w:shd w:val="clear" w:color="auto" w:fill="FFFFFF"/>
        </w:rPr>
        <w:t xml:space="preserve"> w</w:t>
      </w:r>
      <w:r w:rsidRPr="003F4BC8">
        <w:rPr>
          <w:rFonts w:ascii="Times New Roman" w:hAnsi="Times New Roman" w:cs="Times New Roman"/>
        </w:rPr>
        <w:t xml:space="preserve">hile the role of public opinion is important in formulating policy decisions, it is as important to have well informed public opinion which formulated freely and independently. </w:t>
      </w:r>
    </w:p>
    <w:p w:rsidR="00B52DD2" w:rsidRPr="003F4BC8" w:rsidRDefault="00B52DD2" w:rsidP="00B52DD2">
      <w:pPr>
        <w:spacing w:line="480" w:lineRule="auto"/>
        <w:ind w:firstLine="720"/>
        <w:jc w:val="both"/>
        <w:rPr>
          <w:rFonts w:ascii="Times New Roman" w:eastAsia="Times New Roman" w:hAnsi="Times New Roman" w:cs="Times New Roman"/>
          <w:color w:val="222222"/>
          <w:shd w:val="clear" w:color="auto" w:fill="FFFFFF"/>
        </w:rPr>
      </w:pPr>
      <w:r w:rsidRPr="003F4BC8">
        <w:rPr>
          <w:rFonts w:ascii="Times New Roman" w:hAnsi="Times New Roman" w:cs="Times New Roman"/>
        </w:rPr>
        <w:t>Key (1961) considered that public opinion is especially necessary for determining broad policy directions, rather than day-to-day pragmatic solutions for detailed aspects of policies. Key (1961, p. 81) claimed that “… policy decisions by legislatures and by other authorities exercising broad discretion are made under such circumstances when extremely small proportions of the general public have any awareness of the particular issues, much less any understanding of the consequences of the decision.”</w:t>
      </w:r>
    </w:p>
    <w:p w:rsidR="00B52DD2"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 xml:space="preserve">Peters (1995) claims that there is a tension at the core of the discussions of public opinion. Although “…public opinion claims to be the voice of the people, a clear and direct utterance from the citizenry…” for the legitimacy of government, it is still unclear in what institutional means and </w:t>
      </w:r>
      <w:r w:rsidRPr="003F4BC8">
        <w:rPr>
          <w:rFonts w:ascii="Times New Roman" w:hAnsi="Times New Roman" w:cs="Times New Roman"/>
        </w:rPr>
        <w:lastRenderedPageBreak/>
        <w:t>capacities can people do so (Peters 1995, p. 3). Elections are one of the major institutional fora of expressing public opinion. Voter turnout and high political participations are indicators for a healthy democracy. Research in Political Science demonstrates the effect of individuals’ various socio-economic conditions and demographic variables on their level of political participation (Zukin et al. 2006).</w:t>
      </w:r>
    </w:p>
    <w:p w:rsidR="00B52DD2" w:rsidRPr="003F4BC8" w:rsidRDefault="00B52DD2" w:rsidP="00B52DD2">
      <w:pPr>
        <w:spacing w:line="480" w:lineRule="auto"/>
        <w:ind w:firstLine="720"/>
        <w:jc w:val="both"/>
        <w:rPr>
          <w:rFonts w:ascii="Times New Roman" w:hAnsi="Times New Roman" w:cs="Times New Roman"/>
        </w:rPr>
      </w:pPr>
    </w:p>
    <w:p w:rsidR="00B52DD2" w:rsidRPr="003F4BC8" w:rsidRDefault="00B52DD2" w:rsidP="00B52DD2">
      <w:pPr>
        <w:spacing w:line="480" w:lineRule="auto"/>
        <w:rPr>
          <w:rFonts w:ascii="Times New Roman" w:hAnsi="Times New Roman" w:cs="Times New Roman"/>
          <w:b/>
          <w:bCs/>
        </w:rPr>
      </w:pPr>
      <w:r w:rsidRPr="003F4BC8">
        <w:rPr>
          <w:rFonts w:ascii="Times New Roman" w:hAnsi="Times New Roman" w:cs="Times New Roman"/>
          <w:b/>
          <w:bCs/>
        </w:rPr>
        <w:t>Political Polarization as a Threat to Democracy</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Political parties play vital role in translating public preferences to public policies (</w:t>
      </w:r>
      <w:r w:rsidRPr="003F4BC8">
        <w:rPr>
          <w:rFonts w:ascii="Times New Roman" w:eastAsia="Times New Roman" w:hAnsi="Times New Roman" w:cs="Times New Roman"/>
          <w:color w:val="222222"/>
          <w:shd w:val="clear" w:color="auto" w:fill="FFFFFF"/>
        </w:rPr>
        <w:t>Eldersveld and Walton 1982). </w:t>
      </w:r>
      <w:r w:rsidRPr="003F4BC8">
        <w:rPr>
          <w:rFonts w:ascii="Times New Roman" w:hAnsi="Times New Roman" w:cs="Times New Roman"/>
        </w:rPr>
        <w:t>On the one hand, they provide keys to voters for options to choose, on the other hand, they assist elected officials in preparing policy options that would be appealing for their constituency (</w:t>
      </w:r>
      <w:r w:rsidRPr="003F4BC8">
        <w:rPr>
          <w:rFonts w:ascii="Times New Roman" w:eastAsia="Times New Roman" w:hAnsi="Times New Roman" w:cs="Times New Roman"/>
          <w:color w:val="222222"/>
          <w:shd w:val="clear" w:color="auto" w:fill="FFFFFF"/>
        </w:rPr>
        <w:t>Green and Coffey 2010</w:t>
      </w:r>
      <w:r w:rsidRPr="003F4BC8">
        <w:rPr>
          <w:rFonts w:ascii="Times New Roman" w:hAnsi="Times New Roman" w:cs="Times New Roman"/>
        </w:rPr>
        <w:t xml:space="preserve">). On macro-political level, the organization of political parties in ranks and seniority creates structurally induced equilibria to avoid incoherent political outcomes when necessary (Aldrich 1995). Scholars have found that American public opinion is strongly related to partisanship and polarized attitudes enhanced by communications from elites on a wide range of issues (Abramowitz and Saunders 2008, </w:t>
      </w:r>
      <w:r w:rsidRPr="003F4BC8">
        <w:rPr>
          <w:rFonts w:ascii="Times New Roman" w:eastAsia="Times New Roman" w:hAnsi="Times New Roman" w:cs="Times New Roman"/>
          <w:color w:val="222222"/>
          <w:shd w:val="clear" w:color="auto" w:fill="FFFFFF"/>
        </w:rPr>
        <w:t xml:space="preserve">Baldassarri and Gelman 2008; </w:t>
      </w:r>
      <w:r w:rsidRPr="003F4BC8">
        <w:rPr>
          <w:rFonts w:ascii="Times New Roman" w:hAnsi="Times New Roman" w:cs="Times New Roman"/>
        </w:rPr>
        <w:t xml:space="preserve">DiMaggio et al. 1996; Levendusky 2009). </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 xml:space="preserve">Rising elite polarization has been at the center of the study of political scientists for decades. Scholars argue that political parties and politicians have become more likely to take extreme ideological positions on certain number of policy issue areas (McCarty, Poole, and Rosenthal 2006). In addition, polarization of political parties and political elites results mass polarization on a broad set of political issues (McCarty, Poole, and Rosenthal 2006; Taber and Lodge 2006). This public polarization driven from elites, limits individuals’ preferences and is seen as a threat to democracy (Baldassarri and Gelman 2008; Levendusky and Pope 2011). </w:t>
      </w:r>
      <w:r w:rsidRPr="003F4BC8">
        <w:rPr>
          <w:rFonts w:ascii="Times New Roman" w:hAnsi="Times New Roman" w:cs="Times New Roman"/>
        </w:rPr>
        <w:lastRenderedPageBreak/>
        <w:t>Baldassarri and Gelman (2008, p. 409) claim that polarization “induces alignment along multiple lines of potential conflict and organizes individuals and groups around exclusive identities, thus crystallizing interests into opposite factions.” They found that among general public those individuals who identify with a political party or ideology are more likely to be politically polarized than those who do not (Baldassarri and Gelman 2008). In addition, they found increased partisanship of the general public compared with previous years, which in its turn implied increased polarization among public (Baldassarri and Gelman 2008).</w:t>
      </w:r>
    </w:p>
    <w:p w:rsidR="00B52DD2" w:rsidRPr="003F4BC8" w:rsidRDefault="00B52DD2" w:rsidP="00B52DD2">
      <w:pPr>
        <w:spacing w:line="480" w:lineRule="auto"/>
        <w:ind w:firstLine="720"/>
        <w:jc w:val="both"/>
        <w:rPr>
          <w:rFonts w:ascii="Times New Roman" w:eastAsia="Times New Roman" w:hAnsi="Times New Roman" w:cs="Times New Roman"/>
        </w:rPr>
      </w:pPr>
      <w:r w:rsidRPr="003F4BC8">
        <w:rPr>
          <w:rFonts w:ascii="Times New Roman" w:hAnsi="Times New Roman" w:cs="Times New Roman"/>
        </w:rPr>
        <w:t xml:space="preserve">However, not all scholars agree that American public is polarized. </w:t>
      </w:r>
      <w:r w:rsidRPr="003F4BC8">
        <w:rPr>
          <w:rFonts w:ascii="Times New Roman" w:eastAsia="Times New Roman" w:hAnsi="Times New Roman" w:cs="Times New Roman"/>
          <w:color w:val="222222"/>
          <w:shd w:val="clear" w:color="auto" w:fill="FFFFFF"/>
        </w:rPr>
        <w:t>Fiorina and Abrams (2008) found evidence for “party sorting” or increased partisan polarization, nonetheless they do not agree with the conception that there is wide geographic polarization among voters. Fiorina, Abrams, and Pope (2006, p. 2) claim that “culture war” is a myth by referring to sociologist James</w:t>
      </w:r>
      <w:r w:rsidRPr="003F4BC8">
        <w:rPr>
          <w:rFonts w:ascii="Times New Roman" w:eastAsia="Times New Roman" w:hAnsi="Times New Roman" w:cs="Times New Roman"/>
          <w:color w:val="333333"/>
          <w:shd w:val="clear" w:color="auto" w:fill="FFFFFF"/>
        </w:rPr>
        <w:t xml:space="preserve"> Davison Hunter’s 1992 book, titled Culture Wars, denoting differences between “orthodox” and “progressive” Americans. They conclude that American’s policy positions on certain contentious issues are not polarized, instead their choices are polarized (</w:t>
      </w:r>
      <w:r w:rsidRPr="003F4BC8">
        <w:rPr>
          <w:rFonts w:ascii="Times New Roman" w:eastAsia="Times New Roman" w:hAnsi="Times New Roman" w:cs="Times New Roman"/>
          <w:color w:val="222222"/>
          <w:shd w:val="clear" w:color="auto" w:fill="FFFFFF"/>
        </w:rPr>
        <w:t xml:space="preserve">Fiorina, Abrams, and Pope 2006). This partisan polarization creates a shadow of popular polarization which is just an impression and not a reality </w:t>
      </w:r>
      <w:r w:rsidRPr="003F4BC8">
        <w:rPr>
          <w:rFonts w:ascii="Times New Roman" w:eastAsia="Times New Roman" w:hAnsi="Times New Roman" w:cs="Times New Roman"/>
          <w:color w:val="333333"/>
          <w:shd w:val="clear" w:color="auto" w:fill="FFFFFF"/>
        </w:rPr>
        <w:t>(</w:t>
      </w:r>
      <w:r w:rsidRPr="003F4BC8">
        <w:rPr>
          <w:rFonts w:ascii="Times New Roman" w:eastAsia="Times New Roman" w:hAnsi="Times New Roman" w:cs="Times New Roman"/>
          <w:color w:val="222222"/>
          <w:shd w:val="clear" w:color="auto" w:fill="FFFFFF"/>
        </w:rPr>
        <w:t xml:space="preserve">Fiorina, Abrams, and Pope 2006). Red state versus blue state generalization seems to be overstated (Fiorina, Abrams, and Pope 2006; </w:t>
      </w:r>
      <w:r w:rsidRPr="003F4BC8">
        <w:rPr>
          <w:rFonts w:ascii="Times New Roman" w:hAnsi="Times New Roman" w:cs="Times New Roman"/>
        </w:rPr>
        <w:t>Levendusky</w:t>
      </w:r>
      <w:r w:rsidRPr="003F4BC8">
        <w:rPr>
          <w:rFonts w:ascii="Times New Roman" w:eastAsia="Times New Roman" w:hAnsi="Times New Roman" w:cs="Times New Roman"/>
          <w:color w:val="222222"/>
          <w:shd w:val="clear" w:color="auto" w:fill="FFFFFF"/>
        </w:rPr>
        <w:t xml:space="preserve"> and Pope 2011). These findings confirm an earlier study </w:t>
      </w:r>
      <w:r w:rsidRPr="003F4BC8">
        <w:rPr>
          <w:rFonts w:ascii="Times New Roman" w:eastAsia="Times New Roman" w:hAnsi="Times New Roman" w:cs="Times New Roman"/>
        </w:rPr>
        <w:t xml:space="preserve">(1998) </w:t>
      </w:r>
      <w:r w:rsidRPr="003F4BC8">
        <w:rPr>
          <w:rFonts w:ascii="Times New Roman" w:eastAsia="Times New Roman" w:hAnsi="Times New Roman" w:cs="Times New Roman"/>
          <w:color w:val="222222"/>
          <w:shd w:val="clear" w:color="auto" w:fill="FFFFFF"/>
        </w:rPr>
        <w:t xml:space="preserve">by </w:t>
      </w:r>
      <w:r w:rsidRPr="003F4BC8">
        <w:rPr>
          <w:rFonts w:ascii="Times New Roman" w:eastAsia="Times New Roman" w:hAnsi="Times New Roman" w:cs="Times New Roman"/>
        </w:rPr>
        <w:t>Alan Wolf, titled One Nation After All, which was criticized for its sample of 200 suburban Americans.</w:t>
      </w:r>
      <w:r w:rsidRPr="003F4BC8">
        <w:rPr>
          <w:rFonts w:ascii="Times New Roman" w:eastAsia="Times New Roman" w:hAnsi="Times New Roman" w:cs="Times New Roman"/>
          <w:color w:val="222222"/>
          <w:shd w:val="clear" w:color="auto" w:fill="FFFFFF"/>
        </w:rPr>
        <w:t xml:space="preserve"> However, </w:t>
      </w:r>
      <w:r w:rsidRPr="003F4BC8">
        <w:rPr>
          <w:rFonts w:ascii="Times New Roman" w:eastAsia="Times New Roman" w:hAnsi="Times New Roman" w:cs="Times New Roman"/>
        </w:rPr>
        <w:t xml:space="preserve">Fiorina et al. (2006) have surveyed tens of thousands of Americans all over the country. In addition, the picture of a largely centrist population even on abortion and religious issues that they demonstrate is in line with Anthony Downs (1957) Economic Theory of Democracy. Downs (1957) demonstrated that in a two-party system party ideologies are loosely integrated to attract more votes, which results in voters that strive towards </w:t>
      </w:r>
      <w:r w:rsidRPr="003F4BC8">
        <w:rPr>
          <w:rFonts w:ascii="Times New Roman" w:eastAsia="Times New Roman" w:hAnsi="Times New Roman" w:cs="Times New Roman"/>
        </w:rPr>
        <w:lastRenderedPageBreak/>
        <w:t xml:space="preserve">the center or the mid-point of the ideological spectrum. In a later work titled </w:t>
      </w:r>
      <w:r w:rsidRPr="003F4BC8">
        <w:rPr>
          <w:rFonts w:ascii="Times New Roman" w:eastAsia="Times New Roman" w:hAnsi="Times New Roman" w:cs="Times New Roman"/>
          <w:color w:val="222222"/>
          <w:shd w:val="clear" w:color="auto" w:fill="FFFFFF"/>
        </w:rPr>
        <w:t>Disconnect: The breakdown of representation in American politics, Fiorina and Abrams (2012) demonstrate the divide between polarized political elites and their moderate voters. They claim that because of this disconnect these officials do not represent the people that they are supposed to represent (Fiorina and Abrams 2012).</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The divide among scholars about the issue of political polarization and its extension to public opinion in general has dominated political science literature for decades. Some scholars have demonstrated that public opinion in USA has remained stable in general or has become more moderate on number of issues (Baldassarri and Gelman 2008). At the same time, strong polarization is assumed to be present on certain heated policy areas, like abortion, and sexual morality (DiMaggio, Evans, and Bryson 1996; Evans 2003; Shapiro and Bloch-Elkon 2006). For instance, research in anthropogenic climate change beliefs shows that on average in the long run individuals’ beliefs in climate change are stable with significant partisan and ideological polarization (</w:t>
      </w:r>
      <w:r w:rsidRPr="003F4BC8">
        <w:rPr>
          <w:rFonts w:ascii="Times New Roman" w:eastAsia="Times New Roman" w:hAnsi="Times New Roman" w:cs="Times New Roman"/>
          <w:color w:val="222222"/>
          <w:shd w:val="clear" w:color="auto" w:fill="FFFFFF"/>
        </w:rPr>
        <w:t>Dunlap et al. 2001; Egan and Mullin 2017; McCright and Dunlap 2011</w:t>
      </w:r>
      <w:r w:rsidRPr="003F4BC8">
        <w:rPr>
          <w:rFonts w:ascii="Times New Roman" w:hAnsi="Times New Roman" w:cs="Times New Roman"/>
        </w:rPr>
        <w:t>).</w:t>
      </w:r>
    </w:p>
    <w:p w:rsidR="00B52DD2"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Thus, some scholars consider that political polarization means opinion and belief differences on broad set of issues and therefore argue that American public opinion is not polarized (DiMaggio et al. 1996; Fiorina et al. 2006). Others believe that because there are broad ideological and partisan differences American public opinion is polarized even though noticeable divergence of opinions are on specific issues (</w:t>
      </w:r>
      <w:r w:rsidRPr="003F4BC8">
        <w:rPr>
          <w:rFonts w:ascii="Times New Roman" w:eastAsia="Times New Roman" w:hAnsi="Times New Roman" w:cs="Times New Roman"/>
          <w:color w:val="222222"/>
          <w:shd w:val="clear" w:color="auto" w:fill="FFFFFF"/>
        </w:rPr>
        <w:t xml:space="preserve">Abramowitz and Saunders 2008; Kohut et al. 2000; Mayer 2004). What matters for this dissertation is whether increased partisanship would affect public preferences for individuals’ SNF citing policy options. As questioned by Fiorina et al. (2005), would increased partisanship be due to higher ideological coherence? By looking at the role of political ideology in public preferences for individuals’ SNF citing policy options, I will explore </w:t>
      </w:r>
      <w:r w:rsidRPr="003F4BC8">
        <w:rPr>
          <w:rFonts w:ascii="Times New Roman" w:eastAsia="Times New Roman" w:hAnsi="Times New Roman" w:cs="Times New Roman"/>
          <w:color w:val="222222"/>
          <w:shd w:val="clear" w:color="auto" w:fill="FFFFFF"/>
        </w:rPr>
        <w:lastRenderedPageBreak/>
        <w:t xml:space="preserve">whether partisanship and political ideology have the same effect in public preferences for these policy options or partisanship is the main driving force for individuals’ SNF citing policy preferences. </w:t>
      </w:r>
      <w:r w:rsidRPr="003F4BC8">
        <w:rPr>
          <w:rFonts w:ascii="Times New Roman" w:hAnsi="Times New Roman" w:cs="Times New Roman"/>
        </w:rPr>
        <w:t>In SNF citing policy dispute we see a collision between uniquely “local” concerns – those that induce NIMBY responses – and belief system (or polarized partisan/ideology) based concerns. In this dissertation, I will investigate whether the localized nature of the issue (siting a nuclear waste repository) induces a different set of connections within belief systems than do other kinds of issues (e.g., taxation or abortion). I am curious to see whether political beliefs still matter in these location-based policy disputes.</w:t>
      </w:r>
    </w:p>
    <w:p w:rsidR="00B52DD2" w:rsidRPr="003F4BC8" w:rsidRDefault="00B52DD2" w:rsidP="00B52DD2">
      <w:pPr>
        <w:spacing w:line="480" w:lineRule="auto"/>
        <w:ind w:firstLine="720"/>
        <w:jc w:val="both"/>
        <w:rPr>
          <w:rFonts w:ascii="Times New Roman" w:hAnsi="Times New Roman" w:cs="Times New Roman"/>
        </w:rPr>
      </w:pPr>
    </w:p>
    <w:p w:rsidR="00B52DD2" w:rsidRPr="003F4BC8" w:rsidRDefault="00B52DD2" w:rsidP="00B52DD2">
      <w:pPr>
        <w:spacing w:line="480" w:lineRule="auto"/>
        <w:rPr>
          <w:rFonts w:ascii="Times New Roman" w:hAnsi="Times New Roman" w:cs="Times New Roman"/>
          <w:b/>
          <w:bCs/>
        </w:rPr>
      </w:pPr>
      <w:r w:rsidRPr="003F4BC8">
        <w:rPr>
          <w:rFonts w:ascii="Times New Roman" w:hAnsi="Times New Roman" w:cs="Times New Roman"/>
          <w:b/>
          <w:bCs/>
        </w:rPr>
        <w:t xml:space="preserve">Public Opinion and Public Policy Preferences </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Public opinion polls are a common way of collecting information about public preferences on certain policies. While public opinion polls provide policymakers with broad measures of public sentiments about certain policy issues, they are not always taken into account. One of the central questions of democratic theory is “whether policy outputs are related to public preferences” (</w:t>
      </w:r>
      <w:r w:rsidRPr="003F4BC8">
        <w:rPr>
          <w:rFonts w:ascii="Times New Roman" w:eastAsia="Times New Roman" w:hAnsi="Times New Roman" w:cs="Times New Roman"/>
          <w:color w:val="222222"/>
          <w:shd w:val="clear" w:color="auto" w:fill="FFFFFF"/>
        </w:rPr>
        <w:t xml:space="preserve">Hakhverdian 2010, p. 835). </w:t>
      </w:r>
      <w:r w:rsidRPr="003F4BC8">
        <w:rPr>
          <w:rFonts w:ascii="Times New Roman" w:hAnsi="Times New Roman" w:cs="Times New Roman"/>
        </w:rPr>
        <w:t xml:space="preserve">Soroka and Wleizen (2010, p. 10) introduce the concepts of “public responsiveness” and “policy representation” as essential features of sustainable democracy. From the aspect of public responsiveness they are interested to see the extent to which public preferences are informed and responsive to public policy changes (Soroka and Wleizen 2010). The question they ask for public responsiveness aspect is whether public is informed enough to express if they would prefer more or less of a certain policy on daily basis. Whereas by policy representation they are interested in the extent public opinion is reflected in actual policy. Referring to Hannah Pitkin’s (1967) work, titled </w:t>
      </w:r>
      <w:r w:rsidRPr="003F4BC8">
        <w:rPr>
          <w:rFonts w:ascii="Times New Roman" w:eastAsia="Times New Roman" w:hAnsi="Times New Roman" w:cs="Times New Roman"/>
          <w:color w:val="222222"/>
          <w:shd w:val="clear" w:color="auto" w:fill="FFFFFF"/>
        </w:rPr>
        <w:t xml:space="preserve">The Concept of Representation, </w:t>
      </w:r>
      <w:r w:rsidRPr="003F4BC8">
        <w:rPr>
          <w:rFonts w:ascii="Times New Roman" w:hAnsi="Times New Roman" w:cs="Times New Roman"/>
        </w:rPr>
        <w:t xml:space="preserve">Soroka and Wleizen (2010) are concerned whether public policy-making represents aggregated preferences of the general public. It is also in </w:t>
      </w:r>
      <w:r w:rsidRPr="003F4BC8">
        <w:rPr>
          <w:rFonts w:ascii="Times New Roman" w:hAnsi="Times New Roman" w:cs="Times New Roman"/>
        </w:rPr>
        <w:lastRenderedPageBreak/>
        <w:t>line with the literature on whether government partisanship has an effect on policy outcomes (Schmidt 1996). By testing their “thermostatic” model of public opinion, Soroka and Wlezien (2010) find that  public responsiveness is high in important policy domains and among substantial segment of public. Characteristics of issue salience, political institutions and the level of federalism are influencing the level of policy representation. Overall, they find that public in general does have an impact on “degrees” of democracy in a given country.</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The role of public opinion in public policy preferences and eventually in policy outputs is well depicted in Figure 2-1 that demonstrates the “Systems Approach” of classical Political Science literature (Deutsch 1966; Easton 1965; Wiseman 1966).</w:t>
      </w:r>
      <w:r w:rsidRPr="003F4BC8">
        <w:rPr>
          <w:rStyle w:val="FootnoteReference"/>
          <w:rFonts w:ascii="Times New Roman" w:hAnsi="Times New Roman" w:cs="Times New Roman"/>
        </w:rPr>
        <w:footnoteReference w:id="2"/>
      </w:r>
      <w:r w:rsidRPr="003F4BC8">
        <w:rPr>
          <w:rFonts w:ascii="Times New Roman" w:hAnsi="Times New Roman" w:cs="Times New Roman"/>
        </w:rPr>
        <w:t xml:space="preserve"> The inputs in the form of preferences of citizens are transformed into outputs reflected in public policies. The system can be self-maintaining in the sense that outputs go back and get converted into inputs with the feedback loop that monitors the systems and stimulates further inputs into the system. In an ideal representative democracy, this dynamic policy system can determine the efficiency of the overall political system (Soroka and Wleizen 2010).</w:t>
      </w:r>
    </w:p>
    <w:p w:rsidR="00B52DD2" w:rsidRPr="003F4BC8" w:rsidRDefault="00B52DD2" w:rsidP="00B52DD2">
      <w:pPr>
        <w:spacing w:line="480" w:lineRule="auto"/>
        <w:ind w:firstLine="720"/>
        <w:jc w:val="center"/>
        <w:rPr>
          <w:rFonts w:ascii="Times New Roman" w:hAnsi="Times New Roman" w:cs="Times New Roman"/>
        </w:rPr>
      </w:pPr>
      <w:r w:rsidRPr="003F4BC8">
        <w:rPr>
          <w:rFonts w:ascii="Times New Roman" w:hAnsi="Times New Roman" w:cs="Times New Roman"/>
          <w:noProof/>
        </w:rPr>
        <w:lastRenderedPageBreak/>
        <w:drawing>
          <wp:anchor distT="0" distB="0" distL="114300" distR="114300" simplePos="0" relativeHeight="251659264" behindDoc="0" locked="0" layoutInCell="1" allowOverlap="1" wp14:anchorId="03F67840" wp14:editId="216FD158">
            <wp:simplePos x="0" y="0"/>
            <wp:positionH relativeFrom="margin">
              <wp:posOffset>-82550</wp:posOffset>
            </wp:positionH>
            <wp:positionV relativeFrom="paragraph">
              <wp:posOffset>468884</wp:posOffset>
            </wp:positionV>
            <wp:extent cx="5942330" cy="3981450"/>
            <wp:effectExtent l="0" t="0" r="1270"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2.pdf"/>
                    <pic:cNvPicPr/>
                  </pic:nvPicPr>
                  <pic:blipFill rotWithShape="1">
                    <a:blip r:embed="rId10">
                      <a:extLst>
                        <a:ext uri="{28A0092B-C50C-407E-A947-70E740481C1C}">
                          <a14:useLocalDpi xmlns:a14="http://schemas.microsoft.com/office/drawing/2010/main" val="0"/>
                        </a:ext>
                      </a:extLst>
                    </a:blip>
                    <a:srcRect l="12255" t="9261" r="18294" b="54766"/>
                    <a:stretch/>
                  </pic:blipFill>
                  <pic:spPr bwMode="auto">
                    <a:xfrm>
                      <a:off x="0" y="0"/>
                      <a:ext cx="5942330" cy="3981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F4BC8">
        <w:rPr>
          <w:rFonts w:ascii="Times New Roman" w:hAnsi="Times New Roman" w:cs="Times New Roman"/>
          <w:b/>
          <w:bCs/>
        </w:rPr>
        <w:t>Figure 2-1.</w:t>
      </w:r>
      <w:r w:rsidRPr="003F4BC8">
        <w:rPr>
          <w:rFonts w:ascii="Times New Roman" w:hAnsi="Times New Roman" w:cs="Times New Roman"/>
        </w:rPr>
        <w:t xml:space="preserve"> The U.S. Political Environment According to Systems Approach</w:t>
      </w:r>
    </w:p>
    <w:p w:rsidR="00B52DD2" w:rsidRDefault="00B52DD2" w:rsidP="00B52DD2">
      <w:pPr>
        <w:spacing w:line="480" w:lineRule="auto"/>
        <w:ind w:firstLine="720"/>
        <w:jc w:val="both"/>
        <w:rPr>
          <w:rFonts w:ascii="Times New Roman" w:hAnsi="Times New Roman" w:cs="Times New Roman"/>
        </w:rPr>
      </w:pP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In addition to this, Figure 2-2 demonstrates that voters/citizens, who are the subject of the study in this dissertation are one of four “extra-governmental” entities that play a decisive role in “inter-governmental” policy making process in USA (</w:t>
      </w:r>
      <w:r w:rsidRPr="003F4BC8">
        <w:rPr>
          <w:rFonts w:ascii="Times New Roman" w:eastAsia="Times New Roman" w:hAnsi="Times New Roman" w:cs="Times New Roman"/>
          <w:color w:val="222222"/>
          <w:shd w:val="clear" w:color="auto" w:fill="FFFFFF"/>
        </w:rPr>
        <w:t>Cairney 2012</w:t>
      </w:r>
      <w:r w:rsidRPr="003F4BC8">
        <w:rPr>
          <w:rFonts w:ascii="Times New Roman" w:hAnsi="Times New Roman" w:cs="Times New Roman"/>
        </w:rPr>
        <w:t>).</w:t>
      </w:r>
      <w:r w:rsidRPr="003F4BC8">
        <w:rPr>
          <w:rStyle w:val="FootnoteReference"/>
          <w:rFonts w:ascii="Times New Roman" w:hAnsi="Times New Roman" w:cs="Times New Roman"/>
        </w:rPr>
        <w:footnoteReference w:id="3"/>
      </w:r>
    </w:p>
    <w:p w:rsidR="00B52DD2" w:rsidRDefault="00B52DD2" w:rsidP="00B52DD2">
      <w:pPr>
        <w:spacing w:line="480" w:lineRule="auto"/>
        <w:jc w:val="center"/>
        <w:rPr>
          <w:rFonts w:ascii="Times New Roman" w:hAnsi="Times New Roman" w:cs="Times New Roman"/>
          <w:b/>
          <w:bCs/>
        </w:rPr>
      </w:pPr>
    </w:p>
    <w:p w:rsidR="00B52DD2" w:rsidRDefault="00B52DD2" w:rsidP="00B52DD2">
      <w:pPr>
        <w:spacing w:line="480" w:lineRule="auto"/>
        <w:jc w:val="center"/>
        <w:rPr>
          <w:rFonts w:ascii="Times New Roman" w:hAnsi="Times New Roman" w:cs="Times New Roman"/>
          <w:b/>
          <w:bCs/>
        </w:rPr>
      </w:pPr>
    </w:p>
    <w:p w:rsidR="00B52DD2" w:rsidRDefault="00B52DD2" w:rsidP="00B52DD2">
      <w:pPr>
        <w:spacing w:line="480" w:lineRule="auto"/>
        <w:jc w:val="center"/>
        <w:rPr>
          <w:rFonts w:ascii="Times New Roman" w:hAnsi="Times New Roman" w:cs="Times New Roman"/>
          <w:b/>
          <w:bCs/>
        </w:rPr>
      </w:pPr>
    </w:p>
    <w:p w:rsidR="00B52DD2" w:rsidRDefault="00B52DD2" w:rsidP="00B52DD2">
      <w:pPr>
        <w:spacing w:line="480" w:lineRule="auto"/>
        <w:jc w:val="center"/>
        <w:rPr>
          <w:rFonts w:ascii="Times New Roman" w:hAnsi="Times New Roman" w:cs="Times New Roman"/>
          <w:b/>
          <w:bCs/>
        </w:rPr>
      </w:pPr>
    </w:p>
    <w:p w:rsidR="00B52DD2" w:rsidRPr="003F4BC8" w:rsidRDefault="00B52DD2" w:rsidP="00B52DD2">
      <w:pPr>
        <w:spacing w:line="480" w:lineRule="auto"/>
        <w:jc w:val="center"/>
        <w:rPr>
          <w:rFonts w:ascii="Times New Roman" w:hAnsi="Times New Roman" w:cs="Times New Roman"/>
        </w:rPr>
      </w:pPr>
      <w:r w:rsidRPr="003F4BC8">
        <w:rPr>
          <w:rFonts w:ascii="Times New Roman" w:hAnsi="Times New Roman" w:cs="Times New Roman"/>
          <w:b/>
          <w:bCs/>
        </w:rPr>
        <w:lastRenderedPageBreak/>
        <w:t>Figure 2-2.</w:t>
      </w:r>
      <w:r w:rsidRPr="003F4BC8">
        <w:rPr>
          <w:rFonts w:ascii="Times New Roman" w:hAnsi="Times New Roman" w:cs="Times New Roman"/>
        </w:rPr>
        <w:t xml:space="preserve"> The Policy Making Milieu</w:t>
      </w:r>
    </w:p>
    <w:p w:rsidR="00B52DD2" w:rsidRPr="003F4BC8" w:rsidRDefault="00B52DD2" w:rsidP="00B52DD2">
      <w:pPr>
        <w:spacing w:line="480" w:lineRule="auto"/>
        <w:jc w:val="center"/>
        <w:rPr>
          <w:rFonts w:ascii="Times New Roman" w:hAnsi="Times New Roman" w:cs="Times New Roman"/>
        </w:rPr>
      </w:pPr>
      <w:r w:rsidRPr="003F4BC8">
        <w:rPr>
          <w:rFonts w:ascii="Times New Roman" w:hAnsi="Times New Roman" w:cs="Times New Roman"/>
          <w:noProof/>
        </w:rPr>
        <w:drawing>
          <wp:inline distT="0" distB="0" distL="0" distR="0" wp14:anchorId="59BEE93F" wp14:editId="0C06EC48">
            <wp:extent cx="3021808" cy="5318841"/>
            <wp:effectExtent l="0" t="5715" r="0" b="0"/>
            <wp:docPr id="3" name="Picture 3" descr="A close up of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licyMilleu.jpg"/>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3026558" cy="5327201"/>
                    </a:xfrm>
                    <a:prstGeom prst="rect">
                      <a:avLst/>
                    </a:prstGeom>
                  </pic:spPr>
                </pic:pic>
              </a:graphicData>
            </a:graphic>
          </wp:inline>
        </w:drawing>
      </w:r>
    </w:p>
    <w:p w:rsidR="00B52DD2" w:rsidRPr="003F4BC8" w:rsidRDefault="00B52DD2" w:rsidP="00B52DD2">
      <w:pPr>
        <w:spacing w:line="480" w:lineRule="auto"/>
        <w:rPr>
          <w:rFonts w:ascii="Times New Roman" w:hAnsi="Times New Roman" w:cs="Times New Roman"/>
          <w:b/>
          <w:bCs/>
        </w:rPr>
      </w:pPr>
    </w:p>
    <w:p w:rsidR="00B52DD2" w:rsidRPr="003F4BC8" w:rsidRDefault="00B52DD2" w:rsidP="00B52DD2">
      <w:pPr>
        <w:spacing w:line="480" w:lineRule="auto"/>
        <w:rPr>
          <w:rFonts w:ascii="Times New Roman" w:hAnsi="Times New Roman" w:cs="Times New Roman"/>
          <w:b/>
          <w:bCs/>
        </w:rPr>
      </w:pPr>
      <w:r w:rsidRPr="003F4BC8">
        <w:rPr>
          <w:rFonts w:ascii="Times New Roman" w:hAnsi="Times New Roman" w:cs="Times New Roman"/>
          <w:b/>
          <w:bCs/>
        </w:rPr>
        <w:t>NIMBY and LULU Sentiments in Public Policy Preferences</w:t>
      </w:r>
    </w:p>
    <w:p w:rsidR="00B52DD2" w:rsidRPr="003F4BC8" w:rsidRDefault="00B52DD2" w:rsidP="00B52DD2">
      <w:pPr>
        <w:spacing w:line="480" w:lineRule="auto"/>
        <w:ind w:firstLine="360"/>
        <w:jc w:val="both"/>
        <w:rPr>
          <w:rFonts w:ascii="Times New Roman" w:hAnsi="Times New Roman" w:cs="Times New Roman"/>
        </w:rPr>
      </w:pPr>
      <w:r w:rsidRPr="003F4BC8">
        <w:rPr>
          <w:rFonts w:ascii="Times New Roman" w:hAnsi="Times New Roman" w:cs="Times New Roman"/>
        </w:rPr>
        <w:t>NIMBYism (“Not-in-my-backyard”) goes side by side with LULU (“locally-unwanted-land-use”) attitudes among residents closest to “…municipal landfills, electricity generating facilities, solid waste transfer stations, airports, sewage plants, highways, maximum security prisons, drug halfway houses, housing projects, hospices for people with AIDS, garbage incinerators…” and other facilities that can raise health, safety and environmental concern among local communities (Greenberg 1993, p. 2).</w:t>
      </w:r>
    </w:p>
    <w:p w:rsidR="00B52DD2" w:rsidRPr="003F4BC8" w:rsidRDefault="00B52DD2" w:rsidP="00B52DD2">
      <w:pPr>
        <w:spacing w:line="480" w:lineRule="auto"/>
        <w:ind w:firstLine="360"/>
        <w:jc w:val="both"/>
        <w:rPr>
          <w:rFonts w:ascii="Times New Roman" w:eastAsia="Times New Roman" w:hAnsi="Times New Roman" w:cs="Times New Roman"/>
          <w:color w:val="1C1D1E"/>
          <w:shd w:val="clear" w:color="auto" w:fill="FFFFFF"/>
        </w:rPr>
      </w:pPr>
      <w:r w:rsidRPr="003F4BC8">
        <w:rPr>
          <w:rFonts w:ascii="Times New Roman" w:hAnsi="Times New Roman" w:cs="Times New Roman"/>
        </w:rPr>
        <w:t xml:space="preserve">Traditionally NIMBY/LULU literature focuses on proximity as the main explanatory variable for risk perception among local residents closest to hazardous sites (Hadden et al. 1983; O'Hare et al., 1983; Matheny and Williams 1985; Kraft and Clary 1991; Armour 1991; Greenberg 1993; Benford et al. 1993; Lui 1997; Williams et al. 1999; Schively 2007; Smith 2015; Davy 2016; Lester 2018). Previous research has found that proximity of the residents closest to the hazardous sites </w:t>
      </w:r>
      <w:r w:rsidRPr="003F4BC8">
        <w:rPr>
          <w:rFonts w:ascii="Times New Roman" w:hAnsi="Times New Roman" w:cs="Times New Roman"/>
        </w:rPr>
        <w:lastRenderedPageBreak/>
        <w:t xml:space="preserve">has resulted in higher risk perceptions posed by environmental hazards of the sites (Slovic et al. 1991; Jenkins-Smith and Kunreuther 2001; Sjoberg 2004; Schively 2007). Higher risk perceptions connected with environmental hazards of the sites in their turn result in local opposition towards those sites (Matheny and Williams 1985; Kraft and Clary 1991; MacGregor et al. 1994; Williams et al. 1999). However, a counter example is the case </w:t>
      </w:r>
      <w:r w:rsidRPr="003F4BC8">
        <w:rPr>
          <w:rFonts w:ascii="Times New Roman" w:eastAsia="Times New Roman" w:hAnsi="Times New Roman" w:cs="Times New Roman"/>
          <w:color w:val="1C1D1E"/>
          <w:shd w:val="clear" w:color="auto" w:fill="FFFFFF"/>
        </w:rPr>
        <w:t>of the Waste Isolation Pilot Plant (WIPP) in southern New Mexico. Jenkins-Smith et al. (2011) found that the acceptance of WIPP was greater among those residents who were closet to the WIPP facility or who lived closest to the nuclear waste transportation route.</w:t>
      </w:r>
    </w:p>
    <w:p w:rsidR="00B52DD2" w:rsidRPr="003F4BC8" w:rsidRDefault="00B52DD2" w:rsidP="00B52DD2">
      <w:pPr>
        <w:spacing w:line="480" w:lineRule="auto"/>
        <w:ind w:firstLine="360"/>
        <w:jc w:val="both"/>
        <w:rPr>
          <w:rFonts w:ascii="Times New Roman" w:hAnsi="Times New Roman" w:cs="Times New Roman"/>
        </w:rPr>
      </w:pPr>
      <w:r w:rsidRPr="003F4BC8">
        <w:rPr>
          <w:rFonts w:ascii="Times New Roman" w:hAnsi="Times New Roman" w:cs="Times New Roman"/>
        </w:rPr>
        <w:t>Proximity also explains higher risk perception among residents along nuclear waste transportation routes. Previous research has found that people who are along nuclear waste transportation route have high risk exposure perception (MacGregor et al. 1994; Falcone and Orosco 1998; Drew et al. 2003). In addition, residential property values along the nuclear waste transportation route are impacted because of risk perceptions (</w:t>
      </w:r>
      <w:r w:rsidRPr="003F4BC8">
        <w:rPr>
          <w:rFonts w:ascii="Times New Roman" w:eastAsia="Times New Roman" w:hAnsi="Times New Roman" w:cs="Times New Roman"/>
          <w:color w:val="222222"/>
          <w:shd w:val="clear" w:color="auto" w:fill="FFFFFF"/>
        </w:rPr>
        <w:t xml:space="preserve">Gawande and Jenkins-Smith 2001). A group of scholars view this issue from the perspective of environmental equity. They argue that LULU cites are a result of </w:t>
      </w:r>
      <w:r w:rsidRPr="003F4BC8">
        <w:rPr>
          <w:rFonts w:ascii="Times New Roman" w:hAnsi="Times New Roman" w:cs="Times New Roman"/>
          <w:u w:val="dotDash"/>
        </w:rPr>
        <w:t>"toxic or environmental racism</w:t>
      </w:r>
      <w:r w:rsidRPr="003F4BC8">
        <w:rPr>
          <w:rFonts w:ascii="Times New Roman" w:hAnsi="Times New Roman" w:cs="Times New Roman"/>
        </w:rPr>
        <w:t>" as they are disproportionately located in poor or minority communities (Greenberg 1993, p. 235). Other studies have found no support for this proposition and have concluded that poor and minority communities around LULU allocations are a result of post-citing neighborhood dynamics (Liu 1997; Wolsink 2007).</w:t>
      </w:r>
    </w:p>
    <w:p w:rsidR="00B52DD2" w:rsidRDefault="00B52DD2" w:rsidP="00B52DD2">
      <w:pPr>
        <w:spacing w:line="480" w:lineRule="auto"/>
        <w:rPr>
          <w:rFonts w:ascii="Times New Roman" w:hAnsi="Times New Roman" w:cs="Times New Roman"/>
          <w:b/>
          <w:bCs/>
          <w:sz w:val="28"/>
          <w:szCs w:val="28"/>
        </w:rPr>
      </w:pPr>
      <w:r>
        <w:rPr>
          <w:rFonts w:ascii="Times New Roman" w:hAnsi="Times New Roman" w:cs="Times New Roman"/>
          <w:b/>
          <w:bCs/>
          <w:sz w:val="28"/>
          <w:szCs w:val="28"/>
        </w:rPr>
        <w:br w:type="page"/>
      </w:r>
    </w:p>
    <w:p w:rsidR="00B52DD2" w:rsidRPr="006A66E2" w:rsidRDefault="00B52DD2" w:rsidP="00B52DD2">
      <w:pPr>
        <w:spacing w:line="480" w:lineRule="auto"/>
        <w:rPr>
          <w:rFonts w:ascii="Times New Roman" w:hAnsi="Times New Roman" w:cs="Times New Roman"/>
          <w:b/>
          <w:bCs/>
          <w:sz w:val="36"/>
          <w:szCs w:val="36"/>
        </w:rPr>
      </w:pPr>
      <w:r w:rsidRPr="006A66E2">
        <w:rPr>
          <w:rFonts w:ascii="Times New Roman" w:hAnsi="Times New Roman" w:cs="Times New Roman"/>
          <w:b/>
          <w:bCs/>
          <w:sz w:val="36"/>
          <w:szCs w:val="36"/>
        </w:rPr>
        <w:lastRenderedPageBreak/>
        <w:t>Chapter 3: Public Preferences in Spent Nuclear Fuel Siting: The Impact of Risk Perceptions, Trust and Knowledge</w:t>
      </w:r>
    </w:p>
    <w:p w:rsidR="00B52DD2" w:rsidRPr="003F4BC8" w:rsidRDefault="00B52DD2" w:rsidP="00B52DD2">
      <w:pPr>
        <w:spacing w:line="480" w:lineRule="auto"/>
        <w:jc w:val="center"/>
        <w:rPr>
          <w:rFonts w:ascii="Times New Roman" w:hAnsi="Times New Roman" w:cs="Times New Roman"/>
        </w:rPr>
      </w:pPr>
      <w:r w:rsidRPr="003F4BC8">
        <w:rPr>
          <w:rFonts w:ascii="Times New Roman" w:hAnsi="Times New Roman" w:cs="Times New Roman"/>
          <w:b/>
          <w:bCs/>
        </w:rPr>
        <w:t>Abstract</w:t>
      </w:r>
    </w:p>
    <w:p w:rsidR="00B52DD2" w:rsidRPr="00287A98" w:rsidRDefault="00B52DD2" w:rsidP="00B52DD2">
      <w:pPr>
        <w:spacing w:line="480" w:lineRule="auto"/>
        <w:ind w:firstLine="720"/>
        <w:jc w:val="both"/>
        <w:outlineLvl w:val="0"/>
        <w:rPr>
          <w:rFonts w:ascii="Times New Roman" w:hAnsi="Times New Roman" w:cs="Times New Roman"/>
        </w:rPr>
      </w:pPr>
      <w:r w:rsidRPr="005665BC">
        <w:rPr>
          <w:rFonts w:ascii="Times New Roman" w:hAnsi="Times New Roman" w:cs="Times New Roman"/>
        </w:rPr>
        <w:t xml:space="preserve">The purpose of this chapter is to examine the evolution of public preferences regarding the disposition of spent nuclear fuel (hereafter SNF) over time. Using data from nationwide surveys of American public 2006 to 2019, descriptive time series analysis demonstrates key trends in public risk and benefit perceptions in relation to nuclear energy, trust in government for nuclear energy regulation and waste management, and knowledge about current SNF processing options. Further, by employing explanative time series analysis also known as cross correlation analysis, I test hypotheses to determine whether public risk and benefit perceptions, trust in government and knowledge about nuclear energy have caused changes in public preferences in SNF storage and </w:t>
      </w:r>
      <w:r w:rsidRPr="00DC7603">
        <w:rPr>
          <w:rFonts w:ascii="Times New Roman" w:hAnsi="Times New Roman" w:cs="Times New Roman"/>
        </w:rPr>
        <w:t xml:space="preserve">disposal policy options over time. The results of times series cross correlation analyses show increased risk perceptions in nuclear waste transportation over time negatively affects public support for SNF deep geologic disposal five years later. </w:t>
      </w:r>
      <w:r w:rsidRPr="009C3E43">
        <w:rPr>
          <w:rFonts w:ascii="Times New Roman" w:hAnsi="Times New Roman" w:cs="Times New Roman"/>
        </w:rPr>
        <w:t>I also find that increased benefit perceptions in reduced mining is likely to lead an above average support for SNF onsite storage policy option 1 year later.</w:t>
      </w:r>
      <w:r>
        <w:rPr>
          <w:rFonts w:ascii="Times New Roman" w:hAnsi="Times New Roman" w:cs="Times New Roman"/>
        </w:rPr>
        <w:t xml:space="preserve"> </w:t>
      </w:r>
      <w:r w:rsidRPr="00287A98">
        <w:rPr>
          <w:rFonts w:ascii="Times New Roman" w:hAnsi="Times New Roman" w:cs="Times New Roman"/>
        </w:rPr>
        <w:t>These findings imply that, within a representative political system like that of the U.S., changes in perceptions and awareness might also result in policy change in the long run.</w:t>
      </w:r>
    </w:p>
    <w:p w:rsidR="00B52DD2" w:rsidRPr="003F4BC8" w:rsidRDefault="00B52DD2" w:rsidP="00B52DD2">
      <w:pPr>
        <w:spacing w:line="480" w:lineRule="auto"/>
        <w:jc w:val="center"/>
        <w:outlineLvl w:val="0"/>
        <w:rPr>
          <w:rFonts w:ascii="Times New Roman" w:hAnsi="Times New Roman" w:cs="Times New Roman"/>
          <w:b/>
        </w:rPr>
      </w:pPr>
      <w:r w:rsidRPr="003F4BC8">
        <w:rPr>
          <w:rFonts w:ascii="Times New Roman" w:hAnsi="Times New Roman" w:cs="Times New Roman"/>
          <w:b/>
        </w:rPr>
        <w:t>Introduction</w:t>
      </w:r>
    </w:p>
    <w:p w:rsidR="00B52DD2" w:rsidRPr="00ED5087" w:rsidRDefault="00B52DD2" w:rsidP="00B52DD2">
      <w:pPr>
        <w:spacing w:line="480" w:lineRule="auto"/>
        <w:ind w:firstLine="720"/>
        <w:jc w:val="both"/>
        <w:outlineLvl w:val="0"/>
        <w:rPr>
          <w:rFonts w:ascii="Times New Roman" w:hAnsi="Times New Roman" w:cs="Times New Roman"/>
        </w:rPr>
      </w:pPr>
      <w:r w:rsidRPr="00ED5087">
        <w:rPr>
          <w:rFonts w:ascii="Times New Roman" w:hAnsi="Times New Roman" w:cs="Times New Roman"/>
        </w:rPr>
        <w:t xml:space="preserve">When will the debate about the spent nuclear fuel waste in USA be resolved? The answer to this question seems far-fetched as the plan for building permanent nuclear waste repository in USA has been subject to controversy and scrutiny for ages. The 1987 Amendment to the Nuclear </w:t>
      </w:r>
      <w:r w:rsidRPr="00ED5087">
        <w:rPr>
          <w:rFonts w:ascii="Times New Roman" w:hAnsi="Times New Roman" w:cs="Times New Roman"/>
        </w:rPr>
        <w:lastRenderedPageBreak/>
        <w:t>Policy Act of 1982 has focused on selection and licensing of a facility at Yucca Mountain, Nevada, as a permanent repository for spent nuclear fuel nationwide (US GAO 2018). However, after $15 billion was spent for studying the SNF siting location and the Department of Energy had filed for licensing the site, the Obama administration halted the project (Eureka County Yucca Mountain Information Office 2018). President Trump’s budget request in 2017 for fiscal year 2018 included $120 million for Yucca mountain project revival. These funds were planned to be allocated for resuming Yucca mountain and interim storage site license review (US GAO 2018). However, the “blue wave” of opposition (Democratic) successes in the 2018 midterm elections once again halted the success of Yucca mountain project revival (Las Vegas Sun 2019). While it is necessary to wait and see what happens to Yucca mountain project debate both in the near and long term-future, I will demonstrate in this chapter that it is important to understand the trends and inclinations in public concerns and preferences for nuclear waste siting policy options in USA.</w:t>
      </w:r>
    </w:p>
    <w:p w:rsidR="00B52DD2" w:rsidRPr="00ED5087" w:rsidRDefault="00B52DD2" w:rsidP="00B52DD2">
      <w:pPr>
        <w:spacing w:line="480" w:lineRule="auto"/>
        <w:ind w:firstLine="720"/>
        <w:jc w:val="both"/>
        <w:outlineLvl w:val="0"/>
        <w:rPr>
          <w:rFonts w:ascii="Times New Roman" w:hAnsi="Times New Roman" w:cs="Times New Roman"/>
        </w:rPr>
      </w:pPr>
      <w:r w:rsidRPr="00ED5087">
        <w:rPr>
          <w:rFonts w:ascii="Times New Roman" w:hAnsi="Times New Roman" w:cs="Times New Roman"/>
        </w:rPr>
        <w:t>The central role of public opinion in democracy has been the subject of debate among political philosophers from ancient Greece to the present (Peters 1995). The most critical questions involved are: to what extent should the public participate in the civic life; what are the forms and means of participation; and is information provided by mass media an objective basis for public opinion formation? (Peters 1995). For nearly a century now, opinion polling has remained one of the primary instruments for informing public officials about the preferences of the public (Gallup 1939). Gallup (1939) argued that opinion polls enhance democratic processes as they present public attitudes to elected officials. Since that time, the essential nature of public opinion remains a controversial topic of discussion. Some critiques argue that elected officials pay too much attention to polls which, instead of making informed decisions, leads them to base their decisions on public opinion that fluctuates, is inconsistent and uninformed (Lippman 1922; Allport 1937).</w:t>
      </w:r>
    </w:p>
    <w:p w:rsidR="00B52DD2" w:rsidRPr="00122326" w:rsidRDefault="00B52DD2" w:rsidP="00B52DD2">
      <w:pPr>
        <w:spacing w:line="480" w:lineRule="auto"/>
        <w:ind w:firstLine="720"/>
        <w:jc w:val="both"/>
        <w:outlineLvl w:val="0"/>
        <w:rPr>
          <w:rFonts w:ascii="Times New Roman" w:hAnsi="Times New Roman" w:cs="Times New Roman"/>
        </w:rPr>
      </w:pPr>
      <w:r w:rsidRPr="00122326">
        <w:rPr>
          <w:rFonts w:ascii="Times New Roman" w:hAnsi="Times New Roman" w:cs="Times New Roman"/>
        </w:rPr>
        <w:lastRenderedPageBreak/>
        <w:t>Herron and Jenkins-Smith (2006) characterize the contradictory accounts of public opinion scholarship as falling into “traditionalist” and “revisionist” camps. “Traditionalists argue that the public lacks the requisite belief structures to consistently and reasonably connect broad integrating beliefs, such as political ideology, with specific beliefs and preferences about …”  policies (Herron and Jenkins-Smith 2006, p. 17). According to traditionalist scholars, the public is uninformed and lacks the ability to form sophisticated preferences on policy or political issues (Lippmann 1922; Campbell et al. 1960; Converse 1964; Zaller 1992). Campbell at al. (1960) claimed that the American public cast their ballots and present their preferences in accordance to their party lines inherited from their parents. They criticize how members of public form their opinions and expect them to be more rational or reasonable than they are (Campbell et al. 1960). The findings of Converse (1964) have the same underlying assumption that members of public are incapable of making sophisticated opinion. He compared members of public with elites and found that elites have a major role in belief formulation among the public (Converse 1964).</w:t>
      </w:r>
    </w:p>
    <w:p w:rsidR="00B52DD2" w:rsidRPr="00B23FD4" w:rsidRDefault="00B52DD2" w:rsidP="00B52DD2">
      <w:pPr>
        <w:spacing w:line="480" w:lineRule="auto"/>
        <w:ind w:firstLine="720"/>
        <w:jc w:val="both"/>
        <w:outlineLvl w:val="0"/>
        <w:rPr>
          <w:rFonts w:ascii="Times New Roman" w:hAnsi="Times New Roman" w:cs="Times New Roman"/>
        </w:rPr>
      </w:pPr>
      <w:r w:rsidRPr="00B23FD4">
        <w:rPr>
          <w:rFonts w:ascii="Times New Roman" w:hAnsi="Times New Roman" w:cs="Times New Roman"/>
        </w:rPr>
        <w:t>In addition, it has well been established that general political attitudes shape support or opposition to potentially risky technologies (Rothman and Lichter 1987, Slovic 1993). Paul Slovic (1993) claimed that society’s levels of risk perception and trust to government is reflected in its risk management mechanisms. Previous research has found that perceived risks, benefits, trust in government and knowledge about nuclear technology are strong predictors for public support for nuclear energy (</w:t>
      </w:r>
      <w:r w:rsidRPr="00B23FD4">
        <w:rPr>
          <w:rFonts w:ascii="Times New Roman" w:hAnsi="Times New Roman" w:cs="Times New Roman"/>
          <w:color w:val="222222"/>
          <w:shd w:val="clear" w:color="auto" w:fill="FFFFFF"/>
        </w:rPr>
        <w:t>Jenkins</w:t>
      </w:r>
      <w:r w:rsidRPr="00B23FD4">
        <w:rPr>
          <w:rFonts w:ascii="Times New Roman" w:eastAsia="Calibri" w:hAnsi="Times New Roman" w:cs="Times New Roman"/>
          <w:color w:val="222222"/>
          <w:shd w:val="clear" w:color="auto" w:fill="FFFFFF"/>
        </w:rPr>
        <w:t>‐</w:t>
      </w:r>
      <w:r w:rsidRPr="00B23FD4">
        <w:rPr>
          <w:rFonts w:ascii="Times New Roman" w:hAnsi="Times New Roman" w:cs="Times New Roman"/>
          <w:color w:val="222222"/>
          <w:shd w:val="clear" w:color="auto" w:fill="FFFFFF"/>
        </w:rPr>
        <w:t xml:space="preserve">Smith and Kunreuther 2001; </w:t>
      </w:r>
      <w:r w:rsidRPr="00B23FD4">
        <w:rPr>
          <w:rFonts w:ascii="Times New Roman" w:hAnsi="Times New Roman" w:cs="Times New Roman"/>
        </w:rPr>
        <w:t xml:space="preserve">Kuklinski et al. 1982; Robinson et al. 2017; </w:t>
      </w:r>
      <w:r w:rsidRPr="00B23FD4">
        <w:rPr>
          <w:rFonts w:ascii="Times New Roman" w:eastAsia="Calibri" w:hAnsi="Times New Roman" w:cs="Times New Roman"/>
          <w:color w:val="222222"/>
          <w:shd w:val="clear" w:color="auto" w:fill="FFFFFF"/>
        </w:rPr>
        <w:t>Slovic</w:t>
      </w:r>
      <w:r w:rsidRPr="00B23FD4">
        <w:rPr>
          <w:rFonts w:ascii="Times New Roman" w:hAnsi="Times New Roman" w:cs="Times New Roman"/>
        </w:rPr>
        <w:t xml:space="preserve"> et al. 1991; Stoutenborough et al. 2013; Visschers et al. 2011). These psychometric and cognitive explanatory models also determine the level of public participation and control in representative democracy (Slovic 1993). In line with the previous research, this chapter examines public preferences for nuclear energy support in connection with individuals’ risk perceptions, </w:t>
      </w:r>
      <w:r w:rsidRPr="00B23FD4">
        <w:rPr>
          <w:rFonts w:ascii="Times New Roman" w:hAnsi="Times New Roman" w:cs="Times New Roman"/>
        </w:rPr>
        <w:lastRenderedPageBreak/>
        <w:t>trust in government and knowledge. However, this examination particularly centers on SNF siting policy options for over 13-year timeframe.</w:t>
      </w:r>
    </w:p>
    <w:p w:rsidR="00B52DD2" w:rsidRDefault="00B52DD2" w:rsidP="00B52DD2">
      <w:pPr>
        <w:spacing w:line="480" w:lineRule="auto"/>
        <w:ind w:firstLine="720"/>
        <w:jc w:val="both"/>
        <w:outlineLvl w:val="0"/>
        <w:rPr>
          <w:rFonts w:ascii="Times New Roman" w:hAnsi="Times New Roman" w:cs="Times New Roman"/>
        </w:rPr>
      </w:pPr>
      <w:r w:rsidRPr="003E3E18">
        <w:rPr>
          <w:rFonts w:ascii="Times New Roman" w:hAnsi="Times New Roman" w:cs="Times New Roman"/>
        </w:rPr>
        <w:t xml:space="preserve">Research in social sciences faces the challenge of establishing causality of relationship between the variables of consideration. In this chapter I address that challenge by the methodological choice for the analysis. The cross correlation analysis of time series data establishes causality by registering the effect of change in an independent variable on the dependent variable (Box et al. 1994; Chatfield 2013). I investigate public preferences in the controversial policy debate on SNF siting policy options by analyzing </w:t>
      </w:r>
      <w:r>
        <w:rPr>
          <w:rFonts w:ascii="Times New Roman" w:hAnsi="Times New Roman" w:cs="Times New Roman"/>
        </w:rPr>
        <w:t>public opinion survey</w:t>
      </w:r>
      <w:r w:rsidRPr="003E3E18">
        <w:rPr>
          <w:rFonts w:ascii="Times New Roman" w:hAnsi="Times New Roman" w:cs="Times New Roman"/>
        </w:rPr>
        <w:t xml:space="preserve"> data spanning from 2006 to 2019. </w:t>
      </w:r>
      <w:r>
        <w:rPr>
          <w:rFonts w:ascii="Times New Roman" w:hAnsi="Times New Roman" w:cs="Times New Roman"/>
        </w:rPr>
        <w:t>While this study is utilizing measures at only 13 data points in time, it</w:t>
      </w:r>
      <w:r w:rsidRPr="003E3E18">
        <w:rPr>
          <w:rFonts w:ascii="Times New Roman" w:hAnsi="Times New Roman" w:cs="Times New Roman"/>
        </w:rPr>
        <w:t xml:space="preserve"> allows me to give insightful description of changes in public preferences for SNF siting policy options over time in parallel with a set of explanatory variables that I hypothesize will account for changes in policy preferences.</w:t>
      </w:r>
    </w:p>
    <w:p w:rsidR="00B52DD2" w:rsidRPr="003E3E18" w:rsidRDefault="00B52DD2" w:rsidP="00B52DD2">
      <w:pPr>
        <w:spacing w:line="480" w:lineRule="auto"/>
        <w:ind w:firstLine="720"/>
        <w:jc w:val="both"/>
        <w:outlineLvl w:val="0"/>
        <w:rPr>
          <w:rFonts w:ascii="Times New Roman" w:hAnsi="Times New Roman" w:cs="Times New Roman"/>
        </w:rPr>
      </w:pPr>
      <w:r>
        <w:rPr>
          <w:rFonts w:ascii="Times New Roman" w:hAnsi="Times New Roman" w:cs="Times New Roman"/>
        </w:rPr>
        <w:t xml:space="preserve">In line with previous research I inquire </w:t>
      </w:r>
      <w:r w:rsidRPr="00AD7A02">
        <w:rPr>
          <w:rFonts w:ascii="Times New Roman" w:hAnsi="Times New Roman" w:cs="Times New Roman"/>
        </w:rPr>
        <w:t>whether public support for SNF siting policy options is preconditioned by individuals’ perceptions of risks and benefits in connection with nuclear energy</w:t>
      </w:r>
      <w:r>
        <w:rPr>
          <w:rFonts w:ascii="Times New Roman" w:hAnsi="Times New Roman" w:cs="Times New Roman"/>
        </w:rPr>
        <w:t xml:space="preserve"> </w:t>
      </w:r>
      <w:r w:rsidRPr="000B7E89">
        <w:rPr>
          <w:rFonts w:ascii="Times New Roman" w:hAnsi="Times New Roman" w:cs="Times New Roman"/>
        </w:rPr>
        <w:t>(Spence et al. 2010; Stoutenborough et al. 2013</w:t>
      </w:r>
      <w:r>
        <w:rPr>
          <w:rFonts w:ascii="Times New Roman" w:hAnsi="Times New Roman" w:cs="Times New Roman"/>
        </w:rPr>
        <w:t xml:space="preserve">; </w:t>
      </w:r>
      <w:r w:rsidRPr="00AD7A02">
        <w:rPr>
          <w:rFonts w:ascii="Times New Roman" w:hAnsi="Times New Roman" w:cs="Times New Roman"/>
        </w:rPr>
        <w:t>Visschers et al. 2011</w:t>
      </w:r>
      <w:r w:rsidRPr="000B7E89">
        <w:rPr>
          <w:rFonts w:ascii="Times New Roman" w:hAnsi="Times New Roman" w:cs="Times New Roman"/>
        </w:rPr>
        <w:t>).</w:t>
      </w:r>
      <w:r>
        <w:rPr>
          <w:rFonts w:ascii="Times New Roman" w:hAnsi="Times New Roman" w:cs="Times New Roman"/>
        </w:rPr>
        <w:t xml:space="preserve"> </w:t>
      </w:r>
      <w:r w:rsidRPr="004553EF">
        <w:rPr>
          <w:rFonts w:ascii="Times New Roman" w:hAnsi="Times New Roman" w:cs="Times New Roman"/>
        </w:rPr>
        <w:t xml:space="preserve">I expect to find low risk perceptions and higher benefit perceptions in association with nuclear energy result in increased support for deep geologic disposal of SNF over time. </w:t>
      </w:r>
      <w:r>
        <w:rPr>
          <w:rFonts w:ascii="Times New Roman" w:hAnsi="Times New Roman" w:cs="Times New Roman"/>
        </w:rPr>
        <w:t xml:space="preserve">Evidence from research has also shown that the erosion of public trust in nuclear authorities is associated with public opposition towards nuclear energy policy support </w:t>
      </w:r>
      <w:r w:rsidRPr="00B969BD">
        <w:rPr>
          <w:rFonts w:ascii="Times New Roman" w:hAnsi="Times New Roman" w:cs="Times New Roman"/>
        </w:rPr>
        <w:t>(Stoutenborough et al. 2013; Walker et al. 2010).</w:t>
      </w:r>
      <w:r>
        <w:rPr>
          <w:rFonts w:ascii="Times New Roman" w:hAnsi="Times New Roman" w:cs="Times New Roman"/>
        </w:rPr>
        <w:t xml:space="preserve"> Therefore, </w:t>
      </w:r>
      <w:r w:rsidRPr="008E2046">
        <w:rPr>
          <w:rFonts w:ascii="Times New Roman" w:hAnsi="Times New Roman" w:cs="Times New Roman"/>
        </w:rPr>
        <w:t xml:space="preserve">I expect to </w:t>
      </w:r>
      <w:r>
        <w:rPr>
          <w:rFonts w:ascii="Times New Roman" w:hAnsi="Times New Roman" w:cs="Times New Roman"/>
        </w:rPr>
        <w:t>find</w:t>
      </w:r>
      <w:r w:rsidRPr="008E2046">
        <w:rPr>
          <w:rFonts w:ascii="Times New Roman" w:hAnsi="Times New Roman" w:cs="Times New Roman"/>
        </w:rPr>
        <w:t xml:space="preserve"> higher levels of public trust in regulation and management of nuclear technology resulting in increased support for a deep geologic disposal of SNF.</w:t>
      </w:r>
      <w:r>
        <w:rPr>
          <w:rFonts w:ascii="Times New Roman" w:hAnsi="Times New Roman" w:cs="Times New Roman"/>
        </w:rPr>
        <w:t xml:space="preserve"> In addition, </w:t>
      </w:r>
      <w:r w:rsidRPr="005F3235">
        <w:rPr>
          <w:rFonts w:ascii="Times New Roman" w:hAnsi="Times New Roman" w:cs="Times New Roman"/>
        </w:rPr>
        <w:t>Stoutenborough et al. (2013) have found that people who are more knowledgeable about energy issues are more supportive of nuclear energy.</w:t>
      </w:r>
      <w:r>
        <w:rPr>
          <w:rFonts w:ascii="Times New Roman" w:hAnsi="Times New Roman" w:cs="Times New Roman"/>
        </w:rPr>
        <w:t xml:space="preserve"> Therefore, I propose that once </w:t>
      </w:r>
      <w:r w:rsidRPr="001D3177">
        <w:rPr>
          <w:rFonts w:ascii="Times New Roman" w:hAnsi="Times New Roman" w:cs="Times New Roman"/>
        </w:rPr>
        <w:t xml:space="preserve">become more knowledgeable about </w:t>
      </w:r>
      <w:r w:rsidRPr="001D3177">
        <w:rPr>
          <w:rFonts w:ascii="Times New Roman" w:hAnsi="Times New Roman" w:cs="Times New Roman"/>
        </w:rPr>
        <w:lastRenderedPageBreak/>
        <w:t xml:space="preserve">nuclear waste management and disposal </w:t>
      </w:r>
      <w:r>
        <w:rPr>
          <w:rFonts w:ascii="Times New Roman" w:hAnsi="Times New Roman" w:cs="Times New Roman"/>
        </w:rPr>
        <w:t xml:space="preserve">options and the differences between deep geologic and on-site disposal, </w:t>
      </w:r>
      <w:r w:rsidRPr="001D3177">
        <w:rPr>
          <w:rFonts w:ascii="Times New Roman" w:hAnsi="Times New Roman" w:cs="Times New Roman"/>
        </w:rPr>
        <w:t xml:space="preserve">over time </w:t>
      </w:r>
      <w:r>
        <w:rPr>
          <w:rFonts w:ascii="Times New Roman" w:hAnsi="Times New Roman" w:cs="Times New Roman"/>
        </w:rPr>
        <w:t xml:space="preserve">their knowledge </w:t>
      </w:r>
      <w:r w:rsidRPr="001D3177">
        <w:rPr>
          <w:rFonts w:ascii="Times New Roman" w:hAnsi="Times New Roman" w:cs="Times New Roman"/>
        </w:rPr>
        <w:t xml:space="preserve">will </w:t>
      </w:r>
      <w:r>
        <w:rPr>
          <w:rFonts w:ascii="Times New Roman" w:hAnsi="Times New Roman" w:cs="Times New Roman"/>
        </w:rPr>
        <w:t xml:space="preserve">affect their </w:t>
      </w:r>
      <w:r w:rsidRPr="001D3177">
        <w:rPr>
          <w:rFonts w:ascii="Times New Roman" w:hAnsi="Times New Roman" w:cs="Times New Roman"/>
        </w:rPr>
        <w:t xml:space="preserve">likely to support </w:t>
      </w:r>
      <w:r>
        <w:rPr>
          <w:rFonts w:ascii="Times New Roman" w:hAnsi="Times New Roman" w:cs="Times New Roman"/>
        </w:rPr>
        <w:t xml:space="preserve">for </w:t>
      </w:r>
      <w:r w:rsidRPr="001D3177">
        <w:rPr>
          <w:rFonts w:ascii="Times New Roman" w:hAnsi="Times New Roman" w:cs="Times New Roman"/>
        </w:rPr>
        <w:t>deep geologic disposal of SNF.</w:t>
      </w:r>
      <w:r>
        <w:rPr>
          <w:rFonts w:ascii="Times New Roman" w:hAnsi="Times New Roman" w:cs="Times New Roman"/>
        </w:rPr>
        <w:t xml:space="preserve"> These expectations are reflected in the </w:t>
      </w:r>
      <w:r w:rsidRPr="003E3E18">
        <w:rPr>
          <w:rFonts w:ascii="Times New Roman" w:hAnsi="Times New Roman" w:cs="Times New Roman"/>
        </w:rPr>
        <w:t>hypotheses that</w:t>
      </w:r>
      <w:r>
        <w:rPr>
          <w:rFonts w:ascii="Times New Roman" w:hAnsi="Times New Roman" w:cs="Times New Roman"/>
        </w:rPr>
        <w:t xml:space="preserve"> are presented in the </w:t>
      </w:r>
      <w:r w:rsidRPr="003E3E18">
        <w:rPr>
          <w:rFonts w:ascii="Times New Roman" w:hAnsi="Times New Roman" w:cs="Times New Roman"/>
        </w:rPr>
        <w:t>next section</w:t>
      </w:r>
      <w:r>
        <w:rPr>
          <w:rFonts w:ascii="Times New Roman" w:hAnsi="Times New Roman" w:cs="Times New Roman"/>
        </w:rPr>
        <w:t>. T</w:t>
      </w:r>
      <w:r w:rsidRPr="003E3E18">
        <w:rPr>
          <w:rFonts w:ascii="Times New Roman" w:hAnsi="Times New Roman" w:cs="Times New Roman"/>
        </w:rPr>
        <w:t>hose hypotheses</w:t>
      </w:r>
      <w:r>
        <w:rPr>
          <w:rFonts w:ascii="Times New Roman" w:hAnsi="Times New Roman" w:cs="Times New Roman"/>
        </w:rPr>
        <w:t>,</w:t>
      </w:r>
      <w:r w:rsidRPr="003E3E18">
        <w:rPr>
          <w:rFonts w:ascii="Times New Roman" w:hAnsi="Times New Roman" w:cs="Times New Roman"/>
        </w:rPr>
        <w:t xml:space="preserve"> </w:t>
      </w:r>
      <w:r>
        <w:rPr>
          <w:rFonts w:ascii="Times New Roman" w:hAnsi="Times New Roman" w:cs="Times New Roman"/>
        </w:rPr>
        <w:t>s</w:t>
      </w:r>
      <w:r w:rsidRPr="003E3E18">
        <w:rPr>
          <w:rFonts w:ascii="Times New Roman" w:hAnsi="Times New Roman" w:cs="Times New Roman"/>
        </w:rPr>
        <w:t>pecifically</w:t>
      </w:r>
      <w:r>
        <w:rPr>
          <w:rFonts w:ascii="Times New Roman" w:hAnsi="Times New Roman" w:cs="Times New Roman"/>
        </w:rPr>
        <w:t>,</w:t>
      </w:r>
      <w:r w:rsidRPr="003E3E18">
        <w:rPr>
          <w:rFonts w:ascii="Times New Roman" w:hAnsi="Times New Roman" w:cs="Times New Roman"/>
        </w:rPr>
        <w:t xml:space="preserve"> will help me answer the following research questions</w:t>
      </w:r>
      <w:r w:rsidRPr="003F4BC8">
        <w:rPr>
          <w:rFonts w:ascii="Times New Roman" w:hAnsi="Times New Roman" w:cs="Times New Roman"/>
        </w:rPr>
        <w:t xml:space="preserve">: </w:t>
      </w:r>
    </w:p>
    <w:p w:rsidR="00B52DD2" w:rsidRPr="003F4BC8" w:rsidRDefault="00B52DD2" w:rsidP="00B52DD2">
      <w:pPr>
        <w:pStyle w:val="ListParagraph"/>
        <w:numPr>
          <w:ilvl w:val="0"/>
          <w:numId w:val="3"/>
        </w:numPr>
        <w:spacing w:line="480" w:lineRule="auto"/>
        <w:jc w:val="both"/>
        <w:outlineLvl w:val="0"/>
        <w:rPr>
          <w:rFonts w:ascii="Times New Roman" w:hAnsi="Times New Roman" w:cs="Times New Roman"/>
        </w:rPr>
      </w:pPr>
      <w:r w:rsidRPr="003F4BC8">
        <w:rPr>
          <w:rFonts w:ascii="Times New Roman" w:hAnsi="Times New Roman" w:cs="Times New Roman"/>
        </w:rPr>
        <w:t xml:space="preserve">How does public perception in SNF siting preferences evolve over time in parallel with public risk perceptions, knowledge and trust in government in relation to nuclear waste management technologies?  </w:t>
      </w:r>
    </w:p>
    <w:p w:rsidR="00B52DD2" w:rsidRPr="003F4BC8" w:rsidRDefault="00B52DD2" w:rsidP="00B52DD2">
      <w:pPr>
        <w:pStyle w:val="ListParagraph"/>
        <w:numPr>
          <w:ilvl w:val="0"/>
          <w:numId w:val="3"/>
        </w:numPr>
        <w:spacing w:line="480" w:lineRule="auto"/>
        <w:jc w:val="both"/>
        <w:outlineLvl w:val="0"/>
        <w:rPr>
          <w:rFonts w:ascii="Times New Roman" w:hAnsi="Times New Roman" w:cs="Times New Roman"/>
        </w:rPr>
      </w:pPr>
      <w:r w:rsidRPr="003F4BC8">
        <w:rPr>
          <w:rFonts w:ascii="Times New Roman" w:hAnsi="Times New Roman" w:cs="Times New Roman"/>
        </w:rPr>
        <w:t xml:space="preserve">To what extent </w:t>
      </w:r>
      <w:r>
        <w:rPr>
          <w:rFonts w:ascii="Times New Roman" w:hAnsi="Times New Roman" w:cs="Times New Roman"/>
        </w:rPr>
        <w:t xml:space="preserve">do </w:t>
      </w:r>
      <w:r w:rsidRPr="003F4BC8">
        <w:rPr>
          <w:rFonts w:ascii="Times New Roman" w:hAnsi="Times New Roman" w:cs="Times New Roman"/>
        </w:rPr>
        <w:t xml:space="preserve">changes in public risk perceptions, trust in government for nuclear waste management technologies and knowledge in SNF processing affect their SNF siting preferences over time? </w:t>
      </w:r>
    </w:p>
    <w:p w:rsidR="00B52DD2"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 xml:space="preserve">In the next section, I review the literature on public risk perceptions, trust in government and knowledge about nuclear energy to elaborate the theoretical expectations of the study. In the following section, I describe the data and variables to be used in the analysis. </w:t>
      </w:r>
      <w:r>
        <w:rPr>
          <w:rFonts w:ascii="Times New Roman" w:hAnsi="Times New Roman" w:cs="Times New Roman"/>
        </w:rPr>
        <w:t>Next</w:t>
      </w:r>
      <w:r w:rsidRPr="003F4BC8">
        <w:rPr>
          <w:rFonts w:ascii="Times New Roman" w:hAnsi="Times New Roman" w:cs="Times New Roman"/>
        </w:rPr>
        <w:t xml:space="preserve">, I provide the results of the </w:t>
      </w:r>
      <w:r>
        <w:rPr>
          <w:rFonts w:ascii="Times New Roman" w:hAnsi="Times New Roman" w:cs="Times New Roman"/>
        </w:rPr>
        <w:t xml:space="preserve">descriptive </w:t>
      </w:r>
      <w:r w:rsidRPr="003F4BC8">
        <w:rPr>
          <w:rFonts w:ascii="Times New Roman" w:hAnsi="Times New Roman" w:cs="Times New Roman"/>
        </w:rPr>
        <w:t xml:space="preserve">analysis, in which I first examine the evolution of public risk and benefit perceptions, trust in government and preferences in SNF siting over time. After that I employ explanative time series analysis, to assess whether </w:t>
      </w:r>
      <w:r>
        <w:rPr>
          <w:rFonts w:ascii="Times New Roman" w:hAnsi="Times New Roman" w:cs="Times New Roman"/>
        </w:rPr>
        <w:t xml:space="preserve">changes over time in </w:t>
      </w:r>
      <w:r w:rsidRPr="003F4BC8">
        <w:rPr>
          <w:rFonts w:ascii="Times New Roman" w:hAnsi="Times New Roman" w:cs="Times New Roman"/>
        </w:rPr>
        <w:t>public risk and benefit perceptions, trust in government and knowledge about nuclear energy have caused changes in public preferences in SNF storage and disposal policy options over time. Overall, the findings provide evidence for the predictive power of psychometric variables in explaining changes in public preferences for SNF storage policy options over time.</w:t>
      </w:r>
    </w:p>
    <w:p w:rsidR="00B52DD2" w:rsidRDefault="00B52DD2" w:rsidP="00B52DD2">
      <w:pPr>
        <w:spacing w:line="480" w:lineRule="auto"/>
        <w:ind w:firstLine="720"/>
        <w:jc w:val="both"/>
        <w:outlineLvl w:val="0"/>
        <w:rPr>
          <w:rFonts w:ascii="Times New Roman" w:hAnsi="Times New Roman" w:cs="Times New Roman"/>
        </w:rPr>
      </w:pPr>
    </w:p>
    <w:p w:rsidR="00B52DD2" w:rsidRDefault="00B52DD2" w:rsidP="00B52DD2">
      <w:pPr>
        <w:spacing w:line="480" w:lineRule="auto"/>
        <w:ind w:firstLine="720"/>
        <w:jc w:val="both"/>
        <w:outlineLvl w:val="0"/>
        <w:rPr>
          <w:rFonts w:ascii="Times New Roman" w:hAnsi="Times New Roman" w:cs="Times New Roman"/>
        </w:rPr>
      </w:pPr>
    </w:p>
    <w:p w:rsidR="00B52DD2" w:rsidRPr="00287A98" w:rsidRDefault="00B52DD2" w:rsidP="00B52DD2">
      <w:pPr>
        <w:spacing w:line="480" w:lineRule="auto"/>
        <w:ind w:firstLine="720"/>
        <w:jc w:val="both"/>
        <w:outlineLvl w:val="0"/>
        <w:rPr>
          <w:rFonts w:ascii="Times New Roman" w:hAnsi="Times New Roman" w:cs="Times New Roman"/>
        </w:rPr>
      </w:pPr>
    </w:p>
    <w:p w:rsidR="00B52DD2" w:rsidRPr="003F4BC8" w:rsidRDefault="00B52DD2" w:rsidP="00B52DD2">
      <w:pPr>
        <w:spacing w:line="480" w:lineRule="auto"/>
        <w:ind w:firstLine="720"/>
        <w:jc w:val="center"/>
        <w:outlineLvl w:val="0"/>
        <w:rPr>
          <w:rFonts w:ascii="Times New Roman" w:hAnsi="Times New Roman" w:cs="Times New Roman"/>
          <w:b/>
          <w:bCs/>
        </w:rPr>
      </w:pPr>
      <w:r w:rsidRPr="003F4BC8">
        <w:rPr>
          <w:rFonts w:ascii="Times New Roman" w:hAnsi="Times New Roman" w:cs="Times New Roman"/>
          <w:b/>
          <w:bCs/>
        </w:rPr>
        <w:lastRenderedPageBreak/>
        <w:t>Theoretical Expectations</w:t>
      </w:r>
    </w:p>
    <w:p w:rsidR="00B52DD2" w:rsidRPr="003F4BC8" w:rsidRDefault="00B52DD2" w:rsidP="00B52DD2">
      <w:pPr>
        <w:spacing w:line="480" w:lineRule="auto"/>
        <w:outlineLvl w:val="0"/>
        <w:rPr>
          <w:rFonts w:ascii="Times New Roman" w:hAnsi="Times New Roman" w:cs="Times New Roman"/>
          <w:i/>
          <w:u w:val="single"/>
        </w:rPr>
      </w:pPr>
      <w:r w:rsidRPr="003F4BC8">
        <w:rPr>
          <w:rFonts w:ascii="Times New Roman" w:hAnsi="Times New Roman" w:cs="Times New Roman"/>
          <w:i/>
          <w:u w:val="single"/>
        </w:rPr>
        <w:t>The Impact of Risk Perceptions</w:t>
      </w:r>
    </w:p>
    <w:p w:rsidR="00B52DD2" w:rsidRPr="000B7E89" w:rsidRDefault="00B52DD2" w:rsidP="00B52DD2">
      <w:pPr>
        <w:spacing w:line="480" w:lineRule="auto"/>
        <w:ind w:firstLine="720"/>
        <w:jc w:val="both"/>
        <w:outlineLvl w:val="0"/>
        <w:rPr>
          <w:rFonts w:ascii="Times New Roman" w:hAnsi="Times New Roman" w:cs="Times New Roman"/>
        </w:rPr>
      </w:pPr>
      <w:r w:rsidRPr="000B7E89">
        <w:rPr>
          <w:rFonts w:ascii="Times New Roman" w:hAnsi="Times New Roman" w:cs="Times New Roman"/>
        </w:rPr>
        <w:t xml:space="preserve">Public support for nuclear energy has been traditionally explained by psychometric models that take into account risk and benefit perceptions for formulating policy preferences (Jenkins‐Smith and Kunreuther 2001; Slovic et al. 1991; Slovik 2010). Scholars have found that public risk perceptions affect their preferences in policy support (Spence et al. 2010; Stoutenborough et al. 2013). In particular, support for nuclear energy is explained by models of risk and benefit perception given the findings that nuclear risks are among the most dreaded by the public (Kristiansen et a. 2018; Slovic et al. 1991). </w:t>
      </w:r>
    </w:p>
    <w:p w:rsidR="00B52DD2" w:rsidRPr="00AD7A02" w:rsidRDefault="00B52DD2" w:rsidP="00B52DD2">
      <w:pPr>
        <w:spacing w:line="480" w:lineRule="auto"/>
        <w:ind w:firstLine="720"/>
        <w:jc w:val="both"/>
        <w:outlineLvl w:val="0"/>
        <w:rPr>
          <w:rFonts w:ascii="Times New Roman" w:hAnsi="Times New Roman" w:cs="Times New Roman"/>
        </w:rPr>
      </w:pPr>
      <w:r w:rsidRPr="00AD7A02">
        <w:rPr>
          <w:rFonts w:ascii="Times New Roman" w:hAnsi="Times New Roman" w:cs="Times New Roman"/>
        </w:rPr>
        <w:t>Psychometrics studies of risk perceptions also consider the central role of psychological biases and heuristics in shaping individuals’ views and beliefs for policy preferences (</w:t>
      </w:r>
      <w:r w:rsidRPr="00AD7A02">
        <w:rPr>
          <w:rFonts w:ascii="Times New Roman" w:hAnsi="Times New Roman" w:cs="Times New Roman"/>
          <w:color w:val="222222"/>
          <w:shd w:val="clear" w:color="auto" w:fill="FFFFFF"/>
        </w:rPr>
        <w:t>Jenkins</w:t>
      </w:r>
      <w:r w:rsidRPr="00AD7A02">
        <w:rPr>
          <w:rFonts w:ascii="Times New Roman" w:eastAsia="Calibri" w:hAnsi="Times New Roman" w:cs="Times New Roman"/>
          <w:color w:val="222222"/>
          <w:shd w:val="clear" w:color="auto" w:fill="FFFFFF"/>
        </w:rPr>
        <w:t>‐</w:t>
      </w:r>
      <w:r w:rsidRPr="00AD7A02">
        <w:rPr>
          <w:rFonts w:ascii="Times New Roman" w:hAnsi="Times New Roman" w:cs="Times New Roman"/>
          <w:color w:val="222222"/>
          <w:shd w:val="clear" w:color="auto" w:fill="FFFFFF"/>
        </w:rPr>
        <w:t xml:space="preserve">Smith and Kunreuther 2001; </w:t>
      </w:r>
      <w:r w:rsidRPr="00AD7A02">
        <w:rPr>
          <w:rFonts w:ascii="Times New Roman" w:eastAsia="Calibri" w:hAnsi="Times New Roman" w:cs="Times New Roman"/>
          <w:color w:val="222222"/>
          <w:shd w:val="clear" w:color="auto" w:fill="FFFFFF"/>
        </w:rPr>
        <w:t>Slovic</w:t>
      </w:r>
      <w:r w:rsidRPr="00AD7A02">
        <w:rPr>
          <w:rFonts w:ascii="Times New Roman" w:hAnsi="Times New Roman" w:cs="Times New Roman"/>
        </w:rPr>
        <w:t xml:space="preserve"> et al. 1991; Visschers et al. 2011). While identifying and rating risks scholars have found that nuclear risks are particularly salient and impactful when the exposure to radiation is seen as involuntary, and as imposed on the subject by other actors or the government (Slovic 1987; Visschers and Siegrist 2013). Studies have shown that high perceived risks lead to low perceived benefits (</w:t>
      </w:r>
      <w:r w:rsidRPr="00AD7A02">
        <w:rPr>
          <w:rFonts w:ascii="Times New Roman" w:hAnsi="Times New Roman" w:cs="Times New Roman"/>
          <w:color w:val="222222"/>
          <w:shd w:val="clear" w:color="auto" w:fill="FFFFFF"/>
        </w:rPr>
        <w:t>De Groot and Steg 2010; De Groot et al. 2013; Fischhoff et al. 1983; Slovic et al. 1984</w:t>
      </w:r>
      <w:r w:rsidRPr="00AD7A02">
        <w:rPr>
          <w:rFonts w:ascii="Times New Roman" w:hAnsi="Times New Roman" w:cs="Times New Roman"/>
        </w:rPr>
        <w:t xml:space="preserve">). Consequently, due to high perceived public health and environmental risks posed by the sites lead individuals to see the benefits of nuclear energy as low, making it very difficult to secure local support for nuclear waste disposal sites when the facility is seen as imposed upon the local community (Slovic et al. 1991; Jenkins-Smith and Kunreuther 2001; Sjoberg 2004; Schively 2007). Bassett, Jenkins‐Smith and Silva (1996) studied the attitudes of local residents about onsite storage of nuclear waste and found that public is concerned for adverse effects due to increased perceptions of risk and stigmatization of the region.  Almost all of the prior studies </w:t>
      </w:r>
      <w:r w:rsidRPr="00AD7A02">
        <w:rPr>
          <w:rFonts w:ascii="Times New Roman" w:hAnsi="Times New Roman" w:cs="Times New Roman"/>
        </w:rPr>
        <w:lastRenderedPageBreak/>
        <w:t>mentioned above are cross-sectional and static. The</w:t>
      </w:r>
      <w:r w:rsidRPr="00AD7A02">
        <w:rPr>
          <w:rFonts w:ascii="Times New Roman" w:hAnsi="Times New Roman" w:cs="Times New Roman"/>
          <w:b/>
          <w:bCs/>
        </w:rPr>
        <w:t xml:space="preserve"> </w:t>
      </w:r>
      <w:r w:rsidRPr="00AD7A02">
        <w:rPr>
          <w:rFonts w:ascii="Times New Roman" w:hAnsi="Times New Roman" w:cs="Times New Roman"/>
        </w:rPr>
        <w:t>contribution</w:t>
      </w:r>
      <w:r w:rsidRPr="00AD7A02">
        <w:rPr>
          <w:rFonts w:ascii="Times New Roman" w:hAnsi="Times New Roman" w:cs="Times New Roman"/>
          <w:b/>
          <w:bCs/>
        </w:rPr>
        <w:t xml:space="preserve"> </w:t>
      </w:r>
      <w:r w:rsidRPr="00AD7A02">
        <w:rPr>
          <w:rFonts w:ascii="Times New Roman" w:hAnsi="Times New Roman" w:cs="Times New Roman"/>
        </w:rPr>
        <w:t xml:space="preserve">of this study is the examination of risk perceptions and policy support over time that allows to look at causal relationships, rather than simple correlations. To assess whether public support for SNF siting policy options is preconditioned by individuals’ perceptions of risks and benefits in connection with nuclear energy, I have formulated the following expectation. </w:t>
      </w:r>
    </w:p>
    <w:p w:rsidR="00B52DD2" w:rsidRPr="003F4BC8" w:rsidRDefault="00B52DD2" w:rsidP="00B52DD2">
      <w:pPr>
        <w:spacing w:line="480" w:lineRule="auto"/>
        <w:ind w:firstLine="720"/>
        <w:jc w:val="both"/>
        <w:outlineLvl w:val="0"/>
        <w:rPr>
          <w:rFonts w:ascii="Times New Roman" w:hAnsi="Times New Roman" w:cs="Times New Roman"/>
          <w:i/>
          <w:iCs/>
        </w:rPr>
      </w:pPr>
      <w:r w:rsidRPr="003F4BC8">
        <w:rPr>
          <w:rFonts w:ascii="Times New Roman" w:hAnsi="Times New Roman" w:cs="Times New Roman"/>
          <w:i/>
          <w:iCs/>
        </w:rPr>
        <w:t xml:space="preserve">H1.: In line with extant literature I expect to find low risk perceptions and higher benefit perceptions in association with nuclear energy will result in increased support for deep geologic disposal of SNF over time. </w:t>
      </w:r>
    </w:p>
    <w:p w:rsidR="00B52DD2" w:rsidRPr="003F4BC8" w:rsidRDefault="00B52DD2" w:rsidP="00B52DD2">
      <w:pPr>
        <w:spacing w:line="480" w:lineRule="auto"/>
        <w:outlineLvl w:val="0"/>
        <w:rPr>
          <w:rFonts w:ascii="Times New Roman" w:hAnsi="Times New Roman" w:cs="Times New Roman"/>
          <w:i/>
          <w:u w:val="single"/>
        </w:rPr>
      </w:pPr>
    </w:p>
    <w:p w:rsidR="00B52DD2" w:rsidRPr="003F4BC8" w:rsidRDefault="00B52DD2" w:rsidP="00B52DD2">
      <w:pPr>
        <w:spacing w:line="480" w:lineRule="auto"/>
        <w:outlineLvl w:val="0"/>
        <w:rPr>
          <w:rFonts w:ascii="Times New Roman" w:hAnsi="Times New Roman" w:cs="Times New Roman"/>
          <w:i/>
          <w:u w:val="single"/>
        </w:rPr>
      </w:pPr>
      <w:r w:rsidRPr="003F4BC8">
        <w:rPr>
          <w:rFonts w:ascii="Times New Roman" w:hAnsi="Times New Roman" w:cs="Times New Roman"/>
          <w:i/>
          <w:u w:val="single"/>
        </w:rPr>
        <w:t>The Impact of Trust</w:t>
      </w:r>
    </w:p>
    <w:p w:rsidR="00B52DD2" w:rsidRPr="00B969BD" w:rsidRDefault="00B52DD2" w:rsidP="00B52DD2">
      <w:pPr>
        <w:spacing w:line="480" w:lineRule="auto"/>
        <w:ind w:firstLine="720"/>
        <w:jc w:val="both"/>
        <w:outlineLvl w:val="0"/>
        <w:rPr>
          <w:rFonts w:ascii="Times New Roman" w:hAnsi="Times New Roman" w:cs="Times New Roman"/>
        </w:rPr>
      </w:pPr>
      <w:r w:rsidRPr="00B969BD">
        <w:rPr>
          <w:rFonts w:ascii="Times New Roman" w:hAnsi="Times New Roman" w:cs="Times New Roman"/>
        </w:rPr>
        <w:t>Public trust is found to be a predictor of specific political attitudes and perceptions particularly for such policy areas that have high complexity for an individual to comprehend (Earle &amp; Cvetkovich 1995; Robinson et al. 2017). For instance, the opponents of nuclear energy mostly justify their resistance in issues connected with SNF management and disposal (Verbruggen 2008; Butler, Parkhill &amp; Pidgeon 2011). In general, at the cornerstone of nuclear opposition are concerns about SNF safety, low trust in SNF disposal practices as well as issues of justice and ethics in relation to SNF disposal locations (Verbruggen 2008; Butler, Parkhill &amp; Pidgeon 2011; Back 2013; Cotton 2015). Individuals with low trust in management and disposal of SNF are worried about the potential catastrophic consequences that nuclear energy production can cause and do not consider nuclear accidents as “black swan” events (</w:t>
      </w:r>
      <w:r w:rsidRPr="00B969BD">
        <w:rPr>
          <w:rFonts w:ascii="Times New Roman" w:hAnsi="Times New Roman" w:cs="Times New Roman"/>
          <w:color w:val="222222"/>
          <w:shd w:val="clear" w:color="auto" w:fill="FFFFFF"/>
        </w:rPr>
        <w:t xml:space="preserve">Rani 2011; </w:t>
      </w:r>
      <w:r w:rsidRPr="00B969BD">
        <w:rPr>
          <w:rFonts w:ascii="Times New Roman" w:hAnsi="Times New Roman" w:cs="Times New Roman"/>
          <w:color w:val="2F2A2B"/>
        </w:rPr>
        <w:t xml:space="preserve">Shrader-Frechette 2007; 2011; </w:t>
      </w:r>
      <w:r w:rsidRPr="00B969BD">
        <w:rPr>
          <w:rFonts w:ascii="Times New Roman" w:hAnsi="Times New Roman" w:cs="Times New Roman"/>
        </w:rPr>
        <w:t>Kraft 2013</w:t>
      </w:r>
      <w:r w:rsidRPr="00B969BD">
        <w:rPr>
          <w:rFonts w:ascii="Times New Roman" w:hAnsi="Times New Roman" w:cs="Times New Roman"/>
          <w:color w:val="2F2A2B"/>
        </w:rPr>
        <w:t>)</w:t>
      </w:r>
      <w:r w:rsidRPr="00B969BD">
        <w:rPr>
          <w:rFonts w:ascii="Times New Roman" w:hAnsi="Times New Roman" w:cs="Times New Roman"/>
        </w:rPr>
        <w:t xml:space="preserve">. For these and other reasons, the extant literature has consistently found evidence for direct influence of trust on energy policy support (Stoutenborough et al. 2013; Walker et al. 2010). </w:t>
      </w:r>
      <w:r w:rsidRPr="00B969BD">
        <w:rPr>
          <w:rFonts w:ascii="Times New Roman" w:hAnsi="Times New Roman" w:cs="Times New Roman"/>
        </w:rPr>
        <w:lastRenderedPageBreak/>
        <w:t>In particular, the acceptance of nuclear energy is associated with higher trust in the management of nuclear technology.</w:t>
      </w:r>
    </w:p>
    <w:p w:rsidR="00B52DD2" w:rsidRPr="00B969BD" w:rsidRDefault="00B52DD2" w:rsidP="00B52DD2">
      <w:pPr>
        <w:spacing w:line="480" w:lineRule="auto"/>
        <w:ind w:firstLine="720"/>
        <w:jc w:val="both"/>
        <w:outlineLvl w:val="0"/>
        <w:rPr>
          <w:rFonts w:ascii="Times New Roman" w:hAnsi="Times New Roman" w:cs="Times New Roman"/>
          <w:i/>
          <w:iCs/>
        </w:rPr>
      </w:pPr>
      <w:r w:rsidRPr="00B969BD">
        <w:rPr>
          <w:rFonts w:ascii="Times New Roman" w:hAnsi="Times New Roman" w:cs="Times New Roman"/>
          <w:i/>
          <w:iCs/>
        </w:rPr>
        <w:t>H2.: Based on previous scholarly findings I expect to see higher levels of public trust in regulation and management of nuclear technology resulting in increased support for a deep geologic disposal of SNF.</w:t>
      </w:r>
    </w:p>
    <w:p w:rsidR="00B52DD2" w:rsidRPr="003F4BC8" w:rsidRDefault="00B52DD2" w:rsidP="00B52DD2">
      <w:pPr>
        <w:spacing w:line="480" w:lineRule="auto"/>
        <w:ind w:firstLine="720"/>
        <w:jc w:val="both"/>
        <w:outlineLvl w:val="0"/>
        <w:rPr>
          <w:rFonts w:ascii="Times New Roman" w:hAnsi="Times New Roman" w:cs="Times New Roman"/>
          <w:i/>
          <w:iCs/>
        </w:rPr>
      </w:pPr>
    </w:p>
    <w:p w:rsidR="00B52DD2" w:rsidRPr="003F4BC8" w:rsidRDefault="00B52DD2" w:rsidP="00B52DD2">
      <w:pPr>
        <w:spacing w:line="480" w:lineRule="auto"/>
        <w:outlineLvl w:val="0"/>
        <w:rPr>
          <w:rFonts w:ascii="Times New Roman" w:hAnsi="Times New Roman" w:cs="Times New Roman"/>
          <w:i/>
          <w:u w:val="single"/>
        </w:rPr>
      </w:pPr>
      <w:r w:rsidRPr="003F4BC8">
        <w:rPr>
          <w:rFonts w:ascii="Times New Roman" w:hAnsi="Times New Roman" w:cs="Times New Roman"/>
          <w:i/>
          <w:u w:val="single"/>
        </w:rPr>
        <w:t>The Impact of Knowledge</w:t>
      </w:r>
    </w:p>
    <w:p w:rsidR="00B52DD2" w:rsidRPr="00196271" w:rsidRDefault="00B52DD2" w:rsidP="00B52DD2">
      <w:pPr>
        <w:spacing w:line="480" w:lineRule="auto"/>
        <w:ind w:firstLine="720"/>
        <w:jc w:val="both"/>
        <w:outlineLvl w:val="0"/>
        <w:rPr>
          <w:rFonts w:ascii="Times New Roman" w:hAnsi="Times New Roman" w:cs="Times New Roman"/>
        </w:rPr>
      </w:pPr>
      <w:r w:rsidRPr="00196271">
        <w:rPr>
          <w:rFonts w:ascii="Times New Roman" w:hAnsi="Times New Roman" w:cs="Times New Roman"/>
        </w:rPr>
        <w:t xml:space="preserve">Knowledge and information have central roles for finding solutions to public policy issues (Baumgartner and Jones 1993). However, individual cognitive biases and heuristics impact information processing among boundedly rational individuals (Tversky and Kahneman 1974; Riker 1990; Kahneman 2003). Individuals are more likely to use imperfect or biased information in search for solutions to complex policy problems (Ostrom 2007). This is problematic for the sustainability of democracy because, when they are based on imperfect and biased information, public preferences are less likely to result in policies that serve the public interest (Lupia, McCubbins &amp; Arthur 1998; Sabatier &amp; Jenkins-Smith 1988). In this regard, scholars have inquired about the role of citizens in decision making processes especially for issues with high complexity (Kuklinski et al. 1982). It has well been established that for especially more complex, challenging or uncertain policy areas and issues public views vastly differ from that of the scientists (Hansen et al. 2003; Slovik 2010; </w:t>
      </w:r>
      <w:r w:rsidRPr="00196271">
        <w:rPr>
          <w:rFonts w:ascii="Times New Roman" w:hAnsi="Times New Roman" w:cs="Times New Roman"/>
          <w:color w:val="222222"/>
          <w:shd w:val="clear" w:color="auto" w:fill="FFFFFF"/>
        </w:rPr>
        <w:t>Savadori et al. 2010</w:t>
      </w:r>
      <w:r w:rsidRPr="00196271">
        <w:rPr>
          <w:rFonts w:ascii="Times New Roman" w:hAnsi="Times New Roman" w:cs="Times New Roman"/>
        </w:rPr>
        <w:t>). However, in such situations the views of policymakers are more likely to reflect that of the citizens than the scientific community (Stoutenborough et al. 2013).</w:t>
      </w:r>
    </w:p>
    <w:p w:rsidR="00B52DD2" w:rsidRPr="005F3235" w:rsidRDefault="00B52DD2" w:rsidP="00B52DD2">
      <w:pPr>
        <w:spacing w:line="480" w:lineRule="auto"/>
        <w:ind w:firstLine="720"/>
        <w:jc w:val="both"/>
        <w:outlineLvl w:val="0"/>
        <w:rPr>
          <w:rFonts w:ascii="Times New Roman" w:hAnsi="Times New Roman" w:cs="Times New Roman"/>
        </w:rPr>
      </w:pPr>
      <w:r w:rsidRPr="005F3235">
        <w:rPr>
          <w:rFonts w:ascii="Times New Roman" w:hAnsi="Times New Roman" w:cs="Times New Roman"/>
        </w:rPr>
        <w:t xml:space="preserve">Nevertheless, the question remains how public chooses one policy option over the other especially in the nuclear energy policy domain. Are informed or knowledgeable citizens more </w:t>
      </w:r>
      <w:r w:rsidRPr="005F3235">
        <w:rPr>
          <w:rFonts w:ascii="Times New Roman" w:hAnsi="Times New Roman" w:cs="Times New Roman"/>
        </w:rPr>
        <w:lastRenderedPageBreak/>
        <w:t>likely to choose one policy option over the other? When looking into individual decision making mechanisms of informed versus uninformed citizens Kuklinski et al. (1982) found that “knowledgeable” citizens rely on ideology as their decision calculus, whereas the “unknowledgeable” draw on their generalized attitudes toward technology. Cues provided by groups involved in the nuclear energy controversy are more effective for “unknowledgeable” than “knowledgeable” citizens (Kuklinski et al. 1982). This implies that if “unknowledgeable” people are more prone to trust anti-nuclear groups, then they will be less likely to support nuclear energy. In that regard, Stoutenborough et al. (2013) have found that people who are more knowledgeable about energy issues are more supportive of nuclear energy.</w:t>
      </w:r>
    </w:p>
    <w:p w:rsidR="00B52DD2" w:rsidRPr="006A66E2" w:rsidRDefault="00B52DD2" w:rsidP="00B52DD2">
      <w:pPr>
        <w:spacing w:line="480" w:lineRule="auto"/>
        <w:ind w:firstLine="720"/>
        <w:jc w:val="both"/>
        <w:outlineLvl w:val="0"/>
        <w:rPr>
          <w:rFonts w:ascii="Times New Roman" w:hAnsi="Times New Roman" w:cs="Times New Roman"/>
          <w:i/>
          <w:iCs/>
        </w:rPr>
      </w:pPr>
      <w:r w:rsidRPr="003F4BC8">
        <w:rPr>
          <w:rFonts w:ascii="Times New Roman" w:hAnsi="Times New Roman" w:cs="Times New Roman"/>
          <w:i/>
          <w:iCs/>
        </w:rPr>
        <w:t>H3.: Drawing from previous literature I posit that individuals who become more knowledgeable about nuclear waste management and disposal over time will be more likely to support deep geologic disposal of SNF.</w:t>
      </w:r>
    </w:p>
    <w:p w:rsidR="00B52DD2" w:rsidRPr="003F4BC8" w:rsidRDefault="00B52DD2" w:rsidP="00B52DD2">
      <w:pPr>
        <w:spacing w:line="480" w:lineRule="auto"/>
        <w:ind w:firstLine="720"/>
        <w:jc w:val="center"/>
        <w:rPr>
          <w:rFonts w:ascii="Times New Roman" w:hAnsi="Times New Roman" w:cs="Times New Roman"/>
          <w:b/>
          <w:bCs/>
        </w:rPr>
      </w:pPr>
      <w:r w:rsidRPr="003F4BC8">
        <w:rPr>
          <w:rFonts w:ascii="Times New Roman" w:hAnsi="Times New Roman" w:cs="Times New Roman"/>
          <w:b/>
          <w:bCs/>
        </w:rPr>
        <w:t>Data and Methods</w:t>
      </w:r>
    </w:p>
    <w:p w:rsidR="00B52DD2" w:rsidRPr="00292D5A"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The data used in the analysis were collected in annual series of nationwide Internet surveys on preferences of U.S. residents concerning the environment and energy sources. The surveys were conducted since 2006 by the National Institute of Risk and Resilience at the University of Oklahoma. The respondents were recruited by web-based samples. Respondent invitations and quotas were employed to assure that the demographic characteristics of the samples matched the characteristics of the adult U.S. population as estimated in the U.S. Census (for sampling details see Jenkins-Smith, Silva, Gupta 2016; 2017).</w:t>
      </w:r>
      <w:r>
        <w:rPr>
          <w:rFonts w:ascii="Times New Roman" w:hAnsi="Times New Roman" w:cs="Times New Roman"/>
        </w:rPr>
        <w:t xml:space="preserve"> The data used in the analysis was collected from 2006 to 2019 through annual series. These are discrete times series as the observations are taken at equally spaced specific time intervals with 13 data points available for the analysis </w:t>
      </w:r>
      <w:r w:rsidRPr="00FD4202">
        <w:rPr>
          <w:rFonts w:ascii="Times New Roman" w:hAnsi="Times New Roman" w:cs="Times New Roman"/>
        </w:rPr>
        <w:t xml:space="preserve">(Chatfield and Xing 2019). With time series analysis a consideration to make is whether 13 data points can </w:t>
      </w:r>
      <w:r w:rsidRPr="00FD4202">
        <w:rPr>
          <w:rFonts w:ascii="Times New Roman" w:hAnsi="Times New Roman" w:cs="Times New Roman"/>
        </w:rPr>
        <w:lastRenderedPageBreak/>
        <w:t xml:space="preserve">be methodologically convincing enough to state with confidence that the results of the analysis matter. The suggested </w:t>
      </w:r>
      <w:r>
        <w:rPr>
          <w:rFonts w:ascii="Times New Roman" w:hAnsi="Times New Roman" w:cs="Times New Roman"/>
        </w:rPr>
        <w:t xml:space="preserve">minimum </w:t>
      </w:r>
      <w:r w:rsidRPr="00FD4202">
        <w:rPr>
          <w:rFonts w:ascii="Times New Roman" w:hAnsi="Times New Roman" w:cs="Times New Roman"/>
        </w:rPr>
        <w:t xml:space="preserve">optimal data points for time series analysis </w:t>
      </w:r>
      <w:r>
        <w:rPr>
          <w:rFonts w:ascii="Times New Roman" w:hAnsi="Times New Roman" w:cs="Times New Roman"/>
        </w:rPr>
        <w:t>varies from 36 to 60 (</w:t>
      </w:r>
      <w:r w:rsidRPr="00FD4202">
        <w:rPr>
          <w:rFonts w:ascii="Times New Roman" w:hAnsi="Times New Roman" w:cs="Times New Roman"/>
        </w:rPr>
        <w:t xml:space="preserve">Box, Jenkins </w:t>
      </w:r>
      <w:r>
        <w:rPr>
          <w:rFonts w:ascii="Times New Roman" w:hAnsi="Times New Roman" w:cs="Times New Roman"/>
        </w:rPr>
        <w:t>and</w:t>
      </w:r>
      <w:r w:rsidRPr="00FD4202">
        <w:rPr>
          <w:rFonts w:ascii="Times New Roman" w:hAnsi="Times New Roman" w:cs="Times New Roman"/>
        </w:rPr>
        <w:t xml:space="preserve"> Reinsel</w:t>
      </w:r>
      <w:r>
        <w:rPr>
          <w:rFonts w:ascii="Times New Roman" w:hAnsi="Times New Roman" w:cs="Times New Roman"/>
        </w:rPr>
        <w:t xml:space="preserve"> </w:t>
      </w:r>
      <w:r w:rsidRPr="00FD4202">
        <w:rPr>
          <w:rFonts w:ascii="Times New Roman" w:hAnsi="Times New Roman" w:cs="Times New Roman"/>
        </w:rPr>
        <w:t>1994</w:t>
      </w:r>
      <w:r>
        <w:rPr>
          <w:rFonts w:ascii="Times New Roman" w:hAnsi="Times New Roman" w:cs="Times New Roman"/>
        </w:rPr>
        <w:t xml:space="preserve">; </w:t>
      </w:r>
      <w:r w:rsidRPr="0083685B">
        <w:rPr>
          <w:rFonts w:ascii="Times New Roman" w:eastAsia="Times New Roman" w:hAnsi="Times New Roman" w:cs="Times New Roman"/>
          <w:color w:val="222222"/>
          <w:shd w:val="clear" w:color="auto" w:fill="FFFFFF"/>
        </w:rPr>
        <w:t>Makridakis</w:t>
      </w:r>
      <w:r>
        <w:rPr>
          <w:rFonts w:ascii="Times New Roman" w:eastAsia="Times New Roman" w:hAnsi="Times New Roman" w:cs="Times New Roman"/>
          <w:color w:val="222222"/>
          <w:shd w:val="clear" w:color="auto" w:fill="FFFFFF"/>
        </w:rPr>
        <w:t xml:space="preserve"> et al. 1982</w:t>
      </w:r>
      <w:r w:rsidRPr="00FD4202">
        <w:rPr>
          <w:rFonts w:ascii="Times New Roman" w:hAnsi="Times New Roman" w:cs="Times New Roman"/>
        </w:rPr>
        <w:t xml:space="preserve">). </w:t>
      </w:r>
      <w:r>
        <w:rPr>
          <w:rFonts w:ascii="Times New Roman" w:hAnsi="Times New Roman" w:cs="Times New Roman"/>
        </w:rPr>
        <w:t xml:space="preserve">Scholars have competing viewpoints about this. </w:t>
      </w:r>
      <w:r w:rsidRPr="00922A9C">
        <w:rPr>
          <w:rFonts w:ascii="Times New Roman" w:hAnsi="Times New Roman" w:cs="Times New Roman"/>
        </w:rPr>
        <w:t>Hyndman</w:t>
      </w:r>
      <w:r>
        <w:rPr>
          <w:rFonts w:ascii="Times New Roman" w:hAnsi="Times New Roman" w:cs="Times New Roman"/>
        </w:rPr>
        <w:t xml:space="preserve"> and</w:t>
      </w:r>
      <w:r w:rsidRPr="00922A9C">
        <w:rPr>
          <w:rFonts w:ascii="Times New Roman" w:hAnsi="Times New Roman" w:cs="Times New Roman"/>
        </w:rPr>
        <w:t xml:space="preserve"> Athanasopoulos</w:t>
      </w:r>
      <w:r>
        <w:rPr>
          <w:rFonts w:ascii="Times New Roman" w:hAnsi="Times New Roman" w:cs="Times New Roman"/>
        </w:rPr>
        <w:t xml:space="preserve"> (</w:t>
      </w:r>
      <w:r w:rsidRPr="00922A9C">
        <w:rPr>
          <w:rFonts w:ascii="Times New Roman" w:hAnsi="Times New Roman" w:cs="Times New Roman"/>
        </w:rPr>
        <w:t>2018)</w:t>
      </w:r>
      <w:r>
        <w:rPr>
          <w:rFonts w:ascii="Times New Roman" w:hAnsi="Times New Roman" w:cs="Times New Roman"/>
        </w:rPr>
        <w:t xml:space="preserve"> argue that these minimum requirements are mostly for time series forecasting techniques, however he also states that it is possible to </w:t>
      </w:r>
      <w:r w:rsidRPr="00CA6B11">
        <w:rPr>
          <w:rFonts w:ascii="Times New Roman" w:hAnsi="Times New Roman" w:cs="Times New Roman"/>
        </w:rPr>
        <w:t>forecast for 1–2 years</w:t>
      </w:r>
      <w:r>
        <w:rPr>
          <w:rFonts w:ascii="Times New Roman" w:hAnsi="Times New Roman" w:cs="Times New Roman"/>
        </w:rPr>
        <w:t xml:space="preserve"> from </w:t>
      </w:r>
      <w:r w:rsidRPr="00CA6B11">
        <w:rPr>
          <w:rFonts w:ascii="Times New Roman" w:hAnsi="Times New Roman" w:cs="Times New Roman"/>
        </w:rPr>
        <w:t>4–5 years of data</w:t>
      </w:r>
      <w:r>
        <w:rPr>
          <w:rFonts w:ascii="Times New Roman" w:hAnsi="Times New Roman" w:cs="Times New Roman"/>
        </w:rPr>
        <w:t xml:space="preserve">. The reading of various approaches towards this make me understand that there is no uniformly agree on </w:t>
      </w:r>
      <w:r w:rsidRPr="00A27D4B">
        <w:rPr>
          <w:rFonts w:ascii="Times New Roman" w:eastAsia="Times New Roman" w:hAnsi="Times New Roman" w:cs="Times New Roman"/>
          <w:color w:val="111111"/>
        </w:rPr>
        <w:t>formula to determine the least sample size for time series</w:t>
      </w:r>
      <w:r>
        <w:rPr>
          <w:rFonts w:ascii="Times New Roman" w:eastAsia="Times New Roman" w:hAnsi="Times New Roman" w:cs="Times New Roman"/>
          <w:color w:val="111111"/>
        </w:rPr>
        <w:t xml:space="preserve"> </w:t>
      </w:r>
      <w:r>
        <w:rPr>
          <w:rFonts w:ascii="Times New Roman" w:hAnsi="Times New Roman" w:cs="Times New Roman"/>
        </w:rPr>
        <w:t>(</w:t>
      </w:r>
      <w:r w:rsidRPr="00FD4202">
        <w:rPr>
          <w:rFonts w:ascii="Times New Roman" w:hAnsi="Times New Roman" w:cs="Times New Roman"/>
        </w:rPr>
        <w:t xml:space="preserve">Box, Jenkins </w:t>
      </w:r>
      <w:r>
        <w:rPr>
          <w:rFonts w:ascii="Times New Roman" w:hAnsi="Times New Roman" w:cs="Times New Roman"/>
        </w:rPr>
        <w:t>and</w:t>
      </w:r>
      <w:r w:rsidRPr="00FD4202">
        <w:rPr>
          <w:rFonts w:ascii="Times New Roman" w:hAnsi="Times New Roman" w:cs="Times New Roman"/>
        </w:rPr>
        <w:t xml:space="preserve"> Reinsel</w:t>
      </w:r>
      <w:r>
        <w:rPr>
          <w:rFonts w:ascii="Times New Roman" w:hAnsi="Times New Roman" w:cs="Times New Roman"/>
        </w:rPr>
        <w:t xml:space="preserve"> </w:t>
      </w:r>
      <w:r w:rsidRPr="00FD4202">
        <w:rPr>
          <w:rFonts w:ascii="Times New Roman" w:hAnsi="Times New Roman" w:cs="Times New Roman"/>
        </w:rPr>
        <w:t>1994</w:t>
      </w:r>
      <w:r>
        <w:rPr>
          <w:rFonts w:ascii="Times New Roman" w:hAnsi="Times New Roman" w:cs="Times New Roman"/>
        </w:rPr>
        <w:t xml:space="preserve">; </w:t>
      </w:r>
      <w:r w:rsidRPr="0083685B">
        <w:rPr>
          <w:rFonts w:ascii="Times New Roman" w:eastAsia="Times New Roman" w:hAnsi="Times New Roman" w:cs="Times New Roman"/>
          <w:color w:val="222222"/>
          <w:shd w:val="clear" w:color="auto" w:fill="FFFFFF"/>
        </w:rPr>
        <w:t>Makridakis</w:t>
      </w:r>
      <w:r>
        <w:rPr>
          <w:rFonts w:ascii="Times New Roman" w:eastAsia="Times New Roman" w:hAnsi="Times New Roman" w:cs="Times New Roman"/>
          <w:color w:val="222222"/>
          <w:shd w:val="clear" w:color="auto" w:fill="FFFFFF"/>
        </w:rPr>
        <w:t xml:space="preserve"> et al. 1982; </w:t>
      </w:r>
      <w:r w:rsidRPr="00922A9C">
        <w:rPr>
          <w:rFonts w:ascii="Times New Roman" w:hAnsi="Times New Roman" w:cs="Times New Roman"/>
        </w:rPr>
        <w:t>Hyndman</w:t>
      </w:r>
      <w:r>
        <w:rPr>
          <w:rFonts w:ascii="Times New Roman" w:hAnsi="Times New Roman" w:cs="Times New Roman"/>
        </w:rPr>
        <w:t xml:space="preserve"> and</w:t>
      </w:r>
      <w:r w:rsidRPr="00922A9C">
        <w:rPr>
          <w:rFonts w:ascii="Times New Roman" w:hAnsi="Times New Roman" w:cs="Times New Roman"/>
        </w:rPr>
        <w:t xml:space="preserve"> Athanasopoulos</w:t>
      </w:r>
      <w:r>
        <w:rPr>
          <w:rFonts w:ascii="Times New Roman" w:hAnsi="Times New Roman" w:cs="Times New Roman"/>
        </w:rPr>
        <w:t xml:space="preserve"> </w:t>
      </w:r>
      <w:r w:rsidRPr="00922A9C">
        <w:rPr>
          <w:rFonts w:ascii="Times New Roman" w:hAnsi="Times New Roman" w:cs="Times New Roman"/>
        </w:rPr>
        <w:t>2018</w:t>
      </w:r>
      <w:r w:rsidRPr="00FD4202">
        <w:rPr>
          <w:rFonts w:ascii="Times New Roman" w:hAnsi="Times New Roman" w:cs="Times New Roman"/>
        </w:rPr>
        <w:t>).</w:t>
      </w:r>
      <w:r>
        <w:rPr>
          <w:rFonts w:ascii="Times New Roman" w:hAnsi="Times New Roman" w:cs="Times New Roman"/>
        </w:rPr>
        <w:t xml:space="preserve"> For the most part it is </w:t>
      </w:r>
      <w:r w:rsidRPr="003B2DC5">
        <w:rPr>
          <w:rFonts w:ascii="Times New Roman" w:hAnsi="Times New Roman" w:cs="Times New Roman"/>
        </w:rPr>
        <w:t xml:space="preserve">the responsibility of </w:t>
      </w:r>
      <w:r w:rsidRPr="00D65571">
        <w:rPr>
          <w:rFonts w:ascii="Times New Roman" w:hAnsi="Times New Roman" w:cs="Times New Roman"/>
        </w:rPr>
        <w:t>the</w:t>
      </w:r>
      <w:r w:rsidRPr="003B2DC5">
        <w:rPr>
          <w:rFonts w:ascii="Times New Roman" w:hAnsi="Times New Roman" w:cs="Times New Roman"/>
        </w:rPr>
        <w:t xml:space="preserve"> researcher to </w:t>
      </w:r>
      <w:r w:rsidRPr="00D65571">
        <w:rPr>
          <w:rFonts w:ascii="Times New Roman" w:hAnsi="Times New Roman" w:cs="Times New Roman"/>
        </w:rPr>
        <w:t xml:space="preserve">subjectively assess whether the data that they have fits the modeling approach in their </w:t>
      </w:r>
      <w:r w:rsidRPr="00270ED9">
        <w:rPr>
          <w:rFonts w:ascii="Times New Roman" w:hAnsi="Times New Roman" w:cs="Times New Roman"/>
        </w:rPr>
        <w:t>scientific inquiry (Chatfield and Xing 2019).</w:t>
      </w:r>
    </w:p>
    <w:p w:rsidR="00B52DD2" w:rsidRPr="003F4BC8" w:rsidRDefault="00B52DD2" w:rsidP="00B52DD2">
      <w:pPr>
        <w:spacing w:line="480" w:lineRule="auto"/>
        <w:ind w:firstLine="720"/>
        <w:jc w:val="both"/>
        <w:outlineLvl w:val="0"/>
        <w:rPr>
          <w:rFonts w:ascii="Times New Roman" w:hAnsi="Times New Roman" w:cs="Times New Roman"/>
        </w:rPr>
      </w:pPr>
      <w:r w:rsidRPr="00D65571">
        <w:rPr>
          <w:rFonts w:ascii="Times New Roman" w:hAnsi="Times New Roman" w:cs="Times New Roman"/>
        </w:rPr>
        <w:t>In that regard the review of an important body of literature in Political Si</w:t>
      </w:r>
      <w:r>
        <w:rPr>
          <w:rFonts w:ascii="Times New Roman" w:hAnsi="Times New Roman" w:cs="Times New Roman"/>
        </w:rPr>
        <w:t>e</w:t>
      </w:r>
      <w:r w:rsidRPr="00D65571">
        <w:rPr>
          <w:rFonts w:ascii="Times New Roman" w:hAnsi="Times New Roman" w:cs="Times New Roman"/>
        </w:rPr>
        <w:t>nce demonstrates that the</w:t>
      </w:r>
      <w:r>
        <w:rPr>
          <w:rFonts w:ascii="Times New Roman" w:hAnsi="Times New Roman" w:cs="Times New Roman"/>
        </w:rPr>
        <w:t>re</w:t>
      </w:r>
      <w:r w:rsidRPr="00D65571">
        <w:rPr>
          <w:rFonts w:ascii="Times New Roman" w:hAnsi="Times New Roman" w:cs="Times New Roman"/>
        </w:rPr>
        <w:t xml:space="preserve"> are many important studies that have provided valuable contribution to our theoretical understanding of political phenomena with fewer than 30 data points (Palm et al. 2017; </w:t>
      </w:r>
      <w:r w:rsidRPr="00661963">
        <w:rPr>
          <w:rFonts w:ascii="Times New Roman" w:hAnsi="Times New Roman" w:cs="Times New Roman"/>
        </w:rPr>
        <w:t>Jenkins-Smith</w:t>
      </w:r>
      <w:r w:rsidRPr="00D65571">
        <w:rPr>
          <w:rFonts w:ascii="Times New Roman" w:hAnsi="Times New Roman" w:cs="Times New Roman"/>
        </w:rPr>
        <w:t xml:space="preserve"> et al. 2020; </w:t>
      </w:r>
      <w:r w:rsidRPr="00443D11">
        <w:rPr>
          <w:rFonts w:ascii="Times New Roman" w:hAnsi="Times New Roman" w:cs="Times New Roman"/>
        </w:rPr>
        <w:t>Robinson</w:t>
      </w:r>
      <w:r>
        <w:rPr>
          <w:rFonts w:ascii="Times New Roman" w:hAnsi="Times New Roman" w:cs="Times New Roman"/>
        </w:rPr>
        <w:t xml:space="preserve"> et al. 2014; </w:t>
      </w:r>
      <w:r w:rsidRPr="00C459AF">
        <w:rPr>
          <w:rFonts w:ascii="Times New Roman" w:hAnsi="Times New Roman" w:cs="Times New Roman"/>
        </w:rPr>
        <w:t>Flink</w:t>
      </w:r>
      <w:r>
        <w:rPr>
          <w:rFonts w:ascii="Times New Roman" w:hAnsi="Times New Roman" w:cs="Times New Roman"/>
        </w:rPr>
        <w:t xml:space="preserve"> 2019). For the purposes of the analysis 13 data periods might be sufficient to demonstrate whether the change in the independent variable has resulted in a change of the dependent variables several years later. However, it is necessary to state that we would be able to have more confidence in the analysis with at least 30 data periods. These limitations will be considered when evaluating the results of the analyses.</w:t>
      </w:r>
    </w:p>
    <w:p w:rsidR="00B52DD2" w:rsidRPr="003F4BC8"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This inquiry begins by describing the trends in public views on three foundational components of the conceptual framework of this study: (a) How does the U.S. public assess the risks and benefits of nuclear energy over time? (b) How is the U.S. public trust in regulation and management of nuclear technology evolving over time? (c) How has knowledge about nuclear waste management and disposal changed over time among American public?</w:t>
      </w:r>
    </w:p>
    <w:p w:rsidR="00B52DD2" w:rsidRPr="003F4BC8"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lastRenderedPageBreak/>
        <w:t xml:space="preserve">The second section of the inquiry is built on explanative times series analysis to examine whether evolving public risk perceptions, trust in government and knowledge in nuclear waste management technologies have affected public perceptions in SNF siting policy options </w:t>
      </w:r>
      <w:r>
        <w:rPr>
          <w:rFonts w:ascii="Times New Roman" w:hAnsi="Times New Roman" w:cs="Times New Roman"/>
        </w:rPr>
        <w:t>over time</w:t>
      </w:r>
      <w:r w:rsidRPr="003F4BC8">
        <w:rPr>
          <w:rFonts w:ascii="Times New Roman" w:hAnsi="Times New Roman" w:cs="Times New Roman"/>
        </w:rPr>
        <w:t>. Explanative times series analysis, also known as cross correlation analysis, is used to determine the relationship between the series given the number of lags or lapses of time periods between them (Chatfield 2013). The choice of this method is determined by the research question the study aims to answer. As mentioned above, the central question of the study is how and to what extent changes in public risk perceptions, trust in government and knowledge about nuclear energy affect their SNF siting policy preferences over time. This question has resulted in the choice of the methodological approach because explanative times series analysis has the potential of estimating the relationship between two or more series to detect whether changes in one series have resulted in changes in the other (Box et al. 1994; Chatfield 2013).</w:t>
      </w:r>
    </w:p>
    <w:p w:rsidR="00B52DD2" w:rsidRPr="003F4BC8" w:rsidRDefault="00B52DD2" w:rsidP="00B52DD2">
      <w:pPr>
        <w:spacing w:line="480" w:lineRule="auto"/>
        <w:ind w:firstLine="720"/>
        <w:jc w:val="both"/>
        <w:outlineLvl w:val="0"/>
        <w:rPr>
          <w:rFonts w:ascii="Times New Roman" w:hAnsi="Times New Roman" w:cs="Times New Roman"/>
        </w:rPr>
      </w:pPr>
    </w:p>
    <w:p w:rsidR="00B52DD2" w:rsidRPr="003F4BC8" w:rsidRDefault="00B52DD2" w:rsidP="00B52DD2">
      <w:pPr>
        <w:spacing w:line="480" w:lineRule="auto"/>
        <w:ind w:firstLine="720"/>
        <w:jc w:val="center"/>
        <w:rPr>
          <w:rFonts w:ascii="Times New Roman" w:hAnsi="Times New Roman" w:cs="Times New Roman"/>
          <w:b/>
          <w:bCs/>
        </w:rPr>
      </w:pPr>
      <w:r w:rsidRPr="003F4BC8">
        <w:rPr>
          <w:rFonts w:ascii="Times New Roman" w:hAnsi="Times New Roman" w:cs="Times New Roman"/>
          <w:b/>
          <w:bCs/>
        </w:rPr>
        <w:t>Findings and Discussion</w:t>
      </w:r>
    </w:p>
    <w:p w:rsidR="00B52DD2" w:rsidRPr="003F4BC8" w:rsidRDefault="00B52DD2" w:rsidP="00B52DD2">
      <w:pPr>
        <w:spacing w:line="480" w:lineRule="auto"/>
        <w:outlineLvl w:val="0"/>
        <w:rPr>
          <w:rFonts w:ascii="Times New Roman" w:hAnsi="Times New Roman" w:cs="Times New Roman"/>
          <w:i/>
          <w:iCs/>
        </w:rPr>
      </w:pPr>
      <w:r w:rsidRPr="003F4BC8">
        <w:rPr>
          <w:rFonts w:ascii="Times New Roman" w:hAnsi="Times New Roman" w:cs="Times New Roman"/>
          <w:i/>
          <w:iCs/>
        </w:rPr>
        <w:t>Part I: Evolution of Public Perceptions in Risk, Trust and Knowledge on Nuclear Energy</w:t>
      </w:r>
    </w:p>
    <w:p w:rsidR="00B52DD2" w:rsidRPr="003F4BC8"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To answer the first question of this inquiry I track the evolution of public perception in SNF siting preferences over time in parallel with public risk perceptions, knowledge and trust in government in relation to nuclear waste management technologies. First, I explore nuclear energy risk and benefit perceptions as the central explanatory variables for public support in nuclear energy.</w:t>
      </w:r>
    </w:p>
    <w:p w:rsidR="00B52DD2" w:rsidRPr="003F4BC8"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 xml:space="preserve">In line with the theoretical underpinning stated above, over 13-year timeframe respondents in the U.S. have been asked annually to assess the risks associated with nuclear energy production on a continuous scale from 0 (no risk) to 10 (extreme risk). They have been asked to evaluate their </w:t>
      </w:r>
      <w:r w:rsidRPr="003F4BC8">
        <w:rPr>
          <w:rFonts w:ascii="Times New Roman" w:hAnsi="Times New Roman" w:cs="Times New Roman"/>
        </w:rPr>
        <w:lastRenderedPageBreak/>
        <w:t xml:space="preserve">risk perceptions in connection with nuclear energy by the likelihood of the potential risks occurring because of an operational accident at a nuclear power plant, or nuclear waste transportation or storage accident, </w:t>
      </w:r>
      <w:r>
        <w:rPr>
          <w:rFonts w:ascii="Times New Roman" w:hAnsi="Times New Roman" w:cs="Times New Roman"/>
        </w:rPr>
        <w:t xml:space="preserve">a </w:t>
      </w:r>
      <w:r w:rsidRPr="003F4BC8">
        <w:rPr>
          <w:rFonts w:ascii="Times New Roman" w:hAnsi="Times New Roman" w:cs="Times New Roman"/>
        </w:rPr>
        <w:t>terrorist attack at a nuclear power plant</w:t>
      </w:r>
      <w:r>
        <w:rPr>
          <w:rFonts w:ascii="Times New Roman" w:hAnsi="Times New Roman" w:cs="Times New Roman"/>
        </w:rPr>
        <w:t>,</w:t>
      </w:r>
      <w:r w:rsidRPr="003F4BC8">
        <w:rPr>
          <w:rFonts w:ascii="Times New Roman" w:hAnsi="Times New Roman" w:cs="Times New Roman"/>
        </w:rPr>
        <w:t xml:space="preserve"> or </w:t>
      </w:r>
      <w:r>
        <w:rPr>
          <w:rFonts w:ascii="Times New Roman" w:hAnsi="Times New Roman" w:cs="Times New Roman"/>
        </w:rPr>
        <w:t xml:space="preserve">a </w:t>
      </w:r>
      <w:r w:rsidRPr="003F4BC8">
        <w:rPr>
          <w:rFonts w:ascii="Times New Roman" w:hAnsi="Times New Roman" w:cs="Times New Roman"/>
        </w:rPr>
        <w:t>diversion of nuclear fuel to nuclear weapons.</w:t>
      </w:r>
      <w:r w:rsidRPr="003F4BC8">
        <w:rPr>
          <w:rStyle w:val="FootnoteReference"/>
          <w:rFonts w:ascii="Times New Roman" w:hAnsi="Times New Roman" w:cs="Times New Roman"/>
        </w:rPr>
        <w:footnoteReference w:id="4"/>
      </w:r>
      <w:r w:rsidRPr="003F4BC8">
        <w:rPr>
          <w:rFonts w:ascii="Times New Roman" w:hAnsi="Times New Roman" w:cs="Times New Roman"/>
        </w:rPr>
        <w:t xml:space="preserve"> As we can see from figure 1 the mean risk perceptions among U.S. public have historically been above midpoint with increasing trends for all measures of risk perceptions. As we can see from figure </w:t>
      </w:r>
      <w:r>
        <w:rPr>
          <w:rFonts w:ascii="Times New Roman" w:hAnsi="Times New Roman" w:cs="Times New Roman"/>
        </w:rPr>
        <w:t>3-</w:t>
      </w:r>
      <w:r w:rsidRPr="003F4BC8">
        <w:rPr>
          <w:rFonts w:ascii="Times New Roman" w:hAnsi="Times New Roman" w:cs="Times New Roman"/>
        </w:rPr>
        <w:t xml:space="preserve">1, the risk of terrorist attack is </w:t>
      </w:r>
      <w:r>
        <w:rPr>
          <w:rFonts w:ascii="Times New Roman" w:hAnsi="Times New Roman" w:cs="Times New Roman"/>
        </w:rPr>
        <w:t xml:space="preserve">perceived to be </w:t>
      </w:r>
      <w:r w:rsidRPr="003F4BC8">
        <w:rPr>
          <w:rFonts w:ascii="Times New Roman" w:hAnsi="Times New Roman" w:cs="Times New Roman"/>
        </w:rPr>
        <w:t>the most threatening, followed by the risk of an operational accident in nuclear power plant.</w:t>
      </w:r>
    </w:p>
    <w:p w:rsidR="00B52DD2" w:rsidRPr="003F4BC8" w:rsidRDefault="00B52DD2" w:rsidP="00B52DD2">
      <w:pPr>
        <w:spacing w:line="480" w:lineRule="auto"/>
        <w:ind w:firstLine="720"/>
        <w:jc w:val="center"/>
        <w:outlineLvl w:val="0"/>
        <w:rPr>
          <w:rFonts w:ascii="Times New Roman" w:hAnsi="Times New Roman" w:cs="Times New Roman"/>
          <w:b/>
          <w:bCs/>
        </w:rPr>
      </w:pPr>
      <w:r w:rsidRPr="003137D1">
        <w:rPr>
          <w:rFonts w:ascii="Times New Roman" w:hAnsi="Times New Roman" w:cs="Times New Roman"/>
          <w:b/>
          <w:bCs/>
        </w:rPr>
        <w:t>Figure 3-1. Nuclear Energy Mean Risk Perceptions from 2006-2019</w:t>
      </w:r>
    </w:p>
    <w:p w:rsidR="00B52DD2" w:rsidRPr="003F4BC8" w:rsidRDefault="00B52DD2" w:rsidP="00B52DD2">
      <w:pPr>
        <w:ind w:firstLine="720"/>
        <w:jc w:val="center"/>
        <w:outlineLvl w:val="0"/>
        <w:rPr>
          <w:rFonts w:ascii="Times New Roman" w:hAnsi="Times New Roman" w:cs="Times New Roman"/>
          <w:b/>
          <w:bCs/>
        </w:rPr>
      </w:pPr>
      <w:r w:rsidRPr="003137D1">
        <w:rPr>
          <w:rFonts w:ascii="Times New Roman" w:hAnsi="Times New Roman" w:cs="Times New Roman"/>
          <w:b/>
          <w:bCs/>
          <w:noProof/>
        </w:rPr>
        <w:drawing>
          <wp:inline distT="0" distB="0" distL="0" distR="0" wp14:anchorId="00A34A32" wp14:editId="136210F2">
            <wp:extent cx="5422900" cy="3200400"/>
            <wp:effectExtent l="0" t="0" r="0" b="0"/>
            <wp:docPr id="32" name="Picture 3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22900" cy="3200400"/>
                    </a:xfrm>
                    <a:prstGeom prst="rect">
                      <a:avLst/>
                    </a:prstGeom>
                  </pic:spPr>
                </pic:pic>
              </a:graphicData>
            </a:graphic>
          </wp:inline>
        </w:drawing>
      </w:r>
    </w:p>
    <w:p w:rsidR="00B52DD2" w:rsidRPr="003F4BC8" w:rsidRDefault="00B52DD2" w:rsidP="00B52DD2">
      <w:pPr>
        <w:outlineLvl w:val="0"/>
        <w:rPr>
          <w:rFonts w:ascii="Times New Roman" w:hAnsi="Times New Roman" w:cs="Times New Roman"/>
          <w:sz w:val="20"/>
          <w:szCs w:val="20"/>
        </w:rPr>
      </w:pPr>
      <w:r w:rsidRPr="003F4BC8">
        <w:rPr>
          <w:rFonts w:ascii="Times New Roman" w:hAnsi="Times New Roman" w:cs="Times New Roman"/>
          <w:sz w:val="20"/>
          <w:szCs w:val="20"/>
        </w:rPr>
        <w:t>Note: The figure depicts Nuclear Energy Mean Risk Perceptions. X-axis represents the years and Y-axis represents the mean values for risk perceptions. Data are interpolated through missing values.</w:t>
      </w:r>
    </w:p>
    <w:p w:rsidR="00B52DD2" w:rsidRPr="003F4BC8" w:rsidRDefault="00B52DD2" w:rsidP="00B52DD2">
      <w:pPr>
        <w:outlineLvl w:val="0"/>
        <w:rPr>
          <w:rFonts w:ascii="Times New Roman" w:hAnsi="Times New Roman" w:cs="Times New Roman"/>
          <w:sz w:val="20"/>
          <w:szCs w:val="20"/>
        </w:rPr>
      </w:pPr>
    </w:p>
    <w:p w:rsidR="00B52DD2" w:rsidRPr="00D43DB7" w:rsidRDefault="00B52DD2" w:rsidP="00B52DD2">
      <w:pPr>
        <w:spacing w:line="480" w:lineRule="auto"/>
        <w:ind w:firstLine="720"/>
        <w:jc w:val="both"/>
        <w:outlineLvl w:val="0"/>
      </w:pPr>
      <w:r w:rsidRPr="00B65123">
        <w:rPr>
          <w:rFonts w:ascii="Times New Roman" w:hAnsi="Times New Roman" w:cs="Times New Roman"/>
        </w:rPr>
        <w:t xml:space="preserve">Respondents were also asked to rate the benefits of nuclear energy use and production in the U.S., using a continuous scale from 0 (not at all beneficial) to 10 (extremely beneficial). They were asked to evaluate whether nuclear energy production helps to reduce environmental threats, provides reliable power, ensures U.S. energy independence, and reduces mining/extraction. Figure </w:t>
      </w:r>
      <w:r>
        <w:rPr>
          <w:rFonts w:ascii="Times New Roman" w:hAnsi="Times New Roman" w:cs="Times New Roman"/>
        </w:rPr>
        <w:lastRenderedPageBreak/>
        <w:t>3-</w:t>
      </w:r>
      <w:r w:rsidRPr="00B65123">
        <w:rPr>
          <w:rFonts w:ascii="Times New Roman" w:hAnsi="Times New Roman" w:cs="Times New Roman"/>
        </w:rPr>
        <w:t xml:space="preserve">2 displays trends in mean responses for each of the four benefits. As we can see U.S. public has historically assessed energy independence to be the most beneficial aspect of nuclear energy production, followed by the provision of reliable </w:t>
      </w:r>
      <w:r w:rsidRPr="00D204FD">
        <w:rPr>
          <w:rFonts w:ascii="Times New Roman" w:hAnsi="Times New Roman" w:cs="Times New Roman"/>
        </w:rPr>
        <w:t>power. However, we do see a spike for the assessment of reduced mining/extraction in 2016. The overall declining trend over time statistically is not significant.</w:t>
      </w:r>
    </w:p>
    <w:p w:rsidR="00B52DD2" w:rsidRPr="00136DC4" w:rsidRDefault="00B52DD2" w:rsidP="00B52DD2">
      <w:pPr>
        <w:spacing w:line="480" w:lineRule="auto"/>
        <w:ind w:firstLine="720"/>
        <w:jc w:val="center"/>
        <w:outlineLvl w:val="0"/>
        <w:rPr>
          <w:rFonts w:ascii="Times New Roman" w:hAnsi="Times New Roman" w:cs="Times New Roman"/>
          <w:b/>
          <w:bCs/>
        </w:rPr>
      </w:pPr>
      <w:r w:rsidRPr="003137D1">
        <w:rPr>
          <w:rFonts w:ascii="Times New Roman" w:hAnsi="Times New Roman" w:cs="Times New Roman"/>
          <w:b/>
          <w:bCs/>
        </w:rPr>
        <w:t>Figure 3-2. Nuclear Energy Mean Benefit Perceptions from 2006-2019</w:t>
      </w:r>
    </w:p>
    <w:p w:rsidR="00B52DD2" w:rsidRPr="00136DC4" w:rsidRDefault="00B52DD2" w:rsidP="00B52DD2">
      <w:pPr>
        <w:jc w:val="center"/>
        <w:outlineLvl w:val="0"/>
        <w:rPr>
          <w:rFonts w:ascii="Times New Roman" w:hAnsi="Times New Roman" w:cs="Times New Roman"/>
        </w:rPr>
      </w:pPr>
      <w:r w:rsidRPr="003137D1">
        <w:rPr>
          <w:rFonts w:ascii="Times New Roman" w:hAnsi="Times New Roman" w:cs="Times New Roman"/>
          <w:noProof/>
          <w:sz w:val="20"/>
          <w:szCs w:val="20"/>
        </w:rPr>
        <w:drawing>
          <wp:inline distT="0" distB="0" distL="0" distR="0" wp14:anchorId="3430D0E8" wp14:editId="4FCB3414">
            <wp:extent cx="5422900" cy="3200400"/>
            <wp:effectExtent l="0" t="0" r="0" b="0"/>
            <wp:docPr id="31" name="Picture 3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22900" cy="3200400"/>
                    </a:xfrm>
                    <a:prstGeom prst="rect">
                      <a:avLst/>
                    </a:prstGeom>
                  </pic:spPr>
                </pic:pic>
              </a:graphicData>
            </a:graphic>
          </wp:inline>
        </w:drawing>
      </w:r>
      <w:r w:rsidRPr="003F4BC8">
        <w:rPr>
          <w:rFonts w:ascii="Times New Roman" w:hAnsi="Times New Roman" w:cs="Times New Roman"/>
          <w:sz w:val="20"/>
          <w:szCs w:val="20"/>
        </w:rPr>
        <w:t>Note: The figure depicts the trends in Nuclear Energy Mean Benefit Perceptions. X-axis represents the years and Y-axis represents the mean values for benefit perceptions. Data are interpolated through missing values.</w:t>
      </w:r>
    </w:p>
    <w:p w:rsidR="00B52DD2" w:rsidRPr="003F4BC8" w:rsidRDefault="00B52DD2" w:rsidP="00B52DD2">
      <w:pPr>
        <w:outlineLvl w:val="0"/>
        <w:rPr>
          <w:rFonts w:ascii="Times New Roman" w:hAnsi="Times New Roman" w:cs="Times New Roman"/>
        </w:rPr>
      </w:pPr>
    </w:p>
    <w:p w:rsidR="00B52DD2" w:rsidRPr="00EE6D88" w:rsidRDefault="00B52DD2" w:rsidP="00B52DD2">
      <w:pPr>
        <w:spacing w:line="480" w:lineRule="auto"/>
        <w:ind w:firstLine="720"/>
        <w:jc w:val="both"/>
        <w:outlineLvl w:val="0"/>
      </w:pPr>
      <w:r w:rsidRPr="00F312C3">
        <w:rPr>
          <w:rFonts w:ascii="Times New Roman" w:hAnsi="Times New Roman" w:cs="Times New Roman"/>
        </w:rPr>
        <w:t>Another important component of the psychometric basis of support for nuclear energy among public is their perceptions of trust for regulation and management of nuclear technology. From 2010-2019 our respondents have been asked to assess their level of trust towards experts on a continuous scale from 0 (no trust) to 10 (complete trust) in federal and state regulators, in the national laboratories and in the Department of Defense. Figure 3</w:t>
      </w:r>
      <w:r>
        <w:rPr>
          <w:rFonts w:ascii="Times New Roman" w:hAnsi="Times New Roman" w:cs="Times New Roman"/>
        </w:rPr>
        <w:t>-3</w:t>
      </w:r>
      <w:r w:rsidRPr="00F312C3">
        <w:rPr>
          <w:rFonts w:ascii="Times New Roman" w:hAnsi="Times New Roman" w:cs="Times New Roman"/>
        </w:rPr>
        <w:t xml:space="preserve"> </w:t>
      </w:r>
      <w:r w:rsidRPr="00D204FD">
        <w:rPr>
          <w:rFonts w:ascii="Times New Roman" w:hAnsi="Times New Roman" w:cs="Times New Roman"/>
        </w:rPr>
        <w:t>shows that overall the mean assessment of trust among public has increasing trends. However, the change over time is not statistically significant.</w:t>
      </w:r>
      <w:r>
        <w:t xml:space="preserve"> </w:t>
      </w:r>
      <w:r w:rsidRPr="003F4BC8">
        <w:rPr>
          <w:rFonts w:ascii="Times New Roman" w:hAnsi="Times New Roman" w:cs="Times New Roman"/>
        </w:rPr>
        <w:t xml:space="preserve">Public perceives the highest level of trust towards experts from national </w:t>
      </w:r>
      <w:r w:rsidRPr="003F4BC8">
        <w:rPr>
          <w:rFonts w:ascii="Times New Roman" w:hAnsi="Times New Roman" w:cs="Times New Roman"/>
        </w:rPr>
        <w:lastRenderedPageBreak/>
        <w:t xml:space="preserve">laboratories followed by federal regulators and Department of defense. </w:t>
      </w:r>
      <w:r w:rsidRPr="006E6AB3">
        <w:rPr>
          <w:rFonts w:ascii="Times New Roman" w:hAnsi="Times New Roman" w:cs="Times New Roman"/>
        </w:rPr>
        <w:t>While trust towards state regulators is at the lowest level compared to other three organizations, nonetheless, it has the least aggregate change over time.</w:t>
      </w:r>
    </w:p>
    <w:p w:rsidR="00B52DD2" w:rsidRPr="003F4BC8" w:rsidRDefault="00B52DD2" w:rsidP="00B52DD2">
      <w:pPr>
        <w:spacing w:line="480" w:lineRule="auto"/>
        <w:ind w:firstLine="720"/>
        <w:jc w:val="center"/>
        <w:outlineLvl w:val="0"/>
        <w:rPr>
          <w:rFonts w:ascii="Times New Roman" w:hAnsi="Times New Roman" w:cs="Times New Roman"/>
          <w:b/>
          <w:bCs/>
        </w:rPr>
      </w:pPr>
      <w:r w:rsidRPr="00992EB6">
        <w:rPr>
          <w:rFonts w:ascii="Times New Roman" w:hAnsi="Times New Roman" w:cs="Times New Roman"/>
          <w:b/>
          <w:bCs/>
        </w:rPr>
        <w:t>Figure 3-3. Mean Public Trust towards Experts for Regulation and</w:t>
      </w:r>
      <w:r w:rsidRPr="003F4BC8">
        <w:rPr>
          <w:rFonts w:ascii="Times New Roman" w:hAnsi="Times New Roman" w:cs="Times New Roman"/>
          <w:b/>
          <w:bCs/>
        </w:rPr>
        <w:t xml:space="preserve"> Management of Nuclear Technology</w:t>
      </w:r>
    </w:p>
    <w:p w:rsidR="00B52DD2" w:rsidRPr="003F4BC8" w:rsidRDefault="00B52DD2" w:rsidP="00B52DD2">
      <w:pPr>
        <w:jc w:val="center"/>
        <w:outlineLvl w:val="0"/>
        <w:rPr>
          <w:rFonts w:ascii="Times New Roman" w:hAnsi="Times New Roman" w:cs="Times New Roman"/>
        </w:rPr>
      </w:pPr>
      <w:r w:rsidRPr="00992EB6">
        <w:rPr>
          <w:rFonts w:ascii="Times New Roman" w:hAnsi="Times New Roman" w:cs="Times New Roman"/>
          <w:noProof/>
        </w:rPr>
        <w:drawing>
          <wp:inline distT="0" distB="0" distL="0" distR="0" wp14:anchorId="4199B2A7" wp14:editId="4067887C">
            <wp:extent cx="5560060" cy="3281347"/>
            <wp:effectExtent l="0" t="0" r="2540" b="0"/>
            <wp:docPr id="29" name="Picture 2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567413" cy="3285686"/>
                    </a:xfrm>
                    <a:prstGeom prst="rect">
                      <a:avLst/>
                    </a:prstGeom>
                  </pic:spPr>
                </pic:pic>
              </a:graphicData>
            </a:graphic>
          </wp:inline>
        </w:drawing>
      </w:r>
    </w:p>
    <w:p w:rsidR="00B52DD2" w:rsidRPr="003F4BC8" w:rsidRDefault="00B52DD2" w:rsidP="00B52DD2">
      <w:pPr>
        <w:jc w:val="both"/>
        <w:outlineLvl w:val="0"/>
        <w:rPr>
          <w:rFonts w:ascii="Times New Roman" w:hAnsi="Times New Roman" w:cs="Times New Roman"/>
          <w:sz w:val="20"/>
          <w:szCs w:val="20"/>
        </w:rPr>
      </w:pPr>
      <w:r w:rsidRPr="003F4BC8">
        <w:rPr>
          <w:rFonts w:ascii="Times New Roman" w:hAnsi="Times New Roman" w:cs="Times New Roman"/>
          <w:sz w:val="20"/>
          <w:szCs w:val="20"/>
        </w:rPr>
        <w:t>Note: The Evolution of Public Perceptions of Trust in Experts for Nuclear Energy Management and Regulation from 2012-2019. X-axis represents the years and Y-axis represents the mean values for trust perceptions. Data are interpolated through missing values.</w:t>
      </w:r>
    </w:p>
    <w:p w:rsidR="00B52DD2" w:rsidRPr="003F4BC8" w:rsidRDefault="00B52DD2" w:rsidP="00B52DD2">
      <w:pPr>
        <w:outlineLvl w:val="0"/>
        <w:rPr>
          <w:rFonts w:ascii="Times New Roman" w:hAnsi="Times New Roman" w:cs="Times New Roman"/>
        </w:rPr>
      </w:pPr>
    </w:p>
    <w:p w:rsidR="00B52DD2" w:rsidRPr="008310BF" w:rsidRDefault="00B52DD2" w:rsidP="00B52DD2">
      <w:pPr>
        <w:spacing w:line="480" w:lineRule="auto"/>
        <w:ind w:firstLine="720"/>
        <w:jc w:val="both"/>
        <w:outlineLvl w:val="0"/>
      </w:pPr>
      <w:r w:rsidRPr="00651862">
        <w:rPr>
          <w:rFonts w:ascii="Times New Roman" w:hAnsi="Times New Roman" w:cs="Times New Roman"/>
        </w:rPr>
        <w:t xml:space="preserve">Knowledge </w:t>
      </w:r>
      <w:r>
        <w:rPr>
          <w:rFonts w:ascii="Times New Roman" w:hAnsi="Times New Roman" w:cs="Times New Roman"/>
        </w:rPr>
        <w:t>a</w:t>
      </w:r>
      <w:r w:rsidRPr="00651862">
        <w:rPr>
          <w:rFonts w:ascii="Times New Roman" w:hAnsi="Times New Roman" w:cs="Times New Roman"/>
        </w:rPr>
        <w:t>s another explanatory factor is hypothesized to impact public support for SNF management and storage policy options. To measure knowledge about SNF policy options respondents were given four mutually exclusive options and were asked to choose the option that applies best to what is currently being done to SNF produced in the U.S. to the best of their knowledge.</w:t>
      </w:r>
      <w:r>
        <w:t xml:space="preserve"> </w:t>
      </w:r>
      <w:r w:rsidRPr="003F4BC8">
        <w:rPr>
          <w:rFonts w:ascii="Times New Roman" w:hAnsi="Times New Roman" w:cs="Times New Roman"/>
        </w:rPr>
        <w:t xml:space="preserve">Figure </w:t>
      </w:r>
      <w:r>
        <w:rPr>
          <w:rFonts w:ascii="Times New Roman" w:hAnsi="Times New Roman" w:cs="Times New Roman"/>
        </w:rPr>
        <w:t>3-</w:t>
      </w:r>
      <w:r w:rsidRPr="003F4BC8">
        <w:rPr>
          <w:rFonts w:ascii="Times New Roman" w:hAnsi="Times New Roman" w:cs="Times New Roman"/>
        </w:rPr>
        <w:t xml:space="preserve">4 shows the percentage of respondents choosing one of the given four policy options about SNF processing and storage. As we can observe from the graph the percentage of people who think SNF is shipped to regional facilities has been at 30% in 2006 and have gradually </w:t>
      </w:r>
      <w:r w:rsidRPr="003F4BC8">
        <w:rPr>
          <w:rFonts w:ascii="Times New Roman" w:hAnsi="Times New Roman" w:cs="Times New Roman"/>
        </w:rPr>
        <w:lastRenderedPageBreak/>
        <w:t>decreased over time to 20%. In 2006 almost 36% of respondents thought that SNF is being shipped to the state of Nevada for deep geologic depository. However this number has decreased to 25% in 2019. Inversely, the number of respondents who correctly believe that SNF is stored onsite at nuclear facilities around the U.S. has been 22% in 2006. This number has spiked to 41% in 2011 and has gradually decreased to 38% in 2019.</w:t>
      </w:r>
      <w:r>
        <w:rPr>
          <w:rFonts w:ascii="Times New Roman" w:hAnsi="Times New Roman" w:cs="Times New Roman"/>
        </w:rPr>
        <w:t xml:space="preserve"> </w:t>
      </w:r>
      <w:r w:rsidRPr="008310BF">
        <w:rPr>
          <w:rFonts w:ascii="Times New Roman" w:hAnsi="Times New Roman" w:cs="Times New Roman"/>
        </w:rPr>
        <w:t>Overall, the fraction of people who correctly believe that SNF is stored onsite has increased in 2011 and has stayed stable compared to the segment of people who believe in other three options.</w:t>
      </w:r>
    </w:p>
    <w:p w:rsidR="00B52DD2" w:rsidRPr="003F4BC8" w:rsidRDefault="00B52DD2" w:rsidP="00B52DD2">
      <w:pPr>
        <w:spacing w:line="480" w:lineRule="auto"/>
        <w:ind w:firstLine="720"/>
        <w:jc w:val="center"/>
        <w:outlineLvl w:val="0"/>
        <w:rPr>
          <w:rFonts w:ascii="Times New Roman" w:hAnsi="Times New Roman" w:cs="Times New Roman"/>
          <w:b/>
          <w:bCs/>
        </w:rPr>
      </w:pPr>
      <w:r w:rsidRPr="003F4BC8">
        <w:rPr>
          <w:rFonts w:ascii="Times New Roman" w:hAnsi="Times New Roman" w:cs="Times New Roman"/>
          <w:b/>
          <w:bCs/>
        </w:rPr>
        <w:t>Figure 3-4. Knowledge about SNF Management and Storage Policy Options</w:t>
      </w:r>
    </w:p>
    <w:p w:rsidR="00B52DD2" w:rsidRPr="003F4BC8" w:rsidRDefault="00B52DD2" w:rsidP="00B52DD2">
      <w:pPr>
        <w:jc w:val="center"/>
        <w:outlineLvl w:val="0"/>
        <w:rPr>
          <w:rFonts w:ascii="Times New Roman" w:hAnsi="Times New Roman" w:cs="Times New Roman"/>
        </w:rPr>
      </w:pPr>
      <w:r w:rsidRPr="003F4BC8">
        <w:rPr>
          <w:rFonts w:ascii="Times New Roman" w:hAnsi="Times New Roman" w:cs="Times New Roman"/>
          <w:noProof/>
        </w:rPr>
        <w:drawing>
          <wp:inline distT="0" distB="0" distL="0" distR="0" wp14:anchorId="5EEBD263" wp14:editId="17F31BE6">
            <wp:extent cx="5171691" cy="3200400"/>
            <wp:effectExtent l="0" t="0" r="0" b="0"/>
            <wp:docPr id="23" name="Picture 2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4632"/>
                    <a:stretch/>
                  </pic:blipFill>
                  <pic:spPr bwMode="auto">
                    <a:xfrm>
                      <a:off x="0" y="0"/>
                      <a:ext cx="5171691" cy="3200400"/>
                    </a:xfrm>
                    <a:prstGeom prst="rect">
                      <a:avLst/>
                    </a:prstGeom>
                    <a:ln>
                      <a:noFill/>
                    </a:ln>
                    <a:extLst>
                      <a:ext uri="{53640926-AAD7-44D8-BBD7-CCE9431645EC}">
                        <a14:shadowObscured xmlns:a14="http://schemas.microsoft.com/office/drawing/2010/main"/>
                      </a:ext>
                    </a:extLst>
                  </pic:spPr>
                </pic:pic>
              </a:graphicData>
            </a:graphic>
          </wp:inline>
        </w:drawing>
      </w:r>
    </w:p>
    <w:p w:rsidR="00B52DD2" w:rsidRPr="003F4BC8" w:rsidRDefault="00B52DD2" w:rsidP="00B52DD2">
      <w:pPr>
        <w:jc w:val="both"/>
        <w:outlineLvl w:val="0"/>
        <w:rPr>
          <w:rFonts w:ascii="Times New Roman" w:hAnsi="Times New Roman" w:cs="Times New Roman"/>
          <w:sz w:val="20"/>
          <w:szCs w:val="20"/>
        </w:rPr>
      </w:pPr>
      <w:r w:rsidRPr="003F4BC8">
        <w:rPr>
          <w:rFonts w:ascii="Times New Roman" w:hAnsi="Times New Roman" w:cs="Times New Roman"/>
          <w:sz w:val="20"/>
          <w:szCs w:val="20"/>
        </w:rPr>
        <w:t>Note: changes in Percent of Respondents Choosing One of the Given Four Policy Options about SNF disposal options. X-axis represents the years and Y-axis represents the percentage of respondents choosing given disposal option. Data are interpolated through missing values.</w:t>
      </w:r>
    </w:p>
    <w:p w:rsidR="00B52DD2" w:rsidRPr="003F4BC8" w:rsidRDefault="00B52DD2" w:rsidP="00B52DD2">
      <w:pPr>
        <w:outlineLvl w:val="0"/>
        <w:rPr>
          <w:rFonts w:ascii="Times New Roman" w:hAnsi="Times New Roman" w:cs="Times New Roman"/>
        </w:rPr>
      </w:pP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 xml:space="preserve">The dependent variable of the study is support for SNF policy options. Respondents were asked to rate their level of support for SNF storage policy options on a scale from 1 (strongly oppose) to 7 (strongly support). They were asked to evaluate whether they prefer SNF to be stored </w:t>
      </w:r>
      <w:r w:rsidRPr="003F4BC8">
        <w:rPr>
          <w:rFonts w:ascii="Times New Roman" w:hAnsi="Times New Roman" w:cs="Times New Roman"/>
        </w:rPr>
        <w:lastRenderedPageBreak/>
        <w:t>in interim, onsite or deep underground facilities.</w:t>
      </w:r>
      <w:r w:rsidRPr="003F4BC8">
        <w:rPr>
          <w:rStyle w:val="FootnoteReference"/>
          <w:rFonts w:ascii="Times New Roman" w:hAnsi="Times New Roman" w:cs="Times New Roman"/>
        </w:rPr>
        <w:footnoteReference w:id="5"/>
      </w:r>
      <w:r w:rsidRPr="003F4BC8">
        <w:rPr>
          <w:rFonts w:ascii="Times New Roman" w:hAnsi="Times New Roman" w:cs="Times New Roman"/>
        </w:rPr>
        <w:t xml:space="preserve"> As we can see from figure </w:t>
      </w:r>
      <w:r>
        <w:rPr>
          <w:rFonts w:ascii="Times New Roman" w:hAnsi="Times New Roman" w:cs="Times New Roman"/>
        </w:rPr>
        <w:t>3-</w:t>
      </w:r>
      <w:r w:rsidRPr="003F4BC8">
        <w:rPr>
          <w:rFonts w:ascii="Times New Roman" w:hAnsi="Times New Roman" w:cs="Times New Roman"/>
        </w:rPr>
        <w:t>5 respondents support for onsite storage has been above midpoint in 2006 with observable increasing trend over the course of the series till 2019. Despite missing data periods, in line with public preference for onsite support we observe that respondents’ support for interim storage has been above mid-point with decreasing trend over the course of the series. Public support for deep geologic storage option has historically been above midpoint and has stayed in that range till 2019.</w:t>
      </w:r>
      <w:r w:rsidRPr="003F4BC8">
        <w:rPr>
          <w:rStyle w:val="FootnoteReference"/>
          <w:rFonts w:ascii="Times New Roman" w:hAnsi="Times New Roman" w:cs="Times New Roman"/>
        </w:rPr>
        <w:footnoteReference w:id="6"/>
      </w:r>
    </w:p>
    <w:p w:rsidR="00B52DD2" w:rsidRPr="003F4BC8" w:rsidRDefault="00B52DD2" w:rsidP="00B52DD2">
      <w:pPr>
        <w:spacing w:line="480" w:lineRule="auto"/>
        <w:ind w:firstLine="720"/>
        <w:jc w:val="center"/>
        <w:rPr>
          <w:rFonts w:ascii="Times New Roman" w:hAnsi="Times New Roman" w:cs="Times New Roman"/>
          <w:b/>
          <w:bCs/>
        </w:rPr>
      </w:pPr>
      <w:r w:rsidRPr="00E26753">
        <w:rPr>
          <w:rFonts w:ascii="Times New Roman" w:hAnsi="Times New Roman" w:cs="Times New Roman"/>
          <w:b/>
          <w:bCs/>
        </w:rPr>
        <w:t>Figure 3-5. Mean Preferences in SNF Storage Policy Options</w:t>
      </w:r>
    </w:p>
    <w:p w:rsidR="00B52DD2" w:rsidRPr="003F4BC8" w:rsidRDefault="00B52DD2" w:rsidP="00B52DD2">
      <w:pPr>
        <w:ind w:firstLine="720"/>
        <w:jc w:val="center"/>
        <w:rPr>
          <w:rFonts w:ascii="Times New Roman" w:hAnsi="Times New Roman" w:cs="Times New Roman"/>
        </w:rPr>
      </w:pPr>
      <w:r w:rsidRPr="00E26753">
        <w:rPr>
          <w:rFonts w:ascii="Times New Roman" w:hAnsi="Times New Roman" w:cs="Times New Roman"/>
          <w:noProof/>
        </w:rPr>
        <w:drawing>
          <wp:inline distT="0" distB="0" distL="0" distR="0" wp14:anchorId="64820AAA" wp14:editId="6BDFF9DE">
            <wp:extent cx="5422900" cy="3200400"/>
            <wp:effectExtent l="0" t="0" r="0" b="0"/>
            <wp:docPr id="8" name="Picture 8"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22900" cy="3200400"/>
                    </a:xfrm>
                    <a:prstGeom prst="rect">
                      <a:avLst/>
                    </a:prstGeom>
                  </pic:spPr>
                </pic:pic>
              </a:graphicData>
            </a:graphic>
          </wp:inline>
        </w:drawing>
      </w:r>
    </w:p>
    <w:p w:rsidR="00B52DD2" w:rsidRDefault="00B52DD2" w:rsidP="00B52DD2">
      <w:pPr>
        <w:outlineLvl w:val="0"/>
        <w:rPr>
          <w:rFonts w:ascii="Times New Roman" w:hAnsi="Times New Roman" w:cs="Times New Roman"/>
          <w:sz w:val="20"/>
          <w:szCs w:val="20"/>
        </w:rPr>
      </w:pPr>
      <w:r w:rsidRPr="003F4BC8">
        <w:rPr>
          <w:rFonts w:ascii="Times New Roman" w:hAnsi="Times New Roman" w:cs="Times New Roman"/>
          <w:sz w:val="20"/>
          <w:szCs w:val="20"/>
        </w:rPr>
        <w:t>Note:</w:t>
      </w:r>
      <w:r w:rsidRPr="003F4BC8">
        <w:rPr>
          <w:rFonts w:ascii="Times New Roman" w:hAnsi="Times New Roman" w:cs="Times New Roman"/>
          <w:b/>
          <w:bCs/>
          <w:sz w:val="20"/>
          <w:szCs w:val="20"/>
        </w:rPr>
        <w:t xml:space="preserve"> </w:t>
      </w:r>
      <w:r w:rsidRPr="003F4BC8">
        <w:rPr>
          <w:rFonts w:ascii="Times New Roman" w:hAnsi="Times New Roman" w:cs="Times New Roman"/>
          <w:sz w:val="20"/>
          <w:szCs w:val="20"/>
        </w:rPr>
        <w:t>Mean Score for SNF Storage Preferences Among American Public from 2006-2019. X-axis represents the years and Y-axis represents mean support for SNF storage policy options. Data are interpolated through missing values.</w:t>
      </w:r>
    </w:p>
    <w:p w:rsidR="00B52DD2" w:rsidRDefault="00B52DD2" w:rsidP="00B52DD2">
      <w:pPr>
        <w:outlineLvl w:val="0"/>
        <w:rPr>
          <w:rFonts w:ascii="Times New Roman" w:hAnsi="Times New Roman" w:cs="Times New Roman"/>
          <w:sz w:val="20"/>
          <w:szCs w:val="20"/>
        </w:rPr>
      </w:pPr>
    </w:p>
    <w:p w:rsidR="00B52DD2" w:rsidRDefault="00B52DD2" w:rsidP="00B52DD2">
      <w:pPr>
        <w:outlineLvl w:val="0"/>
        <w:rPr>
          <w:rFonts w:ascii="Times New Roman" w:hAnsi="Times New Roman" w:cs="Times New Roman"/>
          <w:sz w:val="20"/>
          <w:szCs w:val="20"/>
        </w:rPr>
      </w:pPr>
    </w:p>
    <w:p w:rsidR="00B52DD2" w:rsidRDefault="00B52DD2" w:rsidP="00B52DD2">
      <w:pPr>
        <w:outlineLvl w:val="0"/>
        <w:rPr>
          <w:rFonts w:ascii="Times New Roman" w:hAnsi="Times New Roman" w:cs="Times New Roman"/>
          <w:sz w:val="20"/>
          <w:szCs w:val="20"/>
        </w:rPr>
      </w:pPr>
    </w:p>
    <w:p w:rsidR="00B52DD2" w:rsidRDefault="00B52DD2" w:rsidP="00B52DD2">
      <w:pPr>
        <w:outlineLvl w:val="0"/>
        <w:rPr>
          <w:rFonts w:ascii="Times New Roman" w:hAnsi="Times New Roman" w:cs="Times New Roman"/>
          <w:sz w:val="20"/>
          <w:szCs w:val="20"/>
        </w:rPr>
      </w:pPr>
    </w:p>
    <w:p w:rsidR="00B52DD2" w:rsidRPr="006A66E2" w:rsidRDefault="00B52DD2" w:rsidP="00B52DD2">
      <w:pPr>
        <w:outlineLvl w:val="0"/>
        <w:rPr>
          <w:rFonts w:ascii="Times New Roman" w:hAnsi="Times New Roman" w:cs="Times New Roman"/>
          <w:sz w:val="20"/>
          <w:szCs w:val="20"/>
        </w:rPr>
      </w:pPr>
    </w:p>
    <w:p w:rsidR="00B52DD2" w:rsidRPr="003F4BC8" w:rsidRDefault="00B52DD2" w:rsidP="00B52DD2">
      <w:pPr>
        <w:spacing w:line="480" w:lineRule="auto"/>
        <w:outlineLvl w:val="0"/>
        <w:rPr>
          <w:rFonts w:ascii="Times New Roman" w:hAnsi="Times New Roman" w:cs="Times New Roman"/>
          <w:i/>
          <w:iCs/>
        </w:rPr>
      </w:pPr>
      <w:r w:rsidRPr="003F4BC8">
        <w:rPr>
          <w:rFonts w:ascii="Times New Roman" w:hAnsi="Times New Roman" w:cs="Times New Roman"/>
          <w:i/>
          <w:iCs/>
        </w:rPr>
        <w:lastRenderedPageBreak/>
        <w:t xml:space="preserve">Part II: Testing the Impact of Risk Perceptions, Trust and Knowledge on SNF Siting Preferences </w:t>
      </w:r>
    </w:p>
    <w:p w:rsidR="00B52DD2" w:rsidRPr="003F4BC8"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 xml:space="preserve">To address the second question of the inquiry I analyze how changes in public risk and benefit perceptions, and trust in government in relation to nuclear waste management technologies affect their SNF siting preferences over time. For this objective I first test the proposition whether low risk perceptions and higher benefit perceptions in association with nuclear energy will result in increased support for deep geologic disposal of SNF by employing explanative time series analysis. This method allows to test whether changes in risk and benefit perception series have resulted in changes in public preferences for SNF policy options given the number of lags (time shifts). </w:t>
      </w:r>
    </w:p>
    <w:p w:rsidR="00B52DD2" w:rsidRPr="00746916"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 xml:space="preserve">Running cross correlations helps determine a sample set of correlations between x[t+k] and y[t] series. This function is particularly helpful for identifying the lags of the x variable that might be useful predictors of y[t] and at which the correlation between two time series is the strongest. Thus, the lag k value estimates the correlation between x[t+k] and y[t] (Box et al. 1994; Chatfield 2013). </w:t>
      </w:r>
      <w:r>
        <w:rPr>
          <w:rFonts w:ascii="Times New Roman" w:hAnsi="Times New Roman" w:cs="Times New Roman"/>
        </w:rPr>
        <w:t xml:space="preserve">In time series cross correlation analysis it is very important to focus on the temporal structure of the data. As mentioned earlier, a special feature of the cross correlation analysis is the opportunity to identify the dependencies between the series. However, the key to this identification of the dependencies in the temporal order of the successive observations. </w:t>
      </w:r>
      <w:r w:rsidRPr="00B74BBF">
        <w:rPr>
          <w:rFonts w:ascii="Times New Roman" w:hAnsi="Times New Roman" w:cs="Times New Roman"/>
        </w:rPr>
        <w:t>When successive</w:t>
      </w:r>
      <w:r>
        <w:rPr>
          <w:rFonts w:ascii="Times New Roman" w:hAnsi="Times New Roman" w:cs="Times New Roman"/>
        </w:rPr>
        <w:t xml:space="preserve"> </w:t>
      </w:r>
      <w:r w:rsidRPr="00B74BBF">
        <w:rPr>
          <w:rFonts w:ascii="Times New Roman" w:hAnsi="Times New Roman" w:cs="Times New Roman"/>
        </w:rPr>
        <w:t>observations are dependent, future values may be predicted from past</w:t>
      </w:r>
      <w:r>
        <w:rPr>
          <w:rFonts w:ascii="Times New Roman" w:hAnsi="Times New Roman" w:cs="Times New Roman"/>
        </w:rPr>
        <w:t>. Substantively, this means that in those instances when a positive correlation is identified between the series, this cannot be interpreted as being driven by the past values of the independent variable. The results of the analysis below are presented in accordance with these considerations.</w:t>
      </w:r>
    </w:p>
    <w:p w:rsidR="00B52DD2"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 xml:space="preserve">However, before running cross correlations it is necessary to ensure that data meet the basic assumptions of seasonality and trend stationarity (Box et al. 1994). Following the methodological </w:t>
      </w:r>
      <w:r w:rsidRPr="003F4BC8">
        <w:rPr>
          <w:rFonts w:ascii="Times New Roman" w:hAnsi="Times New Roman" w:cs="Times New Roman"/>
        </w:rPr>
        <w:lastRenderedPageBreak/>
        <w:t xml:space="preserve">recommendations in the literature I have tested this assumption for all the variables in the study by Augmented Dickey Fuller (hereafter ADCF) Test (Box et al. 1994; Chatfield 2013). </w:t>
      </w:r>
    </w:p>
    <w:p w:rsidR="00B52DD2" w:rsidRDefault="00B52DD2" w:rsidP="00B52DD2">
      <w:pPr>
        <w:spacing w:line="480" w:lineRule="auto"/>
        <w:ind w:firstLine="720"/>
        <w:jc w:val="both"/>
        <w:outlineLvl w:val="0"/>
        <w:rPr>
          <w:rFonts w:ascii="Times New Roman" w:hAnsi="Times New Roman" w:cs="Times New Roman"/>
        </w:rPr>
      </w:pPr>
    </w:p>
    <w:p w:rsidR="00B52DD2" w:rsidRPr="009176B1" w:rsidRDefault="00B52DD2" w:rsidP="00B52DD2">
      <w:pPr>
        <w:spacing w:line="480" w:lineRule="auto"/>
        <w:ind w:firstLine="720"/>
        <w:jc w:val="both"/>
        <w:outlineLvl w:val="0"/>
        <w:rPr>
          <w:rFonts w:ascii="Times New Roman" w:hAnsi="Times New Roman" w:cs="Times New Roman"/>
        </w:rPr>
      </w:pPr>
      <w:r w:rsidRPr="009C3E43">
        <w:rPr>
          <w:rFonts w:ascii="Times New Roman" w:hAnsi="Times New Roman" w:cs="Times New Roman"/>
          <w:b/>
          <w:bCs/>
        </w:rPr>
        <w:t xml:space="preserve">Figure </w:t>
      </w:r>
      <w:r>
        <w:rPr>
          <w:rFonts w:ascii="Times New Roman" w:hAnsi="Times New Roman" w:cs="Times New Roman"/>
          <w:b/>
          <w:bCs/>
        </w:rPr>
        <w:t xml:space="preserve">3-6: </w:t>
      </w:r>
      <w:r w:rsidRPr="009176B1">
        <w:rPr>
          <w:rFonts w:ascii="Times New Roman" w:hAnsi="Times New Roman" w:cs="Times New Roman"/>
        </w:rPr>
        <w:t>Line Charts of Differenced Independent and Dependent Variables</w:t>
      </w:r>
    </w:p>
    <w:p w:rsidR="00B52DD2" w:rsidRDefault="00B52DD2" w:rsidP="00B52DD2">
      <w:pPr>
        <w:spacing w:line="480" w:lineRule="auto"/>
        <w:jc w:val="both"/>
        <w:outlineLvl w:val="0"/>
        <w:rPr>
          <w:rFonts w:ascii="Times New Roman" w:hAnsi="Times New Roman" w:cs="Times New Roman"/>
        </w:rPr>
      </w:pPr>
      <w:r>
        <w:rPr>
          <w:rFonts w:ascii="Times New Roman" w:hAnsi="Times New Roman" w:cs="Times New Roman"/>
          <w:noProof/>
        </w:rPr>
        <w:drawing>
          <wp:inline distT="0" distB="0" distL="0" distR="0" wp14:anchorId="0A8198E3" wp14:editId="28D2EAD9">
            <wp:extent cx="5943600" cy="5791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qualizedHorizLinePlots.pdf"/>
                    <pic:cNvPicPr/>
                  </pic:nvPicPr>
                  <pic:blipFill rotWithShape="1">
                    <a:blip r:embed="rId17">
                      <a:extLst>
                        <a:ext uri="{28A0092B-C50C-407E-A947-70E740481C1C}">
                          <a14:useLocalDpi xmlns:a14="http://schemas.microsoft.com/office/drawing/2010/main" val="0"/>
                        </a:ext>
                      </a:extLst>
                    </a:blip>
                    <a:srcRect b="24709"/>
                    <a:stretch/>
                  </pic:blipFill>
                  <pic:spPr bwMode="auto">
                    <a:xfrm>
                      <a:off x="0" y="0"/>
                      <a:ext cx="5943600" cy="5791200"/>
                    </a:xfrm>
                    <a:prstGeom prst="rect">
                      <a:avLst/>
                    </a:prstGeom>
                    <a:ln>
                      <a:noFill/>
                    </a:ln>
                    <a:extLst>
                      <a:ext uri="{53640926-AAD7-44D8-BBD7-CCE9431645EC}">
                        <a14:shadowObscured xmlns:a14="http://schemas.microsoft.com/office/drawing/2010/main"/>
                      </a:ext>
                    </a:extLst>
                  </pic:spPr>
                </pic:pic>
              </a:graphicData>
            </a:graphic>
          </wp:inline>
        </w:drawing>
      </w:r>
    </w:p>
    <w:p w:rsidR="00B52DD2" w:rsidRPr="00B44822"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 xml:space="preserve">In instances when the test showed that the series in my analysis were non-stationery, I have followed the recommended course of action – differencing - after which I have run the ADCF Test </w:t>
      </w:r>
      <w:r w:rsidRPr="003F4BC8">
        <w:rPr>
          <w:rFonts w:ascii="Times New Roman" w:hAnsi="Times New Roman" w:cs="Times New Roman"/>
        </w:rPr>
        <w:lastRenderedPageBreak/>
        <w:t>again to make sure that the series meet the assumptions of the explanatory time series analysis (Box et al. 1994; Chatfield 2013).</w:t>
      </w:r>
      <w:r>
        <w:rPr>
          <w:rFonts w:ascii="Times New Roman" w:hAnsi="Times New Roman" w:cs="Times New Roman"/>
        </w:rPr>
        <w:t xml:space="preserve"> Thus, the series predominantly were non-stationary and differencing was employed for all variables except for the one measuring public preferences for SNF deep geologic disposal</w:t>
      </w:r>
      <w:r w:rsidRPr="003F4BC8">
        <w:rPr>
          <w:rStyle w:val="FootnoteReference"/>
          <w:rFonts w:ascii="Times New Roman" w:hAnsi="Times New Roman" w:cs="Times New Roman"/>
        </w:rPr>
        <w:footnoteReference w:id="7"/>
      </w:r>
      <w:r>
        <w:rPr>
          <w:rFonts w:ascii="Times New Roman" w:hAnsi="Times New Roman" w:cs="Times New Roman"/>
        </w:rPr>
        <w:t>.</w:t>
      </w:r>
      <w:r w:rsidRPr="009C3E43">
        <w:rPr>
          <w:rFonts w:ascii="Times New Roman" w:hAnsi="Times New Roman" w:cs="Times New Roman"/>
        </w:rPr>
        <w:t xml:space="preserve"> </w:t>
      </w:r>
      <w:r>
        <w:rPr>
          <w:rFonts w:ascii="Times New Roman" w:hAnsi="Times New Roman" w:cs="Times New Roman"/>
        </w:rPr>
        <w:t xml:space="preserve">Figure 3-6 above presents the line charts of both independent and dependent differenced variables. </w:t>
      </w:r>
      <w:r w:rsidRPr="004707AF">
        <w:rPr>
          <w:rFonts w:ascii="Times New Roman" w:hAnsi="Times New Roman" w:cs="Times New Roman"/>
        </w:rPr>
        <w:t xml:space="preserve">After performing </w:t>
      </w:r>
      <w:r>
        <w:rPr>
          <w:rFonts w:ascii="Times New Roman" w:hAnsi="Times New Roman" w:cs="Times New Roman"/>
        </w:rPr>
        <w:t>differencing</w:t>
      </w:r>
      <w:r w:rsidRPr="004707AF">
        <w:rPr>
          <w:rFonts w:ascii="Times New Roman" w:hAnsi="Times New Roman" w:cs="Times New Roman"/>
        </w:rPr>
        <w:t xml:space="preserve"> techniques I ran thirty pairs of correlations to test the propositions set forth in the study. In what follows, I present the results of the estimated correlations between the pairs of series for each sets of the independent variables of the study – risk perceptions, benefit perceptions, trust and knowledge. While the autocorrelations table between the series is very helpful for detecting the exact correlation coefficient between the series at a given lag, it is the dependencies graphs that visually reveal the significantly strong correlations between the series. </w:t>
      </w:r>
      <w:r>
        <w:rPr>
          <w:rFonts w:ascii="Times New Roman" w:hAnsi="Times New Roman" w:cs="Times New Roman"/>
        </w:rPr>
        <w:t>For the given series, dependencies were tested at lag five, meaning five years proceeding (</w:t>
      </w:r>
      <w:r w:rsidRPr="004F2FCB">
        <w:rPr>
          <w:rFonts w:ascii="Times New Roman" w:hAnsi="Times New Roman" w:cs="Times New Roman"/>
        </w:rPr>
        <w:t xml:space="preserve">contemporaneous </w:t>
      </w:r>
      <w:r>
        <w:rPr>
          <w:rFonts w:ascii="Times New Roman" w:hAnsi="Times New Roman" w:cs="Times New Roman"/>
        </w:rPr>
        <w:t>lead ) and five years succeeding zero (</w:t>
      </w:r>
      <w:r w:rsidRPr="004F2FCB">
        <w:rPr>
          <w:rFonts w:ascii="Times New Roman" w:hAnsi="Times New Roman" w:cs="Times New Roman"/>
        </w:rPr>
        <w:t xml:space="preserve">contemporaneous </w:t>
      </w:r>
      <w:r>
        <w:rPr>
          <w:rFonts w:ascii="Times New Roman" w:hAnsi="Times New Roman" w:cs="Times New Roman"/>
        </w:rPr>
        <w:t>lag</w:t>
      </w:r>
      <w:r w:rsidRPr="004F2FCB">
        <w:rPr>
          <w:rFonts w:ascii="Times New Roman" w:hAnsi="Times New Roman" w:cs="Times New Roman"/>
        </w:rPr>
        <w:t>).</w:t>
      </w:r>
      <w:r>
        <w:rPr>
          <w:rFonts w:ascii="Times New Roman" w:hAnsi="Times New Roman" w:cs="Times New Roman"/>
        </w:rPr>
        <w:t xml:space="preserve"> To state this in simpler terms, this method tests the strongest correlations between two series at time shift 0 to begin with when r = 1 as at time shift 0 we are comparing the same values with each other. These correlations are further tested by time shifts -/+1, -/+2, -/+3,</w:t>
      </w:r>
      <w:r w:rsidRPr="009F6E50">
        <w:rPr>
          <w:rFonts w:ascii="Times New Roman" w:hAnsi="Times New Roman" w:cs="Times New Roman"/>
        </w:rPr>
        <w:t xml:space="preserve"> </w:t>
      </w:r>
      <w:r>
        <w:rPr>
          <w:rFonts w:ascii="Times New Roman" w:hAnsi="Times New Roman" w:cs="Times New Roman"/>
        </w:rPr>
        <w:t xml:space="preserve">-/+ 4, -/+5 to compare them with each other. From the values for each time shifts we then observe the strength of the correlation between the independent and dependent series. A negative value for k represents a correlation between the x series at a time before t (for differenced series the interpretation needs to focus on the current year where the strongest correlation is significant) and the y series at the given time period t. When t is smaller than 0 ( a negative number), then we can interpret that x independent series lead to y dependent series. When t is bigger than zero (a positive number), it means that x series follow y. While statistically this may occur, substantively it does not make any </w:t>
      </w:r>
      <w:r>
        <w:rPr>
          <w:rFonts w:ascii="Times New Roman" w:hAnsi="Times New Roman" w:cs="Times New Roman"/>
        </w:rPr>
        <w:lastRenderedPageBreak/>
        <w:t>sense due to the importance of the temporal order between the series as in our analysis as we are testing to see whether changes in our independent series lead changes in the dependent ones.</w:t>
      </w:r>
    </w:p>
    <w:p w:rsidR="00B52DD2" w:rsidRDefault="00B52DD2" w:rsidP="00B52DD2">
      <w:pPr>
        <w:spacing w:line="480" w:lineRule="auto"/>
        <w:ind w:firstLine="720"/>
        <w:jc w:val="both"/>
        <w:outlineLvl w:val="0"/>
        <w:rPr>
          <w:rFonts w:ascii="Times New Roman" w:hAnsi="Times New Roman" w:cs="Times New Roman"/>
        </w:rPr>
      </w:pPr>
      <w:r>
        <w:rPr>
          <w:rFonts w:ascii="Times New Roman" w:hAnsi="Times New Roman" w:cs="Times New Roman"/>
        </w:rPr>
        <w:t xml:space="preserve"> </w:t>
      </w:r>
      <w:r w:rsidRPr="004707AF">
        <w:rPr>
          <w:rFonts w:ascii="Times New Roman" w:hAnsi="Times New Roman" w:cs="Times New Roman"/>
        </w:rPr>
        <w:t>Therefore, I present the results of the significantly strong correlations through dependencies graphs (figures 3-</w:t>
      </w:r>
      <w:r>
        <w:rPr>
          <w:rFonts w:ascii="Times New Roman" w:hAnsi="Times New Roman" w:cs="Times New Roman"/>
        </w:rPr>
        <w:t>7</w:t>
      </w:r>
      <w:r w:rsidRPr="004707AF">
        <w:rPr>
          <w:rFonts w:ascii="Times New Roman" w:hAnsi="Times New Roman" w:cs="Times New Roman"/>
        </w:rPr>
        <w:t xml:space="preserve"> to 3-1</w:t>
      </w:r>
      <w:r>
        <w:rPr>
          <w:rFonts w:ascii="Times New Roman" w:hAnsi="Times New Roman" w:cs="Times New Roman"/>
        </w:rPr>
        <w:t>7</w:t>
      </w:r>
      <w:r w:rsidRPr="004707AF">
        <w:rPr>
          <w:rFonts w:ascii="Times New Roman" w:hAnsi="Times New Roman" w:cs="Times New Roman"/>
        </w:rPr>
        <w:t>) and include a table demonstrating all the hypotheses of the study with their correlation coefficients at each lag in the appendices. The dependencies graphs of autocorrelations represent the set of correlations between the two series in the form of the vertical line segments. The x-axis represents the lagging indicator, while the y-axis represents cross correlations between the two series which can be either negative (below the black horizontal line at zero value on y-axis) or positive (above the black horizontal line at zero value on y-axis). The height of the vertical line segments shows the strength of correlations. The most dominant correlations are the highest vertical lines that get closer to the blue dotted horizontal lines or cross them. These correlations are also an indicator of the lags at which series x causes changes in series y.</w:t>
      </w:r>
      <w:r>
        <w:rPr>
          <w:rFonts w:ascii="Times New Roman" w:hAnsi="Times New Roman" w:cs="Times New Roman"/>
        </w:rPr>
        <w:t xml:space="preserve"> In simpler terms, c</w:t>
      </w:r>
      <w:r w:rsidRPr="00F93A14">
        <w:rPr>
          <w:rFonts w:ascii="Times New Roman" w:hAnsi="Times New Roman" w:cs="Times New Roman"/>
        </w:rPr>
        <w:t>orrelations that fall within the band marked by the dotted blue lines are deemed not to be significantly different from</w:t>
      </w:r>
      <w:r>
        <w:rPr>
          <w:rFonts w:ascii="Times New Roman" w:hAnsi="Times New Roman" w:cs="Times New Roman"/>
        </w:rPr>
        <w:t xml:space="preserve"> zero. As a result, any values outside of the </w:t>
      </w:r>
      <w:r w:rsidRPr="00F93A14">
        <w:rPr>
          <w:rFonts w:ascii="Times New Roman" w:hAnsi="Times New Roman" w:cs="Times New Roman"/>
        </w:rPr>
        <w:t xml:space="preserve">band marked by the dotted blue lines </w:t>
      </w:r>
      <w:r>
        <w:rPr>
          <w:rFonts w:ascii="Times New Roman" w:hAnsi="Times New Roman" w:cs="Times New Roman"/>
        </w:rPr>
        <w:t xml:space="preserve">is significant. </w:t>
      </w:r>
    </w:p>
    <w:p w:rsidR="00B52DD2" w:rsidRPr="00A579C1" w:rsidRDefault="00B52DD2" w:rsidP="00B52DD2">
      <w:pPr>
        <w:spacing w:line="480" w:lineRule="auto"/>
        <w:ind w:firstLine="720"/>
        <w:jc w:val="both"/>
        <w:outlineLvl w:val="0"/>
        <w:rPr>
          <w:rFonts w:ascii="Times New Roman" w:hAnsi="Times New Roman" w:cs="Times New Roman"/>
        </w:rPr>
      </w:pPr>
      <w:r w:rsidRPr="00A579C1">
        <w:rPr>
          <w:rFonts w:ascii="Times New Roman" w:hAnsi="Times New Roman" w:cs="Times New Roman"/>
        </w:rPr>
        <w:t>The first expectation of this analysis was to ascertain whether low risk perceptions and higher benefit perceptions of nuclear energy are associated with increased support for deep geologic disposal of SNF over time. In line with this expectation cross correlations between nuclear waste transportation risks and SNF deep geologic storage option granted strong negative association revealed in figure 3-</w:t>
      </w:r>
      <w:r>
        <w:rPr>
          <w:rFonts w:ascii="Times New Roman" w:hAnsi="Times New Roman" w:cs="Times New Roman"/>
        </w:rPr>
        <w:t>7</w:t>
      </w:r>
      <w:r w:rsidRPr="00A579C1">
        <w:rPr>
          <w:rFonts w:ascii="Times New Roman" w:hAnsi="Times New Roman" w:cs="Times New Roman"/>
        </w:rPr>
        <w:t>. I found no evidence of correlation over time between the pairs of series measuring nuclear waste transportation risks and SNF on-site and interim storage policy options.</w:t>
      </w:r>
      <w:r w:rsidRPr="00A579C1">
        <w:rPr>
          <w:rStyle w:val="FootnoteReference"/>
          <w:rFonts w:ascii="Times New Roman" w:hAnsi="Times New Roman" w:cs="Times New Roman"/>
        </w:rPr>
        <w:footnoteReference w:id="8"/>
      </w:r>
    </w:p>
    <w:p w:rsidR="00B52DD2" w:rsidRPr="003F4BC8" w:rsidRDefault="00B52DD2" w:rsidP="00B52DD2">
      <w:pPr>
        <w:jc w:val="center"/>
        <w:rPr>
          <w:rFonts w:ascii="Times New Roman" w:hAnsi="Times New Roman" w:cs="Times New Roman"/>
        </w:rPr>
      </w:pPr>
      <w:r w:rsidRPr="003F4BC8">
        <w:rPr>
          <w:rFonts w:ascii="Times New Roman" w:hAnsi="Times New Roman" w:cs="Times New Roman"/>
          <w:b/>
          <w:bCs/>
        </w:rPr>
        <w:lastRenderedPageBreak/>
        <w:t>Figure 3-</w:t>
      </w:r>
      <w:r>
        <w:rPr>
          <w:rFonts w:ascii="Times New Roman" w:hAnsi="Times New Roman" w:cs="Times New Roman"/>
          <w:b/>
          <w:bCs/>
        </w:rPr>
        <w:t>7</w:t>
      </w:r>
      <w:r w:rsidRPr="003F4BC8">
        <w:rPr>
          <w:rFonts w:ascii="Times New Roman" w:hAnsi="Times New Roman" w:cs="Times New Roman"/>
          <w:b/>
          <w:bCs/>
        </w:rPr>
        <w:t xml:space="preserve">. </w:t>
      </w:r>
      <w:r w:rsidRPr="00EC79D5">
        <w:rPr>
          <w:rFonts w:ascii="Times New Roman" w:hAnsi="Times New Roman" w:cs="Times New Roman"/>
        </w:rPr>
        <w:t>Risks of Nuclear Waste Transportation/Storage and SNF Deep Geologic Storage.</w:t>
      </w:r>
    </w:p>
    <w:p w:rsidR="00B52DD2" w:rsidRPr="003F4BC8" w:rsidRDefault="00B52DD2" w:rsidP="00B52DD2">
      <w:pPr>
        <w:jc w:val="center"/>
        <w:rPr>
          <w:rFonts w:ascii="Times New Roman" w:hAnsi="Times New Roman" w:cs="Times New Roman"/>
        </w:rPr>
      </w:pPr>
      <w:r w:rsidRPr="003F4BC8">
        <w:rPr>
          <w:rFonts w:ascii="Times New Roman" w:hAnsi="Times New Roman" w:cs="Times New Roman"/>
          <w:noProof/>
        </w:rPr>
        <w:drawing>
          <wp:inline distT="0" distB="0" distL="0" distR="0" wp14:anchorId="3E884B04" wp14:editId="0DB2BD89">
            <wp:extent cx="2977040" cy="364845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isk2&amp;DeepGeologic.pdf"/>
                    <pic:cNvPicPr/>
                  </pic:nvPicPr>
                  <pic:blipFill rotWithShape="1">
                    <a:blip r:embed="rId18">
                      <a:extLst>
                        <a:ext uri="{28A0092B-C50C-407E-A947-70E740481C1C}">
                          <a14:useLocalDpi xmlns:a14="http://schemas.microsoft.com/office/drawing/2010/main" val="0"/>
                        </a:ext>
                      </a:extLst>
                    </a:blip>
                    <a:srcRect l="12545" t="12537" r="38393" b="41001"/>
                    <a:stretch/>
                  </pic:blipFill>
                  <pic:spPr bwMode="auto">
                    <a:xfrm>
                      <a:off x="0" y="0"/>
                      <a:ext cx="3094318" cy="3792184"/>
                    </a:xfrm>
                    <a:prstGeom prst="rect">
                      <a:avLst/>
                    </a:prstGeom>
                    <a:ln>
                      <a:noFill/>
                    </a:ln>
                    <a:extLst>
                      <a:ext uri="{53640926-AAD7-44D8-BBD7-CCE9431645EC}">
                        <a14:shadowObscured xmlns:a14="http://schemas.microsoft.com/office/drawing/2010/main"/>
                      </a:ext>
                    </a:extLst>
                  </pic:spPr>
                </pic:pic>
              </a:graphicData>
            </a:graphic>
          </wp:inline>
        </w:drawing>
      </w:r>
    </w:p>
    <w:p w:rsidR="00B52DD2" w:rsidRPr="00145A3F" w:rsidRDefault="00B52DD2" w:rsidP="00B52DD2">
      <w:pPr>
        <w:jc w:val="both"/>
        <w:rPr>
          <w:rFonts w:ascii="Times New Roman" w:hAnsi="Times New Roman" w:cs="Times New Roman"/>
          <w:sz w:val="20"/>
          <w:szCs w:val="20"/>
        </w:rPr>
      </w:pPr>
      <w:r w:rsidRPr="00145A3F">
        <w:rPr>
          <w:rFonts w:ascii="Times New Roman" w:hAnsi="Times New Roman" w:cs="Times New Roman"/>
          <w:sz w:val="20"/>
          <w:szCs w:val="20"/>
        </w:rPr>
        <w:t>Note: the figure provides visual depiction of the cross correlation dependencies between the mean risk perception series of nuclear waste transportation/storage accident and public support for SNF deep geologic storage. The strongest negative correlation (r = -0.69) occurs at lag -5.</w:t>
      </w:r>
    </w:p>
    <w:p w:rsidR="00B52DD2" w:rsidRDefault="00B52DD2" w:rsidP="00B52DD2">
      <w:pPr>
        <w:jc w:val="both"/>
        <w:rPr>
          <w:rFonts w:ascii="Times New Roman" w:hAnsi="Times New Roman" w:cs="Times New Roman"/>
          <w:sz w:val="20"/>
          <w:szCs w:val="20"/>
        </w:rPr>
      </w:pPr>
    </w:p>
    <w:p w:rsidR="00B52DD2" w:rsidRPr="003F4BC8"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Figure 3-</w:t>
      </w:r>
      <w:r>
        <w:rPr>
          <w:rFonts w:ascii="Times New Roman" w:hAnsi="Times New Roman" w:cs="Times New Roman"/>
        </w:rPr>
        <w:t>7</w:t>
      </w:r>
      <w:r w:rsidRPr="003F4BC8">
        <w:rPr>
          <w:rFonts w:ascii="Times New Roman" w:hAnsi="Times New Roman" w:cs="Times New Roman"/>
        </w:rPr>
        <w:t xml:space="preserve"> demonstrates a negative correlation between the risk of nuclear waste transportation and storage accident and public support in SNF deep geologic depository</w:t>
      </w:r>
      <w:r>
        <w:rPr>
          <w:rFonts w:ascii="Times New Roman" w:hAnsi="Times New Roman" w:cs="Times New Roman"/>
        </w:rPr>
        <w:t xml:space="preserve"> at lag -5</w:t>
      </w:r>
      <w:r w:rsidRPr="003F4BC8">
        <w:rPr>
          <w:rFonts w:ascii="Times New Roman" w:hAnsi="Times New Roman" w:cs="Times New Roman"/>
        </w:rPr>
        <w:t xml:space="preserve">. Substantively this means that </w:t>
      </w:r>
      <w:r>
        <w:rPr>
          <w:rFonts w:ascii="Times New Roman" w:hAnsi="Times New Roman" w:cs="Times New Roman"/>
        </w:rPr>
        <w:t xml:space="preserve">for the given year of the </w:t>
      </w:r>
      <w:r w:rsidRPr="003F4BC8">
        <w:rPr>
          <w:rFonts w:ascii="Times New Roman" w:hAnsi="Times New Roman" w:cs="Times New Roman"/>
        </w:rPr>
        <w:t>value of support for SNF deep geologic policy option</w:t>
      </w:r>
      <w:r>
        <w:rPr>
          <w:rFonts w:ascii="Times New Roman" w:hAnsi="Times New Roman" w:cs="Times New Roman"/>
        </w:rPr>
        <w:t>,</w:t>
      </w:r>
      <w:r w:rsidRPr="003F4BC8">
        <w:rPr>
          <w:rFonts w:ascii="Times New Roman" w:hAnsi="Times New Roman" w:cs="Times New Roman"/>
        </w:rPr>
        <w:t xml:space="preserve"> an above average value of risk perceptions is likely to lead to a below average value of support for SNF deep geologic policy option</w:t>
      </w:r>
      <w:r>
        <w:rPr>
          <w:rFonts w:ascii="Times New Roman" w:hAnsi="Times New Roman" w:cs="Times New Roman"/>
        </w:rPr>
        <w:t xml:space="preserve"> five years later</w:t>
      </w:r>
      <w:r w:rsidRPr="003F4BC8">
        <w:rPr>
          <w:rFonts w:ascii="Times New Roman" w:hAnsi="Times New Roman" w:cs="Times New Roman"/>
        </w:rPr>
        <w:t>. This finding is in line with the theoretical expectations about the impact of risk perceptions on nuclear energy policy preferences set forth in hypothesis #1.</w:t>
      </w:r>
    </w:p>
    <w:p w:rsidR="00B52DD2"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In line with the same theoretical expectations tests of cross correlations presented in figures 3-</w:t>
      </w:r>
      <w:r>
        <w:rPr>
          <w:rFonts w:ascii="Times New Roman" w:hAnsi="Times New Roman" w:cs="Times New Roman"/>
        </w:rPr>
        <w:t>8</w:t>
      </w:r>
      <w:r w:rsidRPr="003F4BC8">
        <w:rPr>
          <w:rFonts w:ascii="Times New Roman" w:hAnsi="Times New Roman" w:cs="Times New Roman"/>
        </w:rPr>
        <w:t xml:space="preserve"> and 3-</w:t>
      </w:r>
      <w:r>
        <w:rPr>
          <w:rFonts w:ascii="Times New Roman" w:hAnsi="Times New Roman" w:cs="Times New Roman"/>
        </w:rPr>
        <w:t>9</w:t>
      </w:r>
      <w:r w:rsidRPr="003F4BC8">
        <w:rPr>
          <w:rFonts w:ascii="Times New Roman" w:hAnsi="Times New Roman" w:cs="Times New Roman"/>
        </w:rPr>
        <w:t xml:space="preserve"> subsequently yielded positive significant relationships between public benefit perceptions of reduced mining/extraction and support in SNF onsite </w:t>
      </w:r>
      <w:r>
        <w:rPr>
          <w:rFonts w:ascii="Times New Roman" w:hAnsi="Times New Roman" w:cs="Times New Roman"/>
        </w:rPr>
        <w:t xml:space="preserve">policy preferences at lag -1 and </w:t>
      </w:r>
      <w:r w:rsidRPr="003F4BC8">
        <w:rPr>
          <w:rFonts w:ascii="Times New Roman" w:hAnsi="Times New Roman" w:cs="Times New Roman"/>
        </w:rPr>
        <w:t>interim storage preferences</w:t>
      </w:r>
      <w:r>
        <w:rPr>
          <w:rFonts w:ascii="Times New Roman" w:hAnsi="Times New Roman" w:cs="Times New Roman"/>
        </w:rPr>
        <w:t xml:space="preserve"> at lag +1</w:t>
      </w:r>
      <w:r w:rsidRPr="003F4BC8">
        <w:rPr>
          <w:rFonts w:ascii="Times New Roman" w:hAnsi="Times New Roman" w:cs="Times New Roman"/>
        </w:rPr>
        <w:t xml:space="preserve">. </w:t>
      </w:r>
    </w:p>
    <w:p w:rsidR="00B52DD2" w:rsidRDefault="00B52DD2" w:rsidP="00B52DD2">
      <w:pPr>
        <w:spacing w:line="480" w:lineRule="auto"/>
        <w:jc w:val="center"/>
        <w:outlineLvl w:val="0"/>
        <w:rPr>
          <w:rFonts w:ascii="Times New Roman" w:hAnsi="Times New Roman" w:cs="Times New Roman"/>
        </w:rPr>
      </w:pPr>
      <w:r>
        <w:rPr>
          <w:rFonts w:ascii="Times New Roman" w:hAnsi="Times New Roman" w:cs="Times New Roman"/>
          <w:noProof/>
        </w:rPr>
        <w:lastRenderedPageBreak/>
        <w:drawing>
          <wp:inline distT="0" distB="0" distL="0" distR="0" wp14:anchorId="1D1DE586" wp14:editId="1EFAF45D">
            <wp:extent cx="5977979" cy="4123944"/>
            <wp:effectExtent l="0" t="0" r="381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Reduced Mining&amp;SNF_updated.pdf"/>
                    <pic:cNvPicPr/>
                  </pic:nvPicPr>
                  <pic:blipFill rotWithShape="1">
                    <a:blip r:embed="rId19">
                      <a:extLst>
                        <a:ext uri="{28A0092B-C50C-407E-A947-70E740481C1C}">
                          <a14:useLocalDpi xmlns:a14="http://schemas.microsoft.com/office/drawing/2010/main" val="0"/>
                        </a:ext>
                      </a:extLst>
                    </a:blip>
                    <a:srcRect l="6308" t="4398" r="15845" b="54104"/>
                    <a:stretch/>
                  </pic:blipFill>
                  <pic:spPr bwMode="auto">
                    <a:xfrm>
                      <a:off x="0" y="0"/>
                      <a:ext cx="6050712" cy="4174119"/>
                    </a:xfrm>
                    <a:prstGeom prst="rect">
                      <a:avLst/>
                    </a:prstGeom>
                    <a:ln>
                      <a:noFill/>
                    </a:ln>
                    <a:extLst>
                      <a:ext uri="{53640926-AAD7-44D8-BBD7-CCE9431645EC}">
                        <a14:shadowObscured xmlns:a14="http://schemas.microsoft.com/office/drawing/2010/main"/>
                      </a:ext>
                    </a:extLst>
                  </pic:spPr>
                </pic:pic>
              </a:graphicData>
            </a:graphic>
          </wp:inline>
        </w:drawing>
      </w:r>
    </w:p>
    <w:p w:rsidR="00B52DD2" w:rsidRPr="0016228E"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In particular</w:t>
      </w:r>
      <w:r>
        <w:rPr>
          <w:rFonts w:ascii="Times New Roman" w:hAnsi="Times New Roman" w:cs="Times New Roman"/>
        </w:rPr>
        <w:t>,</w:t>
      </w:r>
      <w:r w:rsidRPr="003F4BC8">
        <w:rPr>
          <w:rFonts w:ascii="Times New Roman" w:hAnsi="Times New Roman" w:cs="Times New Roman"/>
        </w:rPr>
        <w:t xml:space="preserve"> the findings </w:t>
      </w:r>
      <w:r>
        <w:rPr>
          <w:rFonts w:ascii="Times New Roman" w:hAnsi="Times New Roman" w:cs="Times New Roman"/>
        </w:rPr>
        <w:t>presented in table 3-8 reveal</w:t>
      </w:r>
      <w:r w:rsidRPr="003F4BC8">
        <w:rPr>
          <w:rFonts w:ascii="Times New Roman" w:hAnsi="Times New Roman" w:cs="Times New Roman"/>
        </w:rPr>
        <w:t xml:space="preserve"> </w:t>
      </w:r>
      <w:r>
        <w:rPr>
          <w:rFonts w:ascii="Times New Roman" w:hAnsi="Times New Roman" w:cs="Times New Roman"/>
        </w:rPr>
        <w:t xml:space="preserve">that for the given year of the value of support for SNF onsite storage, </w:t>
      </w:r>
      <w:r w:rsidRPr="003F4BC8">
        <w:rPr>
          <w:rFonts w:ascii="Times New Roman" w:hAnsi="Times New Roman" w:cs="Times New Roman"/>
        </w:rPr>
        <w:t xml:space="preserve">an above average benefit perception in reduced mining is </w:t>
      </w:r>
      <w:r>
        <w:rPr>
          <w:rFonts w:ascii="Times New Roman" w:hAnsi="Times New Roman" w:cs="Times New Roman"/>
        </w:rPr>
        <w:t>likely to lead an</w:t>
      </w:r>
      <w:r w:rsidRPr="003F4BC8">
        <w:rPr>
          <w:rFonts w:ascii="Times New Roman" w:hAnsi="Times New Roman" w:cs="Times New Roman"/>
        </w:rPr>
        <w:t xml:space="preserve"> above average support for SNF onsite storage policy </w:t>
      </w:r>
      <w:r w:rsidRPr="00142787">
        <w:rPr>
          <w:rFonts w:ascii="Times New Roman" w:hAnsi="Times New Roman" w:cs="Times New Roman"/>
        </w:rPr>
        <w:t>option</w:t>
      </w:r>
      <w:r>
        <w:rPr>
          <w:rFonts w:ascii="Times New Roman" w:hAnsi="Times New Roman" w:cs="Times New Roman"/>
        </w:rPr>
        <w:t xml:space="preserve"> 1 year later</w:t>
      </w:r>
      <w:r w:rsidRPr="00142787">
        <w:rPr>
          <w:rFonts w:ascii="Times New Roman" w:hAnsi="Times New Roman" w:cs="Times New Roman"/>
        </w:rPr>
        <w:t xml:space="preserve">. </w:t>
      </w:r>
      <w:r>
        <w:rPr>
          <w:rFonts w:ascii="Times New Roman" w:hAnsi="Times New Roman" w:cs="Times New Roman"/>
        </w:rPr>
        <w:t xml:space="preserve">Although the findings for the SNF interim storage presented in figure 3-9 are similar, they are significant for lag +1, which does not make substantive contribution in our analysis. </w:t>
      </w:r>
      <w:r w:rsidRPr="00142787">
        <w:rPr>
          <w:rFonts w:ascii="Times New Roman" w:hAnsi="Times New Roman" w:cs="Times New Roman"/>
        </w:rPr>
        <w:t>I found no evidence of correlation over time between the pairs of series measuring nuclear energy benefit of reliable power and SNF on-site, interim and deep geologic storage policy options; the benefit of energy independence and SNF on-site, interim and deep geologic storage policy options; and the benefit of reduced mining and SNF and deep geologic storage policy options.</w:t>
      </w:r>
      <w:r w:rsidRPr="00142787">
        <w:rPr>
          <w:rStyle w:val="FootnoteReference"/>
          <w:rFonts w:ascii="Times New Roman" w:hAnsi="Times New Roman" w:cs="Times New Roman"/>
        </w:rPr>
        <w:footnoteReference w:id="9"/>
      </w:r>
    </w:p>
    <w:p w:rsidR="00B52DD2" w:rsidRDefault="00B52DD2" w:rsidP="00B52DD2">
      <w:pPr>
        <w:spacing w:line="480" w:lineRule="auto"/>
        <w:ind w:firstLine="720"/>
        <w:jc w:val="both"/>
        <w:outlineLvl w:val="0"/>
        <w:rPr>
          <w:rFonts w:ascii="Times New Roman" w:hAnsi="Times New Roman" w:cs="Times New Roman"/>
        </w:rPr>
      </w:pPr>
      <w:r w:rsidRPr="00163C60">
        <w:rPr>
          <w:rFonts w:ascii="Times New Roman" w:hAnsi="Times New Roman" w:cs="Times New Roman"/>
        </w:rPr>
        <w:lastRenderedPageBreak/>
        <w:t>The</w:t>
      </w:r>
      <w:r w:rsidRPr="003F4BC8">
        <w:rPr>
          <w:rFonts w:ascii="Times New Roman" w:hAnsi="Times New Roman" w:cs="Times New Roman"/>
        </w:rPr>
        <w:t xml:space="preserve"> second proposition of the analysis was to </w:t>
      </w:r>
      <w:r>
        <w:rPr>
          <w:rFonts w:ascii="Times New Roman" w:hAnsi="Times New Roman" w:cs="Times New Roman"/>
        </w:rPr>
        <w:t>assess whether</w:t>
      </w:r>
      <w:r w:rsidRPr="003F4BC8">
        <w:rPr>
          <w:rFonts w:ascii="Times New Roman" w:hAnsi="Times New Roman" w:cs="Times New Roman"/>
        </w:rPr>
        <w:t xml:space="preserve"> increased public trust in regulation and management of nuclear technology over time </w:t>
      </w:r>
      <w:r>
        <w:rPr>
          <w:rFonts w:ascii="Times New Roman" w:hAnsi="Times New Roman" w:cs="Times New Roman"/>
        </w:rPr>
        <w:t xml:space="preserve">may </w:t>
      </w:r>
      <w:r w:rsidRPr="003F4BC8">
        <w:rPr>
          <w:rFonts w:ascii="Times New Roman" w:hAnsi="Times New Roman" w:cs="Times New Roman"/>
        </w:rPr>
        <w:t>result in increased support for deep geologic disposal of SNF. In line with this proposition the results of the cross correlation analysis presented in figures 3-</w:t>
      </w:r>
      <w:r>
        <w:rPr>
          <w:rFonts w:ascii="Times New Roman" w:hAnsi="Times New Roman" w:cs="Times New Roman"/>
        </w:rPr>
        <w:t>10</w:t>
      </w:r>
      <w:r w:rsidRPr="003F4BC8">
        <w:rPr>
          <w:rFonts w:ascii="Times New Roman" w:hAnsi="Times New Roman" w:cs="Times New Roman"/>
        </w:rPr>
        <w:t xml:space="preserve"> and 3-1</w:t>
      </w:r>
      <w:r>
        <w:rPr>
          <w:rFonts w:ascii="Times New Roman" w:hAnsi="Times New Roman" w:cs="Times New Roman"/>
        </w:rPr>
        <w:t>1</w:t>
      </w:r>
      <w:r w:rsidRPr="003F4BC8">
        <w:rPr>
          <w:rFonts w:ascii="Times New Roman" w:hAnsi="Times New Roman" w:cs="Times New Roman"/>
        </w:rPr>
        <w:t xml:space="preserve"> showed positive and significant relationship</w:t>
      </w:r>
      <w:r>
        <w:rPr>
          <w:rFonts w:ascii="Times New Roman" w:hAnsi="Times New Roman" w:cs="Times New Roman"/>
        </w:rPr>
        <w:t>s</w:t>
      </w:r>
      <w:r w:rsidRPr="003F4BC8">
        <w:rPr>
          <w:rFonts w:ascii="Times New Roman" w:hAnsi="Times New Roman" w:cs="Times New Roman"/>
        </w:rPr>
        <w:t xml:space="preserve"> between public trust in the experts of the Department </w:t>
      </w:r>
      <w:r w:rsidRPr="00142787">
        <w:rPr>
          <w:rFonts w:ascii="Times New Roman" w:hAnsi="Times New Roman" w:cs="Times New Roman"/>
        </w:rPr>
        <w:t>of Energy and the</w:t>
      </w:r>
      <w:r w:rsidRPr="003F4BC8">
        <w:rPr>
          <w:rFonts w:ascii="Times New Roman" w:hAnsi="Times New Roman" w:cs="Times New Roman"/>
        </w:rPr>
        <w:t xml:space="preserve"> National </w:t>
      </w:r>
      <w:r>
        <w:rPr>
          <w:rFonts w:ascii="Times New Roman" w:hAnsi="Times New Roman" w:cs="Times New Roman"/>
        </w:rPr>
        <w:t>L</w:t>
      </w:r>
      <w:r w:rsidRPr="003F4BC8">
        <w:rPr>
          <w:rFonts w:ascii="Times New Roman" w:hAnsi="Times New Roman" w:cs="Times New Roman"/>
        </w:rPr>
        <w:t>aboratories and support for SNF deep geologic storage</w:t>
      </w:r>
      <w:r>
        <w:rPr>
          <w:rFonts w:ascii="Times New Roman" w:hAnsi="Times New Roman" w:cs="Times New Roman"/>
        </w:rPr>
        <w:t xml:space="preserve"> at lags +1, +2, and +3</w:t>
      </w:r>
      <w:r w:rsidRPr="003F4BC8">
        <w:rPr>
          <w:rFonts w:ascii="Times New Roman" w:hAnsi="Times New Roman" w:cs="Times New Roman"/>
        </w:rPr>
        <w:t>.</w:t>
      </w:r>
    </w:p>
    <w:p w:rsidR="00B52DD2" w:rsidRDefault="00B52DD2" w:rsidP="00B52DD2">
      <w:pPr>
        <w:spacing w:line="480" w:lineRule="auto"/>
        <w:jc w:val="center"/>
        <w:outlineLvl w:val="0"/>
        <w:rPr>
          <w:rFonts w:ascii="Times New Roman" w:hAnsi="Times New Roman" w:cs="Times New Roman"/>
        </w:rPr>
      </w:pPr>
      <w:r>
        <w:rPr>
          <w:rFonts w:ascii="Times New Roman" w:hAnsi="Times New Roman" w:cs="Times New Roman"/>
          <w:noProof/>
        </w:rPr>
        <w:drawing>
          <wp:inline distT="0" distB="0" distL="0" distR="0" wp14:anchorId="1C7D4D7C" wp14:editId="0E123C48">
            <wp:extent cx="5833872" cy="400862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oE&amp;Labs&amp;DeepGeol_updated.pdf"/>
                    <pic:cNvPicPr/>
                  </pic:nvPicPr>
                  <pic:blipFill rotWithShape="1">
                    <a:blip r:embed="rId20">
                      <a:extLst>
                        <a:ext uri="{28A0092B-C50C-407E-A947-70E740481C1C}">
                          <a14:useLocalDpi xmlns:a14="http://schemas.microsoft.com/office/drawing/2010/main" val="0"/>
                        </a:ext>
                      </a:extLst>
                    </a:blip>
                    <a:srcRect l="10769" t="12126" r="11537" b="46621"/>
                    <a:stretch/>
                  </pic:blipFill>
                  <pic:spPr bwMode="auto">
                    <a:xfrm>
                      <a:off x="0" y="0"/>
                      <a:ext cx="5864461" cy="4029641"/>
                    </a:xfrm>
                    <a:prstGeom prst="rect">
                      <a:avLst/>
                    </a:prstGeom>
                    <a:ln>
                      <a:noFill/>
                    </a:ln>
                    <a:extLst>
                      <a:ext uri="{53640926-AAD7-44D8-BBD7-CCE9431645EC}">
                        <a14:shadowObscured xmlns:a14="http://schemas.microsoft.com/office/drawing/2010/main"/>
                      </a:ext>
                    </a:extLst>
                  </pic:spPr>
                </pic:pic>
              </a:graphicData>
            </a:graphic>
          </wp:inline>
        </w:drawing>
      </w:r>
    </w:p>
    <w:p w:rsidR="00B52DD2" w:rsidRPr="004D7554" w:rsidRDefault="00B52DD2" w:rsidP="00B52DD2">
      <w:pPr>
        <w:spacing w:line="480" w:lineRule="auto"/>
        <w:ind w:firstLine="720"/>
        <w:jc w:val="both"/>
        <w:outlineLvl w:val="0"/>
        <w:rPr>
          <w:rFonts w:ascii="Times New Roman" w:hAnsi="Times New Roman" w:cs="Times New Roman"/>
        </w:rPr>
      </w:pPr>
      <w:r>
        <w:rPr>
          <w:rFonts w:ascii="Times New Roman" w:hAnsi="Times New Roman" w:cs="Times New Roman"/>
        </w:rPr>
        <w:t>Despite their statistical significance, t</w:t>
      </w:r>
      <w:r w:rsidRPr="003F4BC8">
        <w:rPr>
          <w:rFonts w:ascii="Times New Roman" w:hAnsi="Times New Roman" w:cs="Times New Roman"/>
        </w:rPr>
        <w:t>h</w:t>
      </w:r>
      <w:r>
        <w:rPr>
          <w:rFonts w:ascii="Times New Roman" w:hAnsi="Times New Roman" w:cs="Times New Roman"/>
        </w:rPr>
        <w:t>e</w:t>
      </w:r>
      <w:r w:rsidRPr="003F4BC8">
        <w:rPr>
          <w:rFonts w:ascii="Times New Roman" w:hAnsi="Times New Roman" w:cs="Times New Roman"/>
        </w:rPr>
        <w:t>s</w:t>
      </w:r>
      <w:r>
        <w:rPr>
          <w:rFonts w:ascii="Times New Roman" w:hAnsi="Times New Roman" w:cs="Times New Roman"/>
        </w:rPr>
        <w:t>e</w:t>
      </w:r>
      <w:r w:rsidRPr="003F4BC8">
        <w:rPr>
          <w:rFonts w:ascii="Times New Roman" w:hAnsi="Times New Roman" w:cs="Times New Roman"/>
        </w:rPr>
        <w:t xml:space="preserve"> outcome</w:t>
      </w:r>
      <w:r>
        <w:rPr>
          <w:rFonts w:ascii="Times New Roman" w:hAnsi="Times New Roman" w:cs="Times New Roman"/>
        </w:rPr>
        <w:t>s</w:t>
      </w:r>
      <w:r w:rsidRPr="003F4BC8">
        <w:rPr>
          <w:rFonts w:ascii="Times New Roman" w:hAnsi="Times New Roman" w:cs="Times New Roman"/>
        </w:rPr>
        <w:t xml:space="preserve"> </w:t>
      </w:r>
      <w:r>
        <w:rPr>
          <w:rFonts w:ascii="Times New Roman" w:hAnsi="Times New Roman" w:cs="Times New Roman"/>
        </w:rPr>
        <w:t>do not make any substantive revelation in our analysis</w:t>
      </w:r>
      <w:r w:rsidRPr="00B474CA">
        <w:rPr>
          <w:rFonts w:ascii="Times New Roman" w:hAnsi="Times New Roman" w:cs="Times New Roman"/>
        </w:rPr>
        <w:t xml:space="preserve"> </w:t>
      </w:r>
      <w:r>
        <w:rPr>
          <w:rFonts w:ascii="Times New Roman" w:hAnsi="Times New Roman" w:cs="Times New Roman"/>
        </w:rPr>
        <w:t xml:space="preserve">having in mind the discussion of the temporal structure of the data and its necessity for being deterministic. </w:t>
      </w:r>
      <w:r w:rsidRPr="00163C60">
        <w:rPr>
          <w:rFonts w:ascii="Times New Roman" w:hAnsi="Times New Roman" w:cs="Times New Roman"/>
        </w:rPr>
        <w:t xml:space="preserve">I </w:t>
      </w:r>
      <w:r>
        <w:rPr>
          <w:rFonts w:ascii="Times New Roman" w:hAnsi="Times New Roman" w:cs="Times New Roman"/>
        </w:rPr>
        <w:t xml:space="preserve">also </w:t>
      </w:r>
      <w:r w:rsidRPr="00163C60">
        <w:rPr>
          <w:rFonts w:ascii="Times New Roman" w:hAnsi="Times New Roman" w:cs="Times New Roman"/>
        </w:rPr>
        <w:t xml:space="preserve">found no evidence of correlation over time between the </w:t>
      </w:r>
      <w:r w:rsidRPr="00163C60">
        <w:rPr>
          <w:rFonts w:ascii="Times New Roman" w:hAnsi="Times New Roman" w:cs="Times New Roman"/>
        </w:rPr>
        <w:lastRenderedPageBreak/>
        <w:t>pairs of series measuring public trust in the experts of Department of Energy and the National laboratories and support for SNF on-site, and interim storage policy options.</w:t>
      </w:r>
      <w:r w:rsidRPr="00163C60">
        <w:rPr>
          <w:rStyle w:val="FootnoteReference"/>
          <w:rFonts w:ascii="Times New Roman" w:hAnsi="Times New Roman" w:cs="Times New Roman"/>
        </w:rPr>
        <w:footnoteReference w:id="10"/>
      </w:r>
    </w:p>
    <w:p w:rsidR="00B52DD2" w:rsidRDefault="00B52DD2" w:rsidP="00B52DD2">
      <w:pPr>
        <w:spacing w:line="480" w:lineRule="auto"/>
        <w:ind w:firstLine="720"/>
        <w:jc w:val="both"/>
        <w:outlineLvl w:val="0"/>
        <w:rPr>
          <w:rFonts w:ascii="Times New Roman" w:hAnsi="Times New Roman" w:cs="Times New Roman"/>
        </w:rPr>
      </w:pPr>
      <w:r>
        <w:rPr>
          <w:rFonts w:ascii="Times New Roman" w:hAnsi="Times New Roman" w:cs="Times New Roman"/>
        </w:rPr>
        <w:t>Next, I present c</w:t>
      </w:r>
      <w:r w:rsidRPr="003F4BC8">
        <w:rPr>
          <w:rFonts w:ascii="Times New Roman" w:hAnsi="Times New Roman" w:cs="Times New Roman"/>
        </w:rPr>
        <w:t xml:space="preserve">ross correlation tests for public preferences in SNF onsite and interim storage policy options predicted by </w:t>
      </w:r>
      <w:r>
        <w:rPr>
          <w:rFonts w:ascii="Times New Roman" w:hAnsi="Times New Roman" w:cs="Times New Roman"/>
        </w:rPr>
        <w:t>public</w:t>
      </w:r>
      <w:r w:rsidRPr="003F4BC8">
        <w:rPr>
          <w:rFonts w:ascii="Times New Roman" w:hAnsi="Times New Roman" w:cs="Times New Roman"/>
        </w:rPr>
        <w:t xml:space="preserve"> trust in federal regulatory agencies</w:t>
      </w:r>
      <w:r>
        <w:rPr>
          <w:rFonts w:ascii="Times New Roman" w:hAnsi="Times New Roman" w:cs="Times New Roman"/>
        </w:rPr>
        <w:t>.</w:t>
      </w:r>
      <w:r w:rsidRPr="003F4BC8">
        <w:rPr>
          <w:rFonts w:ascii="Times New Roman" w:hAnsi="Times New Roman" w:cs="Times New Roman"/>
        </w:rPr>
        <w:t xml:space="preserve"> As figures 3-1</w:t>
      </w:r>
      <w:r>
        <w:rPr>
          <w:rFonts w:ascii="Times New Roman" w:hAnsi="Times New Roman" w:cs="Times New Roman"/>
        </w:rPr>
        <w:t>2</w:t>
      </w:r>
      <w:r w:rsidRPr="003F4BC8">
        <w:rPr>
          <w:rFonts w:ascii="Times New Roman" w:hAnsi="Times New Roman" w:cs="Times New Roman"/>
        </w:rPr>
        <w:t xml:space="preserve"> and 3-1</w:t>
      </w:r>
      <w:r>
        <w:rPr>
          <w:rFonts w:ascii="Times New Roman" w:hAnsi="Times New Roman" w:cs="Times New Roman"/>
        </w:rPr>
        <w:t>3</w:t>
      </w:r>
      <w:r w:rsidRPr="003F4BC8">
        <w:rPr>
          <w:rFonts w:ascii="Times New Roman" w:hAnsi="Times New Roman" w:cs="Times New Roman"/>
        </w:rPr>
        <w:t xml:space="preserve"> show, higher trust in the Environmental Protection Agency results in increased support for SNF onsite </w:t>
      </w:r>
      <w:r>
        <w:rPr>
          <w:rFonts w:ascii="Times New Roman" w:hAnsi="Times New Roman" w:cs="Times New Roman"/>
        </w:rPr>
        <w:t xml:space="preserve">policy option at lag +1 and in less support for </w:t>
      </w:r>
      <w:r w:rsidRPr="003F4BC8">
        <w:rPr>
          <w:rFonts w:ascii="Times New Roman" w:hAnsi="Times New Roman" w:cs="Times New Roman"/>
        </w:rPr>
        <w:t xml:space="preserve">SNF interim storage option </w:t>
      </w:r>
      <w:r>
        <w:rPr>
          <w:rFonts w:ascii="Times New Roman" w:hAnsi="Times New Roman" w:cs="Times New Roman"/>
        </w:rPr>
        <w:t xml:space="preserve">at lag 0. </w:t>
      </w:r>
    </w:p>
    <w:p w:rsidR="00B52DD2" w:rsidRPr="003F4BC8" w:rsidRDefault="00B52DD2" w:rsidP="00B52DD2">
      <w:pPr>
        <w:spacing w:line="480" w:lineRule="auto"/>
        <w:jc w:val="center"/>
        <w:outlineLvl w:val="0"/>
        <w:rPr>
          <w:rFonts w:ascii="Times New Roman" w:hAnsi="Times New Roman" w:cs="Times New Roman"/>
        </w:rPr>
      </w:pPr>
      <w:r>
        <w:rPr>
          <w:rFonts w:ascii="Times New Roman" w:hAnsi="Times New Roman" w:cs="Times New Roman"/>
          <w:noProof/>
        </w:rPr>
        <w:drawing>
          <wp:inline distT="0" distB="0" distL="0" distR="0" wp14:anchorId="6C9F4C67" wp14:editId="3642F8BD">
            <wp:extent cx="5876886" cy="4087368"/>
            <wp:effectExtent l="0" t="0" r="3810"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EPA-onsite&amp;interim_Updated.pdf"/>
                    <pic:cNvPicPr/>
                  </pic:nvPicPr>
                  <pic:blipFill rotWithShape="1">
                    <a:blip r:embed="rId21">
                      <a:extLst>
                        <a:ext uri="{28A0092B-C50C-407E-A947-70E740481C1C}">
                          <a14:useLocalDpi xmlns:a14="http://schemas.microsoft.com/office/drawing/2010/main" val="0"/>
                        </a:ext>
                      </a:extLst>
                    </a:blip>
                    <a:srcRect l="10772" t="3446" r="11356" b="54703"/>
                    <a:stretch/>
                  </pic:blipFill>
                  <pic:spPr bwMode="auto">
                    <a:xfrm>
                      <a:off x="0" y="0"/>
                      <a:ext cx="5946857" cy="4136033"/>
                    </a:xfrm>
                    <a:prstGeom prst="rect">
                      <a:avLst/>
                    </a:prstGeom>
                    <a:ln>
                      <a:noFill/>
                    </a:ln>
                    <a:extLst>
                      <a:ext uri="{53640926-AAD7-44D8-BBD7-CCE9431645EC}">
                        <a14:shadowObscured xmlns:a14="http://schemas.microsoft.com/office/drawing/2010/main"/>
                      </a:ext>
                    </a:extLst>
                  </pic:spPr>
                </pic:pic>
              </a:graphicData>
            </a:graphic>
          </wp:inline>
        </w:drawing>
      </w:r>
    </w:p>
    <w:p w:rsidR="00B52DD2" w:rsidRDefault="00B52DD2" w:rsidP="00B52DD2">
      <w:pPr>
        <w:spacing w:line="480" w:lineRule="auto"/>
        <w:ind w:firstLine="720"/>
        <w:jc w:val="both"/>
        <w:outlineLvl w:val="0"/>
        <w:rPr>
          <w:rFonts w:ascii="Times New Roman" w:hAnsi="Times New Roman" w:cs="Times New Roman"/>
        </w:rPr>
      </w:pPr>
      <w:r>
        <w:rPr>
          <w:rFonts w:ascii="Times New Roman" w:hAnsi="Times New Roman" w:cs="Times New Roman"/>
        </w:rPr>
        <w:t>Despite being statistically significant, t</w:t>
      </w:r>
      <w:r w:rsidRPr="003F4BC8">
        <w:rPr>
          <w:rFonts w:ascii="Times New Roman" w:hAnsi="Times New Roman" w:cs="Times New Roman"/>
        </w:rPr>
        <w:t>h</w:t>
      </w:r>
      <w:r>
        <w:rPr>
          <w:rFonts w:ascii="Times New Roman" w:hAnsi="Times New Roman" w:cs="Times New Roman"/>
        </w:rPr>
        <w:t>e</w:t>
      </w:r>
      <w:r w:rsidRPr="003F4BC8">
        <w:rPr>
          <w:rFonts w:ascii="Times New Roman" w:hAnsi="Times New Roman" w:cs="Times New Roman"/>
        </w:rPr>
        <w:t>s</w:t>
      </w:r>
      <w:r>
        <w:rPr>
          <w:rFonts w:ascii="Times New Roman" w:hAnsi="Times New Roman" w:cs="Times New Roman"/>
        </w:rPr>
        <w:t>e</w:t>
      </w:r>
      <w:r w:rsidRPr="003F4BC8">
        <w:rPr>
          <w:rFonts w:ascii="Times New Roman" w:hAnsi="Times New Roman" w:cs="Times New Roman"/>
        </w:rPr>
        <w:t xml:space="preserve"> </w:t>
      </w:r>
      <w:r>
        <w:rPr>
          <w:rFonts w:ascii="Times New Roman" w:hAnsi="Times New Roman" w:cs="Times New Roman"/>
        </w:rPr>
        <w:t xml:space="preserve">results do not matter substantively because of the issue of time order and causality. In other words, if the change in the outcome variable has not happened after the change in the independent variable it means that practically the independent </w:t>
      </w:r>
      <w:r>
        <w:rPr>
          <w:rFonts w:ascii="Times New Roman" w:hAnsi="Times New Roman" w:cs="Times New Roman"/>
        </w:rPr>
        <w:lastRenderedPageBreak/>
        <w:t xml:space="preserve">variable has not affected our dependent variable even if statistically the correlations between them are significant. </w:t>
      </w:r>
      <w:r w:rsidRPr="00604537">
        <w:rPr>
          <w:rFonts w:ascii="Times New Roman" w:hAnsi="Times New Roman" w:cs="Times New Roman"/>
        </w:rPr>
        <w:t>I found no evidence of correlation over time between the pairs of series measuring public trust in the experts of Environmental Protection Agency and the Nuclear Regulatory Commission and support for SNF deep geologic storage policy opt</w:t>
      </w:r>
      <w:r>
        <w:rPr>
          <w:rFonts w:ascii="Times New Roman" w:hAnsi="Times New Roman" w:cs="Times New Roman"/>
        </w:rPr>
        <w:t>i</w:t>
      </w:r>
      <w:r w:rsidRPr="00604537">
        <w:rPr>
          <w:rFonts w:ascii="Times New Roman" w:hAnsi="Times New Roman" w:cs="Times New Roman"/>
        </w:rPr>
        <w:t xml:space="preserve">on (table 3-C2 in </w:t>
      </w:r>
      <w:r>
        <w:rPr>
          <w:rFonts w:ascii="Times New Roman" w:hAnsi="Times New Roman" w:cs="Times New Roman"/>
        </w:rPr>
        <w:t xml:space="preserve">the </w:t>
      </w:r>
      <w:r w:rsidRPr="00604537">
        <w:rPr>
          <w:rFonts w:ascii="Times New Roman" w:hAnsi="Times New Roman" w:cs="Times New Roman"/>
        </w:rPr>
        <w:t>appendix).</w:t>
      </w:r>
    </w:p>
    <w:p w:rsidR="00B52DD2" w:rsidRPr="003F4BC8" w:rsidRDefault="00B52DD2" w:rsidP="00B52DD2">
      <w:pPr>
        <w:spacing w:line="480" w:lineRule="auto"/>
        <w:ind w:firstLine="720"/>
        <w:jc w:val="both"/>
        <w:outlineLvl w:val="0"/>
        <w:rPr>
          <w:rFonts w:ascii="Times New Roman" w:hAnsi="Times New Roman" w:cs="Times New Roman"/>
        </w:rPr>
      </w:pPr>
      <w:r>
        <w:rPr>
          <w:rFonts w:ascii="Times New Roman" w:hAnsi="Times New Roman" w:cs="Times New Roman"/>
        </w:rPr>
        <w:t xml:space="preserve">Likewise, figures 3-14 and 3-15 reveal that </w:t>
      </w:r>
      <w:r w:rsidRPr="003F4BC8">
        <w:rPr>
          <w:rFonts w:ascii="Times New Roman" w:hAnsi="Times New Roman" w:cs="Times New Roman"/>
        </w:rPr>
        <w:t xml:space="preserve">higher public trust in Nuclear Regulatory Commission </w:t>
      </w:r>
      <w:r>
        <w:rPr>
          <w:rFonts w:ascii="Times New Roman" w:hAnsi="Times New Roman" w:cs="Times New Roman"/>
        </w:rPr>
        <w:t xml:space="preserve">yields </w:t>
      </w:r>
      <w:r w:rsidRPr="003F4BC8">
        <w:rPr>
          <w:rFonts w:ascii="Times New Roman" w:hAnsi="Times New Roman" w:cs="Times New Roman"/>
        </w:rPr>
        <w:t xml:space="preserve">increased support for SNF onsite </w:t>
      </w:r>
      <w:r>
        <w:rPr>
          <w:rFonts w:ascii="Times New Roman" w:hAnsi="Times New Roman" w:cs="Times New Roman"/>
        </w:rPr>
        <w:t xml:space="preserve">policy option at lag +1 and in less support for </w:t>
      </w:r>
      <w:r w:rsidRPr="003F4BC8">
        <w:rPr>
          <w:rFonts w:ascii="Times New Roman" w:hAnsi="Times New Roman" w:cs="Times New Roman"/>
        </w:rPr>
        <w:t xml:space="preserve">SNF interim storage option </w:t>
      </w:r>
      <w:r>
        <w:rPr>
          <w:rFonts w:ascii="Times New Roman" w:hAnsi="Times New Roman" w:cs="Times New Roman"/>
        </w:rPr>
        <w:t>at lag 0.</w:t>
      </w:r>
    </w:p>
    <w:p w:rsidR="00B52DD2" w:rsidRDefault="00B52DD2" w:rsidP="00B52DD2">
      <w:pPr>
        <w:jc w:val="center"/>
        <w:outlineLvl w:val="0"/>
        <w:rPr>
          <w:rFonts w:ascii="Times New Roman" w:hAnsi="Times New Roman" w:cs="Times New Roman"/>
        </w:rPr>
      </w:pPr>
      <w:r>
        <w:rPr>
          <w:rFonts w:ascii="Times New Roman" w:hAnsi="Times New Roman" w:cs="Times New Roman"/>
          <w:noProof/>
        </w:rPr>
        <w:drawing>
          <wp:inline distT="0" distB="0" distL="0" distR="0" wp14:anchorId="424D4519" wp14:editId="2960B324">
            <wp:extent cx="5751195" cy="3913505"/>
            <wp:effectExtent l="0" t="0" r="190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NRC-onsite&amp;interim_updated.pdf"/>
                    <pic:cNvPicPr/>
                  </pic:nvPicPr>
                  <pic:blipFill rotWithShape="1">
                    <a:blip r:embed="rId22">
                      <a:extLst>
                        <a:ext uri="{28A0092B-C50C-407E-A947-70E740481C1C}">
                          <a14:useLocalDpi xmlns:a14="http://schemas.microsoft.com/office/drawing/2010/main" val="0"/>
                        </a:ext>
                      </a:extLst>
                    </a:blip>
                    <a:srcRect l="6154" t="3804" r="15376" b="54935"/>
                    <a:stretch/>
                  </pic:blipFill>
                  <pic:spPr bwMode="auto">
                    <a:xfrm>
                      <a:off x="0" y="0"/>
                      <a:ext cx="5803711" cy="3949240"/>
                    </a:xfrm>
                    <a:prstGeom prst="rect">
                      <a:avLst/>
                    </a:prstGeom>
                    <a:ln>
                      <a:noFill/>
                    </a:ln>
                    <a:extLst>
                      <a:ext uri="{53640926-AAD7-44D8-BBD7-CCE9431645EC}">
                        <a14:shadowObscured xmlns:a14="http://schemas.microsoft.com/office/drawing/2010/main"/>
                      </a:ext>
                    </a:extLst>
                  </pic:spPr>
                </pic:pic>
              </a:graphicData>
            </a:graphic>
          </wp:inline>
        </w:drawing>
      </w:r>
    </w:p>
    <w:p w:rsidR="00B52DD2" w:rsidRPr="006C07DD" w:rsidRDefault="00B52DD2" w:rsidP="00B52DD2">
      <w:pPr>
        <w:spacing w:line="480" w:lineRule="auto"/>
        <w:ind w:firstLine="720"/>
        <w:jc w:val="both"/>
        <w:outlineLvl w:val="0"/>
        <w:rPr>
          <w:rFonts w:ascii="Times New Roman" w:hAnsi="Times New Roman" w:cs="Times New Roman"/>
        </w:rPr>
      </w:pPr>
      <w:r>
        <w:rPr>
          <w:rFonts w:ascii="Times New Roman" w:hAnsi="Times New Roman" w:cs="Times New Roman"/>
        </w:rPr>
        <w:t>Similar to the results for public trust in the EPA, despite having statistical significance these results do not have practical value due to the temporal mismatch between cause and effect. In addition, n</w:t>
      </w:r>
      <w:r w:rsidRPr="006C07DD">
        <w:rPr>
          <w:rFonts w:ascii="Times New Roman" w:hAnsi="Times New Roman" w:cs="Times New Roman"/>
        </w:rPr>
        <w:t>o evidence of correlation over time was found between the pairs of series measuring public trust in State Regulators and support for SNF onsite, interim and deep geologic storage policy options (table 3-C2 in the appendix).</w:t>
      </w:r>
    </w:p>
    <w:p w:rsidR="00B52DD2" w:rsidRDefault="00B52DD2" w:rsidP="00B52DD2">
      <w:pPr>
        <w:spacing w:line="480" w:lineRule="auto"/>
        <w:ind w:firstLine="720"/>
        <w:jc w:val="both"/>
        <w:outlineLvl w:val="0"/>
        <w:rPr>
          <w:rFonts w:ascii="Times New Roman" w:hAnsi="Times New Roman" w:cs="Times New Roman"/>
        </w:rPr>
      </w:pPr>
      <w:r w:rsidRPr="00183D5A">
        <w:rPr>
          <w:rFonts w:ascii="Times New Roman" w:hAnsi="Times New Roman" w:cs="Times New Roman"/>
        </w:rPr>
        <w:lastRenderedPageBreak/>
        <w:t xml:space="preserve">The third expectation of the analysis claimed that the surge in knowledge about nuclear waste management and disposal will increase public support in deep geologic disposal of SNF over time. </w:t>
      </w:r>
      <w:r>
        <w:rPr>
          <w:rFonts w:ascii="Times New Roman" w:hAnsi="Times New Roman" w:cs="Times New Roman"/>
        </w:rPr>
        <w:t xml:space="preserve">I want to remind that </w:t>
      </w:r>
      <w:r w:rsidRPr="00183D5A">
        <w:rPr>
          <w:rFonts w:ascii="Times New Roman" w:hAnsi="Times New Roman" w:cs="Times New Roman"/>
        </w:rPr>
        <w:t>the knowledge measure is a percent count of individuals who have correctly indicated how SNF is currently treated in the U.S.</w:t>
      </w:r>
      <w:r w:rsidRPr="00765BE6">
        <w:rPr>
          <w:rFonts w:ascii="Times New Roman" w:hAnsi="Times New Roman" w:cs="Times New Roman"/>
        </w:rPr>
        <w:t xml:space="preserve"> </w:t>
      </w:r>
      <w:r w:rsidRPr="00183D5A">
        <w:rPr>
          <w:rFonts w:ascii="Times New Roman" w:hAnsi="Times New Roman" w:cs="Times New Roman"/>
        </w:rPr>
        <w:t>Since by definition, the third hypothesis of the study limits my interest in the fraction of respondents who have correctly answered this question, I have recoded the variable such that I separate the fraction of respondents who have given a correct answer to this question.</w:t>
      </w:r>
      <w:r w:rsidRPr="00183D5A">
        <w:rPr>
          <w:rStyle w:val="FootnoteReference"/>
          <w:rFonts w:ascii="Times New Roman" w:hAnsi="Times New Roman" w:cs="Times New Roman"/>
        </w:rPr>
        <w:footnoteReference w:id="11"/>
      </w:r>
    </w:p>
    <w:p w:rsidR="00B52DD2" w:rsidRDefault="00B52DD2" w:rsidP="00B52DD2">
      <w:pPr>
        <w:spacing w:line="480" w:lineRule="auto"/>
        <w:jc w:val="center"/>
        <w:outlineLvl w:val="0"/>
        <w:rPr>
          <w:rFonts w:ascii="Times New Roman" w:hAnsi="Times New Roman" w:cs="Times New Roman"/>
        </w:rPr>
      </w:pPr>
      <w:r>
        <w:rPr>
          <w:rFonts w:ascii="Times New Roman" w:hAnsi="Times New Roman" w:cs="Times New Roman"/>
          <w:noProof/>
        </w:rPr>
        <w:drawing>
          <wp:inline distT="0" distB="0" distL="0" distR="0" wp14:anchorId="7DC5247F" wp14:editId="0F1613BA">
            <wp:extent cx="5955810" cy="4151376"/>
            <wp:effectExtent l="0" t="0" r="635"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Knowledge updated Again.pdf"/>
                    <pic:cNvPicPr/>
                  </pic:nvPicPr>
                  <pic:blipFill rotWithShape="1">
                    <a:blip r:embed="rId23">
                      <a:extLst>
                        <a:ext uri="{28A0092B-C50C-407E-A947-70E740481C1C}">
                          <a14:useLocalDpi xmlns:a14="http://schemas.microsoft.com/office/drawing/2010/main" val="0"/>
                        </a:ext>
                      </a:extLst>
                    </a:blip>
                    <a:srcRect l="11078" t="11294" r="11212" b="46851"/>
                    <a:stretch/>
                  </pic:blipFill>
                  <pic:spPr bwMode="auto">
                    <a:xfrm>
                      <a:off x="0" y="0"/>
                      <a:ext cx="5986880" cy="4173033"/>
                    </a:xfrm>
                    <a:prstGeom prst="rect">
                      <a:avLst/>
                    </a:prstGeom>
                    <a:ln>
                      <a:noFill/>
                    </a:ln>
                    <a:extLst>
                      <a:ext uri="{53640926-AAD7-44D8-BBD7-CCE9431645EC}">
                        <a14:shadowObscured xmlns:a14="http://schemas.microsoft.com/office/drawing/2010/main"/>
                      </a:ext>
                    </a:extLst>
                  </pic:spPr>
                </pic:pic>
              </a:graphicData>
            </a:graphic>
          </wp:inline>
        </w:drawing>
      </w:r>
    </w:p>
    <w:p w:rsidR="00B52DD2"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Figure 3-</w:t>
      </w:r>
      <w:r>
        <w:rPr>
          <w:rFonts w:ascii="Times New Roman" w:hAnsi="Times New Roman" w:cs="Times New Roman"/>
        </w:rPr>
        <w:t>16</w:t>
      </w:r>
      <w:r w:rsidRPr="003F4BC8">
        <w:rPr>
          <w:rFonts w:ascii="Times New Roman" w:hAnsi="Times New Roman" w:cs="Times New Roman"/>
        </w:rPr>
        <w:t xml:space="preserve"> </w:t>
      </w:r>
      <w:r>
        <w:rPr>
          <w:rFonts w:ascii="Times New Roman" w:hAnsi="Times New Roman" w:cs="Times New Roman"/>
        </w:rPr>
        <w:t>and 3-17 reveal</w:t>
      </w:r>
      <w:r w:rsidRPr="003F4BC8">
        <w:rPr>
          <w:rFonts w:ascii="Times New Roman" w:hAnsi="Times New Roman" w:cs="Times New Roman"/>
        </w:rPr>
        <w:t xml:space="preserve"> a </w:t>
      </w:r>
      <w:r>
        <w:rPr>
          <w:rFonts w:ascii="Times New Roman" w:hAnsi="Times New Roman" w:cs="Times New Roman"/>
        </w:rPr>
        <w:t>positive</w:t>
      </w:r>
      <w:r w:rsidRPr="003F4BC8">
        <w:rPr>
          <w:rFonts w:ascii="Times New Roman" w:hAnsi="Times New Roman" w:cs="Times New Roman"/>
        </w:rPr>
        <w:t xml:space="preserve"> correlation between the </w:t>
      </w:r>
      <w:r>
        <w:rPr>
          <w:rFonts w:ascii="Times New Roman" w:hAnsi="Times New Roman" w:cs="Times New Roman"/>
        </w:rPr>
        <w:t xml:space="preserve">percent of individuals who have correctly indicated the actual processing method </w:t>
      </w:r>
      <w:r w:rsidRPr="003F4BC8">
        <w:rPr>
          <w:rFonts w:ascii="Times New Roman" w:hAnsi="Times New Roman" w:cs="Times New Roman"/>
        </w:rPr>
        <w:t xml:space="preserve">of </w:t>
      </w:r>
      <w:r>
        <w:rPr>
          <w:rFonts w:ascii="Times New Roman" w:hAnsi="Times New Roman" w:cs="Times New Roman"/>
        </w:rPr>
        <w:t xml:space="preserve">SNF and their support of SNF interim </w:t>
      </w:r>
      <w:r>
        <w:rPr>
          <w:rFonts w:ascii="Times New Roman" w:hAnsi="Times New Roman" w:cs="Times New Roman"/>
        </w:rPr>
        <w:lastRenderedPageBreak/>
        <w:t>storage at lag -1 and at lag 0 and a negative correlation of SNF on-site storage at lag -2, -1, and 0. This results s</w:t>
      </w:r>
      <w:r w:rsidRPr="003F4BC8">
        <w:rPr>
          <w:rFonts w:ascii="Times New Roman" w:hAnsi="Times New Roman" w:cs="Times New Roman"/>
        </w:rPr>
        <w:t xml:space="preserve">ubstantively </w:t>
      </w:r>
      <w:r>
        <w:rPr>
          <w:rFonts w:ascii="Times New Roman" w:hAnsi="Times New Roman" w:cs="Times New Roman"/>
        </w:rPr>
        <w:t xml:space="preserve">denote that </w:t>
      </w:r>
      <w:r w:rsidRPr="003F4BC8">
        <w:rPr>
          <w:rFonts w:ascii="Times New Roman" w:hAnsi="Times New Roman" w:cs="Times New Roman"/>
        </w:rPr>
        <w:t>th</w:t>
      </w:r>
      <w:r>
        <w:rPr>
          <w:rFonts w:ascii="Times New Roman" w:hAnsi="Times New Roman" w:cs="Times New Roman"/>
        </w:rPr>
        <w:t>e increase in the percent of individuals who correctly know SNF actual disposal options for the given year results in an above average support for the interim storage option 1 year later. Likewise, an increase in the percent of individuals who correctly know SNF actual disposal options for the given year results in an above average support for the on-site storage option 1 year and 2 years later.</w:t>
      </w:r>
    </w:p>
    <w:p w:rsidR="00B52DD2" w:rsidRDefault="00B52DD2" w:rsidP="00B52DD2">
      <w:pPr>
        <w:spacing w:line="480" w:lineRule="auto"/>
        <w:ind w:firstLine="720"/>
        <w:jc w:val="center"/>
        <w:outlineLvl w:val="0"/>
        <w:rPr>
          <w:rFonts w:ascii="Times New Roman" w:hAnsi="Times New Roman" w:cs="Times New Roman"/>
        </w:rPr>
      </w:pPr>
      <w:r>
        <w:rPr>
          <w:rFonts w:ascii="Times New Roman" w:hAnsi="Times New Roman" w:cs="Times New Roman"/>
          <w:noProof/>
        </w:rPr>
        <w:drawing>
          <wp:inline distT="0" distB="0" distL="0" distR="0" wp14:anchorId="5CFF7626" wp14:editId="4F6476C1">
            <wp:extent cx="3420947" cy="4654296"/>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Knowledge 3-A1.pdf"/>
                    <pic:cNvPicPr/>
                  </pic:nvPicPr>
                  <pic:blipFill rotWithShape="1">
                    <a:blip r:embed="rId24">
                      <a:extLst>
                        <a:ext uri="{28A0092B-C50C-407E-A947-70E740481C1C}">
                          <a14:useLocalDpi xmlns:a14="http://schemas.microsoft.com/office/drawing/2010/main" val="0"/>
                        </a:ext>
                      </a:extLst>
                    </a:blip>
                    <a:srcRect l="7231" t="3566" r="47078" b="48398"/>
                    <a:stretch/>
                  </pic:blipFill>
                  <pic:spPr bwMode="auto">
                    <a:xfrm>
                      <a:off x="0" y="0"/>
                      <a:ext cx="3454302" cy="4699677"/>
                    </a:xfrm>
                    <a:prstGeom prst="rect">
                      <a:avLst/>
                    </a:prstGeom>
                    <a:ln>
                      <a:noFill/>
                    </a:ln>
                    <a:extLst>
                      <a:ext uri="{53640926-AAD7-44D8-BBD7-CCE9431645EC}">
                        <a14:shadowObscured xmlns:a14="http://schemas.microsoft.com/office/drawing/2010/main"/>
                      </a:ext>
                    </a:extLst>
                  </pic:spPr>
                </pic:pic>
              </a:graphicData>
            </a:graphic>
          </wp:inline>
        </w:drawing>
      </w:r>
    </w:p>
    <w:p w:rsidR="00B52DD2"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Figure 3-</w:t>
      </w:r>
      <w:r>
        <w:rPr>
          <w:rFonts w:ascii="Times New Roman" w:hAnsi="Times New Roman" w:cs="Times New Roman"/>
        </w:rPr>
        <w:t>18</w:t>
      </w:r>
      <w:r w:rsidRPr="003F4BC8">
        <w:rPr>
          <w:rFonts w:ascii="Times New Roman" w:hAnsi="Times New Roman" w:cs="Times New Roman"/>
        </w:rPr>
        <w:t xml:space="preserve"> </w:t>
      </w:r>
      <w:r>
        <w:rPr>
          <w:rFonts w:ascii="Times New Roman" w:hAnsi="Times New Roman" w:cs="Times New Roman"/>
        </w:rPr>
        <w:t xml:space="preserve">shows a negative correlation </w:t>
      </w:r>
      <w:r w:rsidRPr="003F4BC8">
        <w:rPr>
          <w:rFonts w:ascii="Times New Roman" w:hAnsi="Times New Roman" w:cs="Times New Roman"/>
        </w:rPr>
        <w:t xml:space="preserve">between the </w:t>
      </w:r>
      <w:r>
        <w:rPr>
          <w:rFonts w:ascii="Times New Roman" w:hAnsi="Times New Roman" w:cs="Times New Roman"/>
        </w:rPr>
        <w:t xml:space="preserve">percent of individuals who have correctly indicated the actual processing method </w:t>
      </w:r>
      <w:r w:rsidRPr="003F4BC8">
        <w:rPr>
          <w:rFonts w:ascii="Times New Roman" w:hAnsi="Times New Roman" w:cs="Times New Roman"/>
        </w:rPr>
        <w:t xml:space="preserve">of </w:t>
      </w:r>
      <w:r>
        <w:rPr>
          <w:rFonts w:ascii="Times New Roman" w:hAnsi="Times New Roman" w:cs="Times New Roman"/>
        </w:rPr>
        <w:t>SNF and support of SNF deep geologic storage at lag 2 and 3. These results are substantively not in line with the logic of the temporal order between cause and effect. In line with this figure, t</w:t>
      </w:r>
      <w:r w:rsidRPr="006C07DD">
        <w:rPr>
          <w:rFonts w:ascii="Times New Roman" w:hAnsi="Times New Roman" w:cs="Times New Roman"/>
        </w:rPr>
        <w:t>able 3-C</w:t>
      </w:r>
      <w:r>
        <w:rPr>
          <w:rFonts w:ascii="Times New Roman" w:hAnsi="Times New Roman" w:cs="Times New Roman"/>
        </w:rPr>
        <w:t>3</w:t>
      </w:r>
      <w:r w:rsidRPr="006C07DD">
        <w:rPr>
          <w:rFonts w:ascii="Times New Roman" w:hAnsi="Times New Roman" w:cs="Times New Roman"/>
        </w:rPr>
        <w:t xml:space="preserve"> in the appendix</w:t>
      </w:r>
      <w:r>
        <w:rPr>
          <w:rFonts w:ascii="Times New Roman" w:hAnsi="Times New Roman" w:cs="Times New Roman"/>
        </w:rPr>
        <w:t xml:space="preserve"> shows the correlation </w:t>
      </w:r>
      <w:r>
        <w:rPr>
          <w:rFonts w:ascii="Times New Roman" w:hAnsi="Times New Roman" w:cs="Times New Roman"/>
        </w:rPr>
        <w:lastRenderedPageBreak/>
        <w:t>coefficient of these variables at each lag</w:t>
      </w:r>
      <w:r w:rsidRPr="00183D5A">
        <w:rPr>
          <w:rFonts w:ascii="Times New Roman" w:hAnsi="Times New Roman" w:cs="Times New Roman"/>
        </w:rPr>
        <w:t>. Contrary to what was expected, the analysis showed that despite increased number in the fraction of people with correct knowledge about current SNF processing practices over time support in deep geologic and onsite storage is decreased, support for interim storage option is increased. This can be explained by the fact that due to the structure of the knowledge measure, modelling the impact of knowledge on SNF preferences did not make compelling substantive sense to begin with.</w:t>
      </w:r>
    </w:p>
    <w:p w:rsidR="00B52DD2" w:rsidRPr="004D7554" w:rsidRDefault="00B52DD2" w:rsidP="00B52DD2">
      <w:pPr>
        <w:spacing w:line="480" w:lineRule="auto"/>
        <w:ind w:firstLine="720"/>
        <w:jc w:val="both"/>
        <w:outlineLvl w:val="0"/>
        <w:rPr>
          <w:rFonts w:ascii="Times New Roman" w:hAnsi="Times New Roman" w:cs="Times New Roman"/>
        </w:rPr>
      </w:pPr>
    </w:p>
    <w:p w:rsidR="00B52DD2" w:rsidRPr="003F4BC8" w:rsidRDefault="00B52DD2" w:rsidP="00B52DD2">
      <w:pPr>
        <w:spacing w:line="480" w:lineRule="auto"/>
        <w:jc w:val="center"/>
        <w:outlineLvl w:val="0"/>
        <w:rPr>
          <w:rFonts w:ascii="Times New Roman" w:hAnsi="Times New Roman" w:cs="Times New Roman"/>
          <w:b/>
        </w:rPr>
      </w:pPr>
      <w:r w:rsidRPr="003F4BC8">
        <w:rPr>
          <w:rFonts w:ascii="Times New Roman" w:hAnsi="Times New Roman" w:cs="Times New Roman"/>
          <w:b/>
        </w:rPr>
        <w:t>Implications and Conclusion</w:t>
      </w:r>
    </w:p>
    <w:p w:rsidR="00B52DD2" w:rsidRPr="003F4BC8"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The study focused on the evolution of public preferences in SNF disposal policy options from 2006-2019. Through descriptive time series analysis I first examined how public perception in SNF siting preferences evolved over time in parallel with public risk perceptions, trust in government and knowledge in nuclear waste management technologies. Further, by employing explanative time series analysis I assessed whether changes in public risk and benefit perceptions, trust in government and knowledge in nuclear waste management technologies have affected public preferences in SNF disposal policy over time. The evolution of public nuclear energy risk perceptions over time showed increasing trends and, in line with that, benefit perceptions were characterized by decreasing trends. These descriptive results were also confirmed inferentially.</w:t>
      </w:r>
    </w:p>
    <w:p w:rsidR="00B52DD2" w:rsidRPr="003F4BC8"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The results of times series cross correlation analyses granted that increased risk perceptions in nuclear waste transportation over time negatively affects public support for SNF deep geologic dispos</w:t>
      </w:r>
      <w:r>
        <w:rPr>
          <w:rFonts w:ascii="Times New Roman" w:hAnsi="Times New Roman" w:cs="Times New Roman"/>
        </w:rPr>
        <w:t xml:space="preserve">al </w:t>
      </w:r>
      <w:r w:rsidRPr="00DC7603">
        <w:rPr>
          <w:rFonts w:ascii="Times New Roman" w:hAnsi="Times New Roman" w:cs="Times New Roman"/>
        </w:rPr>
        <w:t>five years later</w:t>
      </w:r>
      <w:r w:rsidRPr="003F4BC8">
        <w:rPr>
          <w:rFonts w:ascii="Times New Roman" w:hAnsi="Times New Roman" w:cs="Times New Roman"/>
        </w:rPr>
        <w:t>. In line with the theoretical expectations about the impact of benefit perceptions on nuclear energy policy preferences, tests of cross correlations generated positive significant relationships between public benefit perceptions of reduced mining/extraction and support in SNF onsite as well as interim storage preferences</w:t>
      </w:r>
      <w:r>
        <w:rPr>
          <w:rFonts w:ascii="Times New Roman" w:hAnsi="Times New Roman" w:cs="Times New Roman"/>
        </w:rPr>
        <w:t xml:space="preserve"> </w:t>
      </w:r>
      <w:r w:rsidRPr="009C3E43">
        <w:rPr>
          <w:rFonts w:ascii="Times New Roman" w:hAnsi="Times New Roman" w:cs="Times New Roman"/>
        </w:rPr>
        <w:t>1 year later</w:t>
      </w:r>
      <w:r w:rsidRPr="003F4BC8">
        <w:rPr>
          <w:rFonts w:ascii="Times New Roman" w:hAnsi="Times New Roman" w:cs="Times New Roman"/>
        </w:rPr>
        <w:t xml:space="preserve">. While these findings </w:t>
      </w:r>
      <w:r w:rsidRPr="003F4BC8">
        <w:rPr>
          <w:rFonts w:ascii="Times New Roman" w:hAnsi="Times New Roman" w:cs="Times New Roman"/>
        </w:rPr>
        <w:lastRenderedPageBreak/>
        <w:t>demonstrate that over time individuals are more supportive of nuclear energy production, they still prefer to avert accepting deep geologic disposal as a viable policy option for solving the issue with SNF.</w:t>
      </w:r>
    </w:p>
    <w:p w:rsidR="00B52DD2"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 xml:space="preserve">The descriptive analysis of public trust in experts for management and regulation of nuclear technologies have increased over time. The inferential test of my proposition even showed that increased trust in government and in national labs over time induces public support for deep geologic disposal of SNF. </w:t>
      </w:r>
      <w:r>
        <w:rPr>
          <w:rFonts w:ascii="Times New Roman" w:hAnsi="Times New Roman" w:cs="Times New Roman"/>
        </w:rPr>
        <w:t>While t</w:t>
      </w:r>
      <w:r w:rsidRPr="003F4BC8">
        <w:rPr>
          <w:rFonts w:ascii="Times New Roman" w:hAnsi="Times New Roman" w:cs="Times New Roman"/>
        </w:rPr>
        <w:t xml:space="preserve">his finding </w:t>
      </w:r>
      <w:r>
        <w:rPr>
          <w:rFonts w:ascii="Times New Roman" w:hAnsi="Times New Roman" w:cs="Times New Roman"/>
        </w:rPr>
        <w:t>shows statistical significance it does not have</w:t>
      </w:r>
      <w:r w:rsidRPr="003F4BC8">
        <w:rPr>
          <w:rFonts w:ascii="Times New Roman" w:hAnsi="Times New Roman" w:cs="Times New Roman"/>
        </w:rPr>
        <w:t xml:space="preserve"> both practical and theoretical implications</w:t>
      </w:r>
      <w:r>
        <w:rPr>
          <w:rFonts w:ascii="Times New Roman" w:hAnsi="Times New Roman" w:cs="Times New Roman"/>
        </w:rPr>
        <w:t xml:space="preserve"> because the temporal structure of time series data assumes that cause needs to proceed the effect. In those instances where relationships matter at positive lags, these finding do not carry any substantive value. </w:t>
      </w:r>
    </w:p>
    <w:p w:rsidR="00B52DD2" w:rsidRPr="003F4BC8" w:rsidRDefault="00B52DD2" w:rsidP="00B52DD2">
      <w:pPr>
        <w:spacing w:line="480" w:lineRule="auto"/>
        <w:ind w:firstLine="720"/>
        <w:jc w:val="both"/>
        <w:outlineLvl w:val="0"/>
        <w:rPr>
          <w:rFonts w:ascii="Times New Roman" w:hAnsi="Times New Roman" w:cs="Times New Roman"/>
        </w:rPr>
      </w:pPr>
      <w:r>
        <w:rPr>
          <w:rFonts w:ascii="Times New Roman" w:hAnsi="Times New Roman" w:cs="Times New Roman"/>
        </w:rPr>
        <w:t>Likewise,</w:t>
      </w:r>
      <w:r w:rsidRPr="003F4BC8">
        <w:rPr>
          <w:rFonts w:ascii="Times New Roman" w:hAnsi="Times New Roman" w:cs="Times New Roman"/>
        </w:rPr>
        <w:t xml:space="preserve"> the proposition about the impact of knowledge on SNF policy did not find support, I did examine changes in increased percentages of respondents being correctly aware about the current SNF disposal options. This finding as well adds value to the above theoretical point as it shows awareness increase over the years. It is worthless to mention that awareness change has a potential for policy change as well.</w:t>
      </w:r>
    </w:p>
    <w:p w:rsidR="00B52DD2" w:rsidRDefault="00B52DD2" w:rsidP="00B52DD2">
      <w:pPr>
        <w:spacing w:line="480" w:lineRule="auto"/>
        <w:ind w:firstLine="720"/>
        <w:jc w:val="both"/>
        <w:outlineLvl w:val="0"/>
        <w:rPr>
          <w:rFonts w:ascii="Times New Roman" w:hAnsi="Times New Roman" w:cs="Times New Roman"/>
        </w:rPr>
      </w:pPr>
      <w:r w:rsidRPr="003F4BC8">
        <w:rPr>
          <w:rFonts w:ascii="Times New Roman" w:hAnsi="Times New Roman" w:cs="Times New Roman"/>
        </w:rPr>
        <w:t xml:space="preserve">The </w:t>
      </w:r>
      <w:r>
        <w:rPr>
          <w:rFonts w:ascii="Times New Roman" w:hAnsi="Times New Roman" w:cs="Times New Roman"/>
        </w:rPr>
        <w:t xml:space="preserve">overall </w:t>
      </w:r>
      <w:r w:rsidRPr="003F4BC8">
        <w:rPr>
          <w:rFonts w:ascii="Times New Roman" w:hAnsi="Times New Roman" w:cs="Times New Roman"/>
        </w:rPr>
        <w:t>theoretical implications of this study relates to policy change. In line with the discussion of issue attention cycle, this finding implies that changes in perceptions eventually might also result in policy change in the long run.</w:t>
      </w:r>
      <w:r>
        <w:rPr>
          <w:rFonts w:ascii="Times New Roman" w:hAnsi="Times New Roman" w:cs="Times New Roman"/>
        </w:rPr>
        <w:t xml:space="preserve"> </w:t>
      </w:r>
    </w:p>
    <w:p w:rsidR="00B52DD2" w:rsidRDefault="00B52DD2" w:rsidP="00B52DD2">
      <w:pPr>
        <w:spacing w:line="480" w:lineRule="auto"/>
        <w:ind w:firstLine="720"/>
        <w:jc w:val="both"/>
        <w:outlineLvl w:val="0"/>
        <w:rPr>
          <w:rFonts w:ascii="Times New Roman" w:hAnsi="Times New Roman" w:cs="Times New Roman"/>
        </w:rPr>
      </w:pPr>
      <w:r>
        <w:rPr>
          <w:rFonts w:ascii="Times New Roman" w:hAnsi="Times New Roman" w:cs="Times New Roman"/>
        </w:rPr>
        <w:t xml:space="preserve">It is important to acknowledge that the results of the analysis would be elevated first with additional data points. Only thirteen data points were available for this analysis. While scholars have different recommendations about the amount of the minimum recommended data points in time series analysis, most prominent work in political science seem to have at least twenty data points. Non-stationarity was another limitation of this study that was addressed by differencing. </w:t>
      </w:r>
      <w:r>
        <w:rPr>
          <w:rFonts w:ascii="Times New Roman" w:hAnsi="Times New Roman" w:cs="Times New Roman"/>
        </w:rPr>
        <w:lastRenderedPageBreak/>
        <w:t xml:space="preserve">While this is a commonly accepted technique to achieve stationarity in data, this consideration needs to be reflected in interpreting the results of cross correlation analysis. </w:t>
      </w:r>
    </w:p>
    <w:p w:rsidR="00B52DD2" w:rsidRPr="00FC00AF" w:rsidRDefault="00B52DD2" w:rsidP="00B52DD2">
      <w:pPr>
        <w:spacing w:line="480" w:lineRule="auto"/>
        <w:ind w:firstLine="720"/>
        <w:jc w:val="both"/>
        <w:outlineLvl w:val="0"/>
        <w:rPr>
          <w:rFonts w:ascii="Times New Roman" w:hAnsi="Times New Roman" w:cs="Times New Roman"/>
        </w:rPr>
      </w:pPr>
      <w:r>
        <w:rPr>
          <w:rFonts w:ascii="Times New Roman" w:hAnsi="Times New Roman" w:cs="Times New Roman"/>
        </w:rPr>
        <w:t>The cross correlations analysis that I conducted in this chapter gave me an opportunity to test the effect of one independent series on the dependent series. However, each time I have looked at single pairs of series.</w:t>
      </w:r>
      <w:r w:rsidRPr="00FC00AF">
        <w:rPr>
          <w:rFonts w:ascii="Times New Roman" w:hAnsi="Times New Roman" w:cs="Times New Roman"/>
        </w:rPr>
        <w:t xml:space="preserve"> </w:t>
      </w:r>
      <w:r>
        <w:rPr>
          <w:rFonts w:ascii="Times New Roman" w:hAnsi="Times New Roman" w:cs="Times New Roman"/>
        </w:rPr>
        <w:t xml:space="preserve">In a follow up study I will test these hypotheses by utilizing  a </w:t>
      </w:r>
      <w:r w:rsidRPr="00FC00AF">
        <w:rPr>
          <w:rFonts w:ascii="Times New Roman" w:hAnsi="Times New Roman" w:cs="Times New Roman"/>
        </w:rPr>
        <w:t xml:space="preserve">Vector autoregressive (VAR) model </w:t>
      </w:r>
      <w:r>
        <w:rPr>
          <w:rFonts w:ascii="Times New Roman" w:hAnsi="Times New Roman" w:cs="Times New Roman"/>
        </w:rPr>
        <w:t xml:space="preserve">that will help me </w:t>
      </w:r>
      <w:r w:rsidRPr="00FC00AF">
        <w:rPr>
          <w:rFonts w:ascii="Times New Roman" w:hAnsi="Times New Roman" w:cs="Times New Roman"/>
        </w:rPr>
        <w:t>predict multiple time series variables using a single model.</w:t>
      </w:r>
      <w:r>
        <w:rPr>
          <w:rFonts w:ascii="Times New Roman" w:hAnsi="Times New Roman" w:cs="Times New Roman"/>
        </w:rPr>
        <w:t xml:space="preserve"> Having multiple series in one model will enhance the explanatory power of the model in predicting the effect of the independent series on the dependent one.</w:t>
      </w:r>
    </w:p>
    <w:p w:rsidR="00B52DD2" w:rsidRPr="00D3413C" w:rsidRDefault="00B52DD2" w:rsidP="00B52DD2">
      <w:pPr>
        <w:spacing w:line="480" w:lineRule="auto"/>
        <w:ind w:firstLine="720"/>
        <w:jc w:val="both"/>
        <w:outlineLvl w:val="0"/>
        <w:rPr>
          <w:rFonts w:ascii="Times New Roman" w:hAnsi="Times New Roman" w:cs="Times New Roman"/>
        </w:rPr>
      </w:pPr>
      <w:r w:rsidRPr="00FC00AF">
        <w:rPr>
          <w:rFonts w:ascii="Times New Roman" w:hAnsi="Times New Roman" w:cs="Times New Roman"/>
        </w:rPr>
        <w:br w:type="page"/>
      </w:r>
    </w:p>
    <w:p w:rsidR="00B52DD2" w:rsidRPr="003F4BC8" w:rsidRDefault="00B52DD2" w:rsidP="00B52DD2">
      <w:pPr>
        <w:rPr>
          <w:rFonts w:ascii="Times New Roman" w:eastAsia="Palatino Linotype" w:hAnsi="Times New Roman" w:cs="Times New Roman"/>
        </w:rPr>
      </w:pPr>
      <w:r w:rsidRPr="003F4BC8">
        <w:rPr>
          <w:rFonts w:ascii="Times New Roman" w:hAnsi="Times New Roman" w:cs="Times New Roman"/>
          <w:b/>
          <w:bCs/>
        </w:rPr>
        <w:lastRenderedPageBreak/>
        <w:t>Table 3-</w:t>
      </w:r>
      <w:r w:rsidRPr="003F4BC8">
        <w:rPr>
          <w:rFonts w:ascii="Times New Roman" w:eastAsia="Palatino Linotype" w:hAnsi="Times New Roman" w:cs="Times New Roman"/>
          <w:b/>
          <w:bCs/>
        </w:rPr>
        <w:t xml:space="preserve"> A1</w:t>
      </w:r>
      <w:r w:rsidRPr="003F4BC8">
        <w:rPr>
          <w:rFonts w:ascii="Times New Roman" w:eastAsia="Palatino Linotype" w:hAnsi="Times New Roman" w:cs="Times New Roman"/>
        </w:rPr>
        <w:t>. Measurement of Key Variables</w:t>
      </w:r>
    </w:p>
    <w:p w:rsidR="00B52DD2" w:rsidRPr="003F4BC8" w:rsidRDefault="00B52DD2" w:rsidP="00B52DD2">
      <w:pPr>
        <w:rPr>
          <w:rFonts w:ascii="Times New Roman" w:eastAsia="Palatino Linotype" w:hAnsi="Times New Roman" w:cs="Times New Roman"/>
          <w:sz w:val="20"/>
          <w:szCs w:val="20"/>
        </w:rPr>
      </w:pPr>
    </w:p>
    <w:tbl>
      <w:tblPr>
        <w:tblW w:w="9833" w:type="dxa"/>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00" w:firstRow="0" w:lastRow="0" w:firstColumn="0" w:lastColumn="0" w:noHBand="0" w:noVBand="1"/>
      </w:tblPr>
      <w:tblGrid>
        <w:gridCol w:w="1867"/>
        <w:gridCol w:w="6120"/>
        <w:gridCol w:w="1846"/>
      </w:tblGrid>
      <w:tr w:rsidR="00B52DD2" w:rsidRPr="003F4BC8" w:rsidTr="00150C36">
        <w:trPr>
          <w:trHeight w:val="451"/>
          <w:jc w:val="center"/>
        </w:trPr>
        <w:tc>
          <w:tcPr>
            <w:tcW w:w="1867" w:type="dxa"/>
            <w:tcMar>
              <w:top w:w="80" w:type="dxa"/>
              <w:left w:w="80" w:type="dxa"/>
              <w:bottom w:w="80" w:type="dxa"/>
              <w:right w:w="80" w:type="dxa"/>
            </w:tcMar>
            <w:vAlign w:val="center"/>
          </w:tcPr>
          <w:p w:rsidR="00B52DD2" w:rsidRPr="003F4BC8" w:rsidRDefault="00B52DD2" w:rsidP="00150C36">
            <w:pPr>
              <w:jc w:val="center"/>
              <w:rPr>
                <w:rFonts w:ascii="Times New Roman" w:eastAsia="Palatino Linotype" w:hAnsi="Times New Roman" w:cs="Times New Roman"/>
                <w:b/>
                <w:color w:val="000000"/>
                <w:sz w:val="20"/>
                <w:szCs w:val="20"/>
              </w:rPr>
            </w:pPr>
            <w:r w:rsidRPr="003F4BC8">
              <w:rPr>
                <w:rFonts w:ascii="Times New Roman" w:eastAsia="Palatino Linotype" w:hAnsi="Times New Roman" w:cs="Times New Roman"/>
                <w:b/>
                <w:color w:val="000000"/>
                <w:sz w:val="20"/>
                <w:szCs w:val="20"/>
              </w:rPr>
              <w:t>Variable</w:t>
            </w:r>
          </w:p>
        </w:tc>
        <w:tc>
          <w:tcPr>
            <w:tcW w:w="6120" w:type="dxa"/>
            <w:tcMar>
              <w:top w:w="80" w:type="dxa"/>
              <w:left w:w="80" w:type="dxa"/>
              <w:bottom w:w="80" w:type="dxa"/>
              <w:right w:w="80" w:type="dxa"/>
            </w:tcMar>
            <w:vAlign w:val="center"/>
          </w:tcPr>
          <w:p w:rsidR="00B52DD2" w:rsidRPr="003F4BC8" w:rsidRDefault="00B52DD2" w:rsidP="00150C36">
            <w:pPr>
              <w:jc w:val="center"/>
              <w:rPr>
                <w:rFonts w:ascii="Times New Roman" w:eastAsia="Palatino Linotype" w:hAnsi="Times New Roman" w:cs="Times New Roman"/>
                <w:b/>
                <w:color w:val="000000"/>
                <w:sz w:val="20"/>
                <w:szCs w:val="20"/>
              </w:rPr>
            </w:pPr>
            <w:r w:rsidRPr="003F4BC8">
              <w:rPr>
                <w:rFonts w:ascii="Times New Roman" w:eastAsia="Palatino Linotype" w:hAnsi="Times New Roman" w:cs="Times New Roman"/>
                <w:b/>
                <w:color w:val="000000"/>
                <w:sz w:val="20"/>
                <w:szCs w:val="20"/>
              </w:rPr>
              <w:t>Question Wording</w:t>
            </w:r>
          </w:p>
        </w:tc>
        <w:tc>
          <w:tcPr>
            <w:tcW w:w="1846" w:type="dxa"/>
            <w:vAlign w:val="center"/>
          </w:tcPr>
          <w:p w:rsidR="00B52DD2" w:rsidRPr="003F4BC8" w:rsidRDefault="00B52DD2" w:rsidP="00150C36">
            <w:pPr>
              <w:jc w:val="center"/>
              <w:rPr>
                <w:rFonts w:ascii="Times New Roman" w:eastAsia="Palatino Linotype" w:hAnsi="Times New Roman" w:cs="Times New Roman"/>
                <w:b/>
                <w:color w:val="000000"/>
                <w:sz w:val="20"/>
                <w:szCs w:val="20"/>
              </w:rPr>
            </w:pPr>
            <w:r w:rsidRPr="003F4BC8">
              <w:rPr>
                <w:rFonts w:ascii="Times New Roman" w:eastAsia="Palatino Linotype" w:hAnsi="Times New Roman" w:cs="Times New Roman"/>
                <w:b/>
                <w:color w:val="000000"/>
                <w:sz w:val="20"/>
                <w:szCs w:val="20"/>
              </w:rPr>
              <w:t>Measurement</w:t>
            </w:r>
          </w:p>
        </w:tc>
      </w:tr>
      <w:tr w:rsidR="00B52DD2" w:rsidRPr="003F4BC8" w:rsidTr="00150C36">
        <w:trPr>
          <w:trHeight w:val="2719"/>
          <w:jc w:val="center"/>
        </w:trPr>
        <w:tc>
          <w:tcPr>
            <w:tcW w:w="1867" w:type="dxa"/>
            <w:tcMar>
              <w:top w:w="80" w:type="dxa"/>
              <w:left w:w="80" w:type="dxa"/>
              <w:bottom w:w="80" w:type="dxa"/>
              <w:right w:w="80" w:type="dxa"/>
            </w:tcMar>
            <w:vAlign w:val="center"/>
          </w:tcPr>
          <w:p w:rsidR="00B52DD2" w:rsidRPr="003F4BC8" w:rsidRDefault="00B52DD2" w:rsidP="00150C36">
            <w:pPr>
              <w:jc w:val="cente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Nuclear Energy Risk Perceptions</w:t>
            </w:r>
          </w:p>
        </w:tc>
        <w:tc>
          <w:tcPr>
            <w:tcW w:w="6120" w:type="dxa"/>
            <w:tcMar>
              <w:top w:w="80" w:type="dxa"/>
              <w:left w:w="80" w:type="dxa"/>
              <w:bottom w:w="80" w:type="dxa"/>
              <w:right w:w="80" w:type="dxa"/>
            </w:tcMar>
            <w:vAlign w:val="center"/>
          </w:tcPr>
          <w:p w:rsidR="00B52DD2" w:rsidRPr="003F4BC8" w:rsidRDefault="00B52DD2" w:rsidP="00150C36">
            <w:pPr>
              <w:keepNext/>
              <w:pBdr>
                <w:top w:val="nil"/>
                <w:left w:val="nil"/>
                <w:bottom w:val="nil"/>
                <w:right w:val="nil"/>
                <w:between w:val="nil"/>
              </w:pBdr>
              <w:rPr>
                <w:rFonts w:ascii="Times New Roman" w:eastAsia="Palatino Linotype" w:hAnsi="Times New Roman" w:cs="Times New Roman"/>
                <w:color w:val="000000"/>
                <w:sz w:val="18"/>
                <w:szCs w:val="18"/>
              </w:rPr>
            </w:pPr>
            <w:r w:rsidRPr="003F4BC8">
              <w:rPr>
                <w:rFonts w:ascii="Times New Roman" w:eastAsia="MS Mincho" w:hAnsi="Times New Roman" w:cs="Times New Roman"/>
                <w:sz w:val="18"/>
                <w:szCs w:val="18"/>
              </w:rPr>
              <w:t xml:space="preserve">We want to know about your beliefs concerning some of the possible </w:t>
            </w:r>
            <w:r w:rsidRPr="003F4BC8">
              <w:rPr>
                <w:rFonts w:ascii="Times New Roman" w:eastAsia="MS Mincho" w:hAnsi="Times New Roman" w:cs="Times New Roman"/>
                <w:i/>
                <w:sz w:val="18"/>
                <w:szCs w:val="18"/>
              </w:rPr>
              <w:t>risks</w:t>
            </w:r>
            <w:r w:rsidRPr="003F4BC8">
              <w:rPr>
                <w:rFonts w:ascii="Times New Roman" w:eastAsia="MS Mincho" w:hAnsi="Times New Roman" w:cs="Times New Roman"/>
                <w:sz w:val="18"/>
                <w:szCs w:val="18"/>
              </w:rPr>
              <w:t xml:space="preserve"> associated with nuclear energy use in the U.S. Please consider both the likelihood of a nuclear event occurring and its potential consequences when evaluating the risk posed by each of the following on a scale from zero to ten, where zero means </w:t>
            </w:r>
            <w:r w:rsidRPr="003F4BC8">
              <w:rPr>
                <w:rFonts w:ascii="Times New Roman" w:eastAsia="MS Mincho" w:hAnsi="Times New Roman" w:cs="Times New Roman"/>
                <w:i/>
                <w:iCs/>
                <w:sz w:val="18"/>
                <w:szCs w:val="18"/>
              </w:rPr>
              <w:t>no risk</w:t>
            </w:r>
            <w:r w:rsidRPr="003F4BC8">
              <w:rPr>
                <w:rFonts w:ascii="Times New Roman" w:eastAsia="MS Mincho" w:hAnsi="Times New Roman" w:cs="Times New Roman"/>
                <w:sz w:val="18"/>
                <w:szCs w:val="18"/>
              </w:rPr>
              <w:t xml:space="preserve"> and ten means </w:t>
            </w:r>
            <w:r w:rsidRPr="003F4BC8">
              <w:rPr>
                <w:rFonts w:ascii="Times New Roman" w:eastAsia="MS Mincho" w:hAnsi="Times New Roman" w:cs="Times New Roman"/>
                <w:i/>
                <w:iCs/>
                <w:sz w:val="18"/>
                <w:szCs w:val="18"/>
              </w:rPr>
              <w:t>extreme risk</w:t>
            </w:r>
            <w:r w:rsidRPr="003F4BC8">
              <w:rPr>
                <w:rFonts w:ascii="Times New Roman" w:eastAsia="MS Mincho" w:hAnsi="Times New Roman" w:cs="Times New Roman"/>
                <w:sz w:val="18"/>
                <w:szCs w:val="18"/>
              </w:rPr>
              <w:t>.</w:t>
            </w:r>
          </w:p>
          <w:p w:rsidR="00B52DD2" w:rsidRPr="003F4BC8" w:rsidRDefault="00B52DD2" w:rsidP="00150C36">
            <w:pPr>
              <w:keepNext/>
              <w:numPr>
                <w:ilvl w:val="0"/>
                <w:numId w:val="4"/>
              </w:num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An event at a U.S. nuclear power plant within the next 20 years that results in the release of large amounts of radiation.</w:t>
            </w:r>
          </w:p>
          <w:p w:rsidR="00B52DD2" w:rsidRPr="003F4BC8" w:rsidRDefault="00B52DD2" w:rsidP="00150C36">
            <w:pPr>
              <w:keepNext/>
              <w:numPr>
                <w:ilvl w:val="0"/>
                <w:numId w:val="4"/>
              </w:numPr>
              <w:pBdr>
                <w:top w:val="nil"/>
                <w:left w:val="nil"/>
                <w:bottom w:val="nil"/>
                <w:right w:val="nil"/>
                <w:between w:val="nil"/>
              </w:pBd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An event during the transportation and temporary storage of spent nuclear fuel from nuclear power plants in the U.S. within the next 20 years that results in the release of large amounts of radiation.</w:t>
            </w:r>
          </w:p>
          <w:p w:rsidR="00B52DD2" w:rsidRPr="003F4BC8" w:rsidRDefault="00B52DD2" w:rsidP="00150C36">
            <w:pPr>
              <w:keepNext/>
              <w:numPr>
                <w:ilvl w:val="0"/>
                <w:numId w:val="4"/>
              </w:numPr>
              <w:pBdr>
                <w:top w:val="nil"/>
                <w:left w:val="nil"/>
                <w:bottom w:val="nil"/>
                <w:right w:val="nil"/>
                <w:between w:val="nil"/>
              </w:pBd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A terrorist attack at a U.S. nuclear power plant within the next 20 years that results in the release of large amounts of radiation.</w:t>
            </w:r>
          </w:p>
          <w:p w:rsidR="00B52DD2" w:rsidRPr="003F4BC8" w:rsidRDefault="00B52DD2" w:rsidP="00150C36">
            <w:pPr>
              <w:keepNext/>
              <w:numPr>
                <w:ilvl w:val="0"/>
                <w:numId w:val="4"/>
              </w:numPr>
              <w:pBdr>
                <w:top w:val="nil"/>
                <w:left w:val="nil"/>
                <w:bottom w:val="nil"/>
                <w:right w:val="nil"/>
                <w:between w:val="nil"/>
              </w:pBd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The diversion of nuclear fuel from a nuclear power plant in the U.S. within the next 20 years for the purpose of building a nuclear weapon.</w:t>
            </w:r>
          </w:p>
        </w:tc>
        <w:tc>
          <w:tcPr>
            <w:tcW w:w="1846" w:type="dxa"/>
            <w:vAlign w:val="center"/>
          </w:tcPr>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10 – Extreme Risk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sz w:val="18"/>
                <w:szCs w:val="18"/>
              </w:rPr>
              <w:t>0 – No Risk</w:t>
            </w:r>
          </w:p>
        </w:tc>
      </w:tr>
      <w:tr w:rsidR="00B52DD2" w:rsidRPr="003F4BC8" w:rsidTr="00150C36">
        <w:trPr>
          <w:trHeight w:val="1220"/>
          <w:jc w:val="center"/>
        </w:trPr>
        <w:tc>
          <w:tcPr>
            <w:tcW w:w="1867" w:type="dxa"/>
            <w:tcMar>
              <w:top w:w="80" w:type="dxa"/>
              <w:left w:w="80" w:type="dxa"/>
              <w:bottom w:w="80" w:type="dxa"/>
              <w:right w:w="80" w:type="dxa"/>
            </w:tcMar>
            <w:vAlign w:val="center"/>
          </w:tcPr>
          <w:p w:rsidR="00B52DD2" w:rsidRPr="003F4BC8" w:rsidRDefault="00B52DD2" w:rsidP="00150C36">
            <w:pPr>
              <w:jc w:val="center"/>
              <w:rPr>
                <w:rFonts w:ascii="Times New Roman" w:eastAsia="Palatino Linotype" w:hAnsi="Times New Roman" w:cs="Times New Roman"/>
                <w:color w:val="000000"/>
                <w:sz w:val="18"/>
                <w:szCs w:val="18"/>
                <w:highlight w:val="yellow"/>
              </w:rPr>
            </w:pPr>
            <w:r w:rsidRPr="003F4BC8">
              <w:rPr>
                <w:rFonts w:ascii="Times New Roman" w:eastAsia="Palatino Linotype" w:hAnsi="Times New Roman" w:cs="Times New Roman"/>
                <w:color w:val="000000"/>
                <w:sz w:val="18"/>
                <w:szCs w:val="18"/>
              </w:rPr>
              <w:t>Nuclear Energy Benefit Perceptions</w:t>
            </w:r>
          </w:p>
        </w:tc>
        <w:tc>
          <w:tcPr>
            <w:tcW w:w="6120" w:type="dxa"/>
            <w:tcMar>
              <w:top w:w="80" w:type="dxa"/>
              <w:left w:w="80" w:type="dxa"/>
              <w:bottom w:w="80" w:type="dxa"/>
              <w:right w:w="80" w:type="dxa"/>
            </w:tcMar>
            <w:vAlign w:val="center"/>
          </w:tcPr>
          <w:p w:rsidR="00B52DD2" w:rsidRPr="003F4BC8" w:rsidRDefault="00B52DD2" w:rsidP="00150C36">
            <w:pPr>
              <w:rPr>
                <w:rFonts w:ascii="Times New Roman" w:eastAsia="MS Mincho" w:hAnsi="Times New Roman" w:cs="Times New Roman"/>
                <w:i/>
                <w:iCs/>
                <w:color w:val="000000" w:themeColor="text1"/>
                <w:sz w:val="18"/>
                <w:szCs w:val="18"/>
              </w:rPr>
            </w:pPr>
            <w:r w:rsidRPr="003F4BC8">
              <w:rPr>
                <w:rFonts w:ascii="Times New Roman" w:eastAsia="MS Mincho" w:hAnsi="Times New Roman" w:cs="Times New Roman"/>
                <w:color w:val="000000" w:themeColor="text1"/>
                <w:sz w:val="18"/>
                <w:szCs w:val="18"/>
              </w:rPr>
              <w:t xml:space="preserve">We want to know about your beliefs concerning some of the possible </w:t>
            </w:r>
            <w:r w:rsidRPr="003F4BC8">
              <w:rPr>
                <w:rFonts w:ascii="Times New Roman" w:eastAsia="MS Mincho" w:hAnsi="Times New Roman" w:cs="Times New Roman"/>
                <w:i/>
                <w:color w:val="000000" w:themeColor="text1"/>
                <w:sz w:val="18"/>
                <w:szCs w:val="18"/>
              </w:rPr>
              <w:t>benefits</w:t>
            </w:r>
            <w:r w:rsidRPr="003F4BC8">
              <w:rPr>
                <w:rFonts w:ascii="Times New Roman" w:eastAsia="MS Mincho" w:hAnsi="Times New Roman" w:cs="Times New Roman"/>
                <w:color w:val="000000" w:themeColor="text1"/>
                <w:sz w:val="18"/>
                <w:szCs w:val="18"/>
              </w:rPr>
              <w:t xml:space="preserve"> associated with nuclear energy use in the U.S. Please evaluate each of these possible benefits of nuclear energy use on a scale from zero to ten, where zero means </w:t>
            </w:r>
            <w:r w:rsidRPr="003F4BC8">
              <w:rPr>
                <w:rFonts w:ascii="Times New Roman" w:eastAsia="MS Mincho" w:hAnsi="Times New Roman" w:cs="Times New Roman"/>
                <w:i/>
                <w:iCs/>
                <w:color w:val="000000" w:themeColor="text1"/>
                <w:sz w:val="18"/>
                <w:szCs w:val="18"/>
              </w:rPr>
              <w:t>not at all beneficial</w:t>
            </w:r>
            <w:r w:rsidRPr="003F4BC8">
              <w:rPr>
                <w:rFonts w:ascii="Times New Roman" w:eastAsia="MS Mincho" w:hAnsi="Times New Roman" w:cs="Times New Roman"/>
                <w:color w:val="000000" w:themeColor="text1"/>
                <w:sz w:val="18"/>
                <w:szCs w:val="18"/>
              </w:rPr>
              <w:t xml:space="preserve"> and ten means </w:t>
            </w:r>
            <w:r w:rsidRPr="003F4BC8">
              <w:rPr>
                <w:rFonts w:ascii="Times New Roman" w:eastAsia="MS Mincho" w:hAnsi="Times New Roman" w:cs="Times New Roman"/>
                <w:i/>
                <w:iCs/>
                <w:color w:val="000000" w:themeColor="text1"/>
                <w:sz w:val="18"/>
                <w:szCs w:val="18"/>
              </w:rPr>
              <w:t>extremely beneficial.</w:t>
            </w:r>
          </w:p>
          <w:p w:rsidR="00B52DD2" w:rsidRPr="003F4BC8" w:rsidRDefault="00B52DD2" w:rsidP="00150C36">
            <w:pPr>
              <w:keepNext/>
              <w:numPr>
                <w:ilvl w:val="0"/>
                <w:numId w:val="4"/>
              </w:num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Reducing environmental threats because the generation of nuclear energy produces much less of the greenhouse gases that are believed to cause climate change.</w:t>
            </w:r>
          </w:p>
          <w:p w:rsidR="00B52DD2" w:rsidRPr="003F4BC8" w:rsidRDefault="00B52DD2" w:rsidP="00150C36">
            <w:pPr>
              <w:keepNext/>
              <w:numPr>
                <w:ilvl w:val="0"/>
                <w:numId w:val="4"/>
              </w:num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Reliable power because nuclear energy generates large amounts of electricity and is not affected by weather conditions, such as low rainfall or no wind.</w:t>
            </w:r>
          </w:p>
          <w:p w:rsidR="00B52DD2" w:rsidRPr="003F4BC8" w:rsidRDefault="00B52DD2" w:rsidP="00150C36">
            <w:pPr>
              <w:keepNext/>
              <w:numPr>
                <w:ilvl w:val="0"/>
                <w:numId w:val="4"/>
              </w:num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Greater U.S. energy independence because nuclear energy production does not require oil or gas from foreign sources.</w:t>
            </w:r>
          </w:p>
          <w:p w:rsidR="00B52DD2" w:rsidRPr="003F4BC8" w:rsidRDefault="00B52DD2" w:rsidP="00150C36">
            <w:pPr>
              <w:keepNext/>
              <w:numPr>
                <w:ilvl w:val="0"/>
                <w:numId w:val="4"/>
              </w:num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Reduced environmental damage because of less need for mining coal or extracting oil and gas.</w:t>
            </w:r>
          </w:p>
        </w:tc>
        <w:tc>
          <w:tcPr>
            <w:tcW w:w="1846" w:type="dxa"/>
            <w:vAlign w:val="center"/>
          </w:tcPr>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10 – Extremely Beneficial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highlight w:val="yellow"/>
              </w:rPr>
            </w:pPr>
            <w:r w:rsidRPr="003F4BC8">
              <w:rPr>
                <w:rFonts w:ascii="Times New Roman" w:eastAsia="Palatino Linotype" w:hAnsi="Times New Roman" w:cs="Times New Roman"/>
                <w:sz w:val="18"/>
                <w:szCs w:val="18"/>
              </w:rPr>
              <w:t>0 – Not At All Beneficial</w:t>
            </w:r>
          </w:p>
        </w:tc>
      </w:tr>
      <w:tr w:rsidR="00B52DD2" w:rsidRPr="003F4BC8" w:rsidTr="00150C36">
        <w:trPr>
          <w:trHeight w:val="460"/>
          <w:jc w:val="center"/>
        </w:trPr>
        <w:tc>
          <w:tcPr>
            <w:tcW w:w="1867" w:type="dxa"/>
            <w:tcMar>
              <w:top w:w="80" w:type="dxa"/>
              <w:left w:w="80" w:type="dxa"/>
              <w:bottom w:w="80" w:type="dxa"/>
              <w:right w:w="80" w:type="dxa"/>
            </w:tcMar>
            <w:vAlign w:val="center"/>
          </w:tcPr>
          <w:p w:rsidR="00B52DD2" w:rsidRPr="003F4BC8" w:rsidRDefault="00B52DD2" w:rsidP="00150C36">
            <w:pPr>
              <w:jc w:val="center"/>
              <w:rPr>
                <w:rFonts w:ascii="Times New Roman" w:eastAsia="Palatino Linotype" w:hAnsi="Times New Roman" w:cs="Times New Roman"/>
                <w:color w:val="000000"/>
                <w:sz w:val="18"/>
                <w:szCs w:val="18"/>
                <w:highlight w:val="yellow"/>
              </w:rPr>
            </w:pPr>
            <w:r w:rsidRPr="003F4BC8">
              <w:rPr>
                <w:rFonts w:ascii="Times New Roman" w:eastAsia="Palatino Linotype" w:hAnsi="Times New Roman" w:cs="Times New Roman"/>
                <w:color w:val="000000"/>
                <w:sz w:val="18"/>
                <w:szCs w:val="18"/>
              </w:rPr>
              <w:t>Perceptions in Trust for Regulation and Management of Nuclear Technology</w:t>
            </w:r>
            <w:r w:rsidRPr="003F4BC8">
              <w:rPr>
                <w:rFonts w:ascii="Times New Roman" w:eastAsia="Palatino Linotype" w:hAnsi="Times New Roman" w:cs="Times New Roman"/>
                <w:color w:val="000000"/>
                <w:sz w:val="18"/>
                <w:szCs w:val="18"/>
                <w:highlight w:val="yellow"/>
              </w:rPr>
              <w:t xml:space="preserve"> </w:t>
            </w:r>
          </w:p>
        </w:tc>
        <w:tc>
          <w:tcPr>
            <w:tcW w:w="6120" w:type="dxa"/>
            <w:tcMar>
              <w:top w:w="80" w:type="dxa"/>
              <w:left w:w="80" w:type="dxa"/>
              <w:bottom w:w="80" w:type="dxa"/>
              <w:right w:w="80" w:type="dxa"/>
            </w:tcMar>
          </w:tcPr>
          <w:p w:rsidR="00B52DD2" w:rsidRPr="003F4BC8" w:rsidRDefault="00B52DD2" w:rsidP="00150C36">
            <w:pPr>
              <w:rPr>
                <w:rFonts w:ascii="Times New Roman" w:eastAsia="MS Mincho" w:hAnsi="Times New Roman" w:cs="Times New Roman"/>
                <w:i/>
                <w:color w:val="000000" w:themeColor="text1"/>
                <w:sz w:val="18"/>
                <w:szCs w:val="18"/>
              </w:rPr>
            </w:pPr>
            <w:r w:rsidRPr="003F4BC8">
              <w:rPr>
                <w:rFonts w:ascii="Times New Roman" w:eastAsia="MS Mincho" w:hAnsi="Times New Roman" w:cs="Times New Roman"/>
                <w:color w:val="000000" w:themeColor="text1"/>
                <w:sz w:val="18"/>
                <w:szCs w:val="18"/>
              </w:rPr>
              <w:t xml:space="preserve">Issues concerning nuclear energy and nuclear waste are often technically complex. Please indicate the level of trust you have in experts on nuclear issues who represent the following organizations, using a scale from zero to ten, where zero means </w:t>
            </w:r>
            <w:r w:rsidRPr="003F4BC8">
              <w:rPr>
                <w:rFonts w:ascii="Times New Roman" w:eastAsia="MS Mincho" w:hAnsi="Times New Roman" w:cs="Times New Roman"/>
                <w:i/>
                <w:color w:val="000000" w:themeColor="text1"/>
                <w:sz w:val="18"/>
                <w:szCs w:val="18"/>
              </w:rPr>
              <w:t>no trust</w:t>
            </w:r>
            <w:r w:rsidRPr="003F4BC8">
              <w:rPr>
                <w:rFonts w:ascii="Times New Roman" w:eastAsia="MS Mincho" w:hAnsi="Times New Roman" w:cs="Times New Roman"/>
                <w:color w:val="000000" w:themeColor="text1"/>
                <w:sz w:val="18"/>
                <w:szCs w:val="18"/>
              </w:rPr>
              <w:t xml:space="preserve"> and ten means </w:t>
            </w:r>
            <w:r w:rsidRPr="003F4BC8">
              <w:rPr>
                <w:rFonts w:ascii="Times New Roman" w:eastAsia="MS Mincho" w:hAnsi="Times New Roman" w:cs="Times New Roman"/>
                <w:i/>
                <w:color w:val="000000" w:themeColor="text1"/>
                <w:sz w:val="18"/>
                <w:szCs w:val="18"/>
              </w:rPr>
              <w:t>complete trust.</w:t>
            </w:r>
          </w:p>
          <w:p w:rsidR="00B52DD2" w:rsidRPr="003F4BC8" w:rsidRDefault="00B52DD2" w:rsidP="00150C36">
            <w:pPr>
              <w:keepNext/>
              <w:numPr>
                <w:ilvl w:val="0"/>
                <w:numId w:val="4"/>
              </w:num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The U.S. Nuclear Regulatory Commission.</w:t>
            </w:r>
          </w:p>
          <w:p w:rsidR="00B52DD2" w:rsidRPr="003F4BC8" w:rsidRDefault="00B52DD2" w:rsidP="00150C36">
            <w:pPr>
              <w:keepNext/>
              <w:numPr>
                <w:ilvl w:val="0"/>
                <w:numId w:val="4"/>
              </w:num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The U.S. Environmental Protection Agency.</w:t>
            </w:r>
          </w:p>
          <w:p w:rsidR="00B52DD2" w:rsidRPr="003F4BC8" w:rsidRDefault="00B52DD2" w:rsidP="00150C36">
            <w:pPr>
              <w:keepNext/>
              <w:numPr>
                <w:ilvl w:val="0"/>
                <w:numId w:val="4"/>
              </w:num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U.S. national laboratories for energy and security.</w:t>
            </w:r>
          </w:p>
          <w:p w:rsidR="00B52DD2" w:rsidRPr="003F4BC8" w:rsidRDefault="00B52DD2" w:rsidP="00150C36">
            <w:pPr>
              <w:keepNext/>
              <w:numPr>
                <w:ilvl w:val="0"/>
                <w:numId w:val="4"/>
              </w:num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The National Academy of Sciences.</w:t>
            </w:r>
          </w:p>
          <w:p w:rsidR="00B52DD2" w:rsidRPr="003F4BC8" w:rsidRDefault="00B52DD2" w:rsidP="00150C36">
            <w:pPr>
              <w:keepNext/>
              <w:numPr>
                <w:ilvl w:val="0"/>
                <w:numId w:val="4"/>
              </w:num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The U.S. Department of Energy.</w:t>
            </w:r>
          </w:p>
          <w:p w:rsidR="00B52DD2" w:rsidRPr="003F4BC8" w:rsidRDefault="00B52DD2" w:rsidP="00150C36">
            <w:pPr>
              <w:keepNext/>
              <w:numPr>
                <w:ilvl w:val="0"/>
                <w:numId w:val="4"/>
              </w:num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State regulatory agencies.</w:t>
            </w:r>
          </w:p>
        </w:tc>
        <w:tc>
          <w:tcPr>
            <w:tcW w:w="1846" w:type="dxa"/>
            <w:vAlign w:val="center"/>
          </w:tcPr>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10 – Complete Trust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color w:val="000000"/>
                <w:sz w:val="18"/>
                <w:szCs w:val="18"/>
                <w:highlight w:val="yellow"/>
              </w:rPr>
            </w:pPr>
            <w:r w:rsidRPr="003F4BC8">
              <w:rPr>
                <w:rFonts w:ascii="Times New Roman" w:eastAsia="Palatino Linotype" w:hAnsi="Times New Roman" w:cs="Times New Roman"/>
                <w:sz w:val="18"/>
                <w:szCs w:val="18"/>
              </w:rPr>
              <w:t>0 – No Trust</w:t>
            </w:r>
          </w:p>
        </w:tc>
      </w:tr>
      <w:tr w:rsidR="00B52DD2" w:rsidRPr="003F4BC8" w:rsidTr="00150C36">
        <w:trPr>
          <w:trHeight w:val="460"/>
          <w:jc w:val="center"/>
        </w:trPr>
        <w:tc>
          <w:tcPr>
            <w:tcW w:w="1867" w:type="dxa"/>
            <w:tcMar>
              <w:top w:w="80" w:type="dxa"/>
              <w:left w:w="80" w:type="dxa"/>
              <w:bottom w:w="80" w:type="dxa"/>
              <w:right w:w="80" w:type="dxa"/>
            </w:tcMar>
            <w:vAlign w:val="center"/>
          </w:tcPr>
          <w:p w:rsidR="00B52DD2" w:rsidRPr="003F4BC8" w:rsidRDefault="00B52DD2" w:rsidP="00150C36">
            <w:pPr>
              <w:rPr>
                <w:rFonts w:ascii="Times New Roman" w:eastAsia="MS Mincho" w:hAnsi="Times New Roman" w:cs="Times New Roman"/>
                <w:color w:val="000000" w:themeColor="text1"/>
                <w:sz w:val="18"/>
                <w:szCs w:val="18"/>
              </w:rPr>
            </w:pPr>
            <w:r w:rsidRPr="003F4BC8">
              <w:rPr>
                <w:rFonts w:ascii="Times New Roman" w:eastAsia="MS Mincho" w:hAnsi="Times New Roman" w:cs="Times New Roman"/>
                <w:color w:val="000000" w:themeColor="text1"/>
                <w:sz w:val="18"/>
                <w:szCs w:val="18"/>
              </w:rPr>
              <w:t>Knowledge about SNF</w:t>
            </w:r>
          </w:p>
        </w:tc>
        <w:tc>
          <w:tcPr>
            <w:tcW w:w="6120" w:type="dxa"/>
            <w:tcMar>
              <w:top w:w="80" w:type="dxa"/>
              <w:left w:w="80" w:type="dxa"/>
              <w:bottom w:w="80" w:type="dxa"/>
              <w:right w:w="80" w:type="dxa"/>
            </w:tcMar>
          </w:tcPr>
          <w:p w:rsidR="00B52DD2" w:rsidRPr="003F4BC8" w:rsidRDefault="00B52DD2" w:rsidP="00150C36">
            <w:pPr>
              <w:rPr>
                <w:rFonts w:ascii="Times New Roman" w:eastAsia="MS Mincho" w:hAnsi="Times New Roman" w:cs="Times New Roman"/>
                <w:color w:val="000000" w:themeColor="text1"/>
                <w:sz w:val="18"/>
                <w:szCs w:val="18"/>
              </w:rPr>
            </w:pPr>
            <w:r w:rsidRPr="003F4BC8">
              <w:rPr>
                <w:rFonts w:ascii="Times New Roman" w:eastAsia="MS Mincho" w:hAnsi="Times New Roman" w:cs="Times New Roman"/>
                <w:color w:val="000000" w:themeColor="text1"/>
                <w:sz w:val="18"/>
                <w:szCs w:val="18"/>
              </w:rPr>
              <w:t>As nuclear fuel is used to generate electricity, it becomes contaminated with radioactive byproducts. When it can no longer efficiently produce electricity, it is called “spent” nuclear fuel. To the best of your knowledge, what is being done currently with most of the spent nuclear fuel produced in the U.S.?</w:t>
            </w:r>
          </w:p>
          <w:p w:rsidR="00B52DD2" w:rsidRPr="003F4BC8" w:rsidRDefault="00B52DD2" w:rsidP="00150C36">
            <w:pPr>
              <w:keepNext/>
              <w:numPr>
                <w:ilvl w:val="0"/>
                <w:numId w:val="4"/>
              </w:num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Stored in cooling pools or special containers at nuclear power plants throughout the U.S.</w:t>
            </w:r>
          </w:p>
          <w:p w:rsidR="00B52DD2" w:rsidRPr="003F4BC8" w:rsidRDefault="00B52DD2" w:rsidP="00150C36">
            <w:pPr>
              <w:keepNext/>
              <w:numPr>
                <w:ilvl w:val="0"/>
                <w:numId w:val="4"/>
              </w:num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Shipped to Nevada and stored in a facility deep underground.</w:t>
            </w:r>
          </w:p>
          <w:p w:rsidR="00B52DD2" w:rsidRPr="003F4BC8" w:rsidRDefault="00B52DD2" w:rsidP="00150C36">
            <w:pPr>
              <w:keepNext/>
              <w:numPr>
                <w:ilvl w:val="0"/>
                <w:numId w:val="4"/>
              </w:num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Chemically reprocessed and reused.</w:t>
            </w:r>
          </w:p>
          <w:p w:rsidR="00B52DD2" w:rsidRPr="003F4BC8" w:rsidRDefault="00B52DD2" w:rsidP="00150C36">
            <w:pPr>
              <w:keepNext/>
              <w:numPr>
                <w:ilvl w:val="0"/>
                <w:numId w:val="4"/>
              </w:numPr>
              <w:rPr>
                <w:rFonts w:ascii="Times New Roman" w:eastAsia="MS Mincho" w:hAnsi="Times New Roman" w:cs="Times New Roman"/>
                <w:color w:val="000000" w:themeColor="text1"/>
                <w:sz w:val="18"/>
                <w:szCs w:val="18"/>
              </w:rPr>
            </w:pPr>
            <w:r w:rsidRPr="003F4BC8">
              <w:rPr>
                <w:rFonts w:ascii="Times New Roman" w:eastAsia="Palatino Linotype" w:hAnsi="Times New Roman" w:cs="Times New Roman"/>
                <w:color w:val="000000"/>
                <w:sz w:val="18"/>
                <w:szCs w:val="18"/>
              </w:rPr>
              <w:t>Shipped to regional storage sites.</w:t>
            </w:r>
          </w:p>
        </w:tc>
        <w:tc>
          <w:tcPr>
            <w:tcW w:w="1846" w:type="dxa"/>
            <w:vAlign w:val="center"/>
          </w:tcPr>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Percent of total respondents selecting one of the four mutually exclusive categories.</w:t>
            </w:r>
          </w:p>
        </w:tc>
      </w:tr>
      <w:tr w:rsidR="00B52DD2" w:rsidRPr="003F4BC8" w:rsidTr="00150C36">
        <w:trPr>
          <w:trHeight w:val="460"/>
          <w:jc w:val="center"/>
        </w:trPr>
        <w:tc>
          <w:tcPr>
            <w:tcW w:w="1867" w:type="dxa"/>
            <w:tcMar>
              <w:top w:w="80" w:type="dxa"/>
              <w:left w:w="80" w:type="dxa"/>
              <w:bottom w:w="80" w:type="dxa"/>
              <w:right w:w="80" w:type="dxa"/>
            </w:tcMar>
            <w:vAlign w:val="center"/>
          </w:tcPr>
          <w:p w:rsidR="00B52DD2" w:rsidRPr="003F4BC8" w:rsidRDefault="00B52DD2" w:rsidP="00150C36">
            <w:pPr>
              <w:jc w:val="center"/>
              <w:rPr>
                <w:rFonts w:ascii="Times New Roman" w:eastAsia="MS Mincho" w:hAnsi="Times New Roman" w:cs="Times New Roman"/>
                <w:color w:val="000000" w:themeColor="text1"/>
                <w:sz w:val="18"/>
                <w:szCs w:val="18"/>
              </w:rPr>
            </w:pPr>
            <w:r w:rsidRPr="003F4BC8">
              <w:rPr>
                <w:rFonts w:ascii="Times New Roman" w:eastAsia="MS Mincho" w:hAnsi="Times New Roman" w:cs="Times New Roman"/>
                <w:color w:val="000000" w:themeColor="text1"/>
                <w:sz w:val="18"/>
                <w:szCs w:val="18"/>
              </w:rPr>
              <w:t>Support in SNF Policy Options</w:t>
            </w:r>
          </w:p>
        </w:tc>
        <w:tc>
          <w:tcPr>
            <w:tcW w:w="6120" w:type="dxa"/>
            <w:tcMar>
              <w:top w:w="80" w:type="dxa"/>
              <w:left w:w="80" w:type="dxa"/>
              <w:bottom w:w="80" w:type="dxa"/>
              <w:right w:w="80" w:type="dxa"/>
            </w:tcMar>
            <w:vAlign w:val="center"/>
          </w:tcPr>
          <w:p w:rsidR="00B52DD2" w:rsidRPr="003F4BC8" w:rsidRDefault="00B52DD2" w:rsidP="00150C36">
            <w:pPr>
              <w:keepNext/>
              <w:numPr>
                <w:ilvl w:val="0"/>
                <w:numId w:val="4"/>
              </w:num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 xml:space="preserve">Using a scale from one to seven, where one means strongly oppose and seven means strongly support, how do you feel about continuing the </w:t>
            </w:r>
            <w:r w:rsidRPr="003F4BC8">
              <w:rPr>
                <w:rFonts w:ascii="Times New Roman" w:eastAsia="Palatino Linotype" w:hAnsi="Times New Roman" w:cs="Times New Roman"/>
                <w:color w:val="000000"/>
                <w:sz w:val="18"/>
                <w:szCs w:val="18"/>
              </w:rPr>
              <w:lastRenderedPageBreak/>
              <w:t>current practice of storing spent nuclear fuel at or near nuclear power plants for the next years?</w:t>
            </w:r>
          </w:p>
          <w:p w:rsidR="00B52DD2" w:rsidRPr="003F4BC8" w:rsidRDefault="00B52DD2" w:rsidP="00150C36">
            <w:pPr>
              <w:keepNext/>
              <w:numPr>
                <w:ilvl w:val="0"/>
                <w:numId w:val="4"/>
              </w:num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Using a scale from one to seven, where one means strongly oppose and seven means strongly support, how do you feel about siting and constructing one or more interim storage facilities for consolidating spent nuclear fuel in the U.S.?</w:t>
            </w:r>
          </w:p>
          <w:p w:rsidR="00B52DD2" w:rsidRPr="003F4BC8" w:rsidRDefault="00B52DD2" w:rsidP="00150C36">
            <w:pPr>
              <w:keepNext/>
              <w:numPr>
                <w:ilvl w:val="0"/>
                <w:numId w:val="4"/>
              </w:numPr>
              <w:rPr>
                <w:rFonts w:ascii="Times New Roman" w:eastAsia="Palatino Linotype" w:hAnsi="Times New Roman" w:cs="Times New Roman"/>
                <w:color w:val="000000"/>
                <w:sz w:val="18"/>
                <w:szCs w:val="18"/>
              </w:rPr>
            </w:pPr>
            <w:r w:rsidRPr="003F4BC8">
              <w:rPr>
                <w:rFonts w:ascii="Times New Roman" w:eastAsia="Palatino Linotype" w:hAnsi="Times New Roman" w:cs="Times New Roman"/>
                <w:color w:val="000000"/>
                <w:sz w:val="18"/>
                <w:szCs w:val="18"/>
              </w:rPr>
              <w:t>Using the scale from one to seven, where one means strongly oppose and seven means strongly support, how do you feel about the option of constructing a storage facility deep underground where spent nuclear fuel from all over the U.S. would be stored?</w:t>
            </w:r>
          </w:p>
        </w:tc>
        <w:tc>
          <w:tcPr>
            <w:tcW w:w="1846" w:type="dxa"/>
            <w:shd w:val="clear" w:color="auto" w:fill="auto"/>
            <w:vAlign w:val="center"/>
          </w:tcPr>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lastRenderedPageBreak/>
              <w:t xml:space="preserve">7 – </w:t>
            </w:r>
            <w:r w:rsidRPr="003F4BC8">
              <w:rPr>
                <w:rFonts w:ascii="Times New Roman" w:hAnsi="Times New Roman" w:cs="Times New Roman"/>
                <w:color w:val="000000"/>
                <w:sz w:val="18"/>
                <w:szCs w:val="18"/>
              </w:rPr>
              <w:t>Strongly Support</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lastRenderedPageBreak/>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 – </w:t>
            </w:r>
          </w:p>
          <w:p w:rsidR="00B52DD2" w:rsidRPr="003F4BC8" w:rsidRDefault="00B52DD2" w:rsidP="00150C36">
            <w:pPr>
              <w:rPr>
                <w:rFonts w:ascii="Times New Roman" w:eastAsia="Palatino Linotype" w:hAnsi="Times New Roman" w:cs="Times New Roman"/>
                <w:sz w:val="18"/>
                <w:szCs w:val="18"/>
              </w:rPr>
            </w:pPr>
            <w:r w:rsidRPr="003F4BC8">
              <w:rPr>
                <w:rFonts w:ascii="Times New Roman" w:eastAsia="Palatino Linotype" w:hAnsi="Times New Roman" w:cs="Times New Roman"/>
                <w:sz w:val="18"/>
                <w:szCs w:val="18"/>
              </w:rPr>
              <w:t xml:space="preserve">1 – </w:t>
            </w:r>
            <w:r w:rsidRPr="003F4BC8">
              <w:rPr>
                <w:rFonts w:ascii="Times New Roman" w:hAnsi="Times New Roman" w:cs="Times New Roman"/>
                <w:color w:val="000000"/>
                <w:sz w:val="18"/>
                <w:szCs w:val="18"/>
              </w:rPr>
              <w:t>Strongly Oppose</w:t>
            </w:r>
            <w:r w:rsidRPr="003F4BC8">
              <w:rPr>
                <w:rFonts w:ascii="Times New Roman" w:eastAsia="Palatino Linotype" w:hAnsi="Times New Roman" w:cs="Times New Roman"/>
                <w:sz w:val="18"/>
                <w:szCs w:val="18"/>
              </w:rPr>
              <w:t xml:space="preserve"> </w:t>
            </w:r>
          </w:p>
          <w:p w:rsidR="00B52DD2" w:rsidRPr="003F4BC8" w:rsidRDefault="00B52DD2" w:rsidP="00150C36">
            <w:pPr>
              <w:rPr>
                <w:rFonts w:ascii="Times New Roman" w:eastAsia="Palatino Linotype" w:hAnsi="Times New Roman" w:cs="Times New Roman"/>
                <w:sz w:val="18"/>
                <w:szCs w:val="18"/>
              </w:rPr>
            </w:pPr>
          </w:p>
        </w:tc>
      </w:tr>
    </w:tbl>
    <w:p w:rsidR="00B52DD2" w:rsidRPr="003F4BC8" w:rsidRDefault="00B52DD2" w:rsidP="00B52DD2">
      <w:pPr>
        <w:rPr>
          <w:rFonts w:ascii="Times New Roman" w:hAnsi="Times New Roman" w:cs="Times New Roman"/>
          <w:sz w:val="20"/>
          <w:szCs w:val="20"/>
        </w:rPr>
      </w:pPr>
    </w:p>
    <w:p w:rsidR="00B52DD2" w:rsidRPr="003F4BC8" w:rsidRDefault="00B52DD2" w:rsidP="00B52DD2">
      <w:pPr>
        <w:widowControl w:val="0"/>
        <w:pBdr>
          <w:top w:val="nil"/>
          <w:left w:val="nil"/>
          <w:bottom w:val="nil"/>
          <w:right w:val="nil"/>
          <w:between w:val="nil"/>
        </w:pBdr>
        <w:rPr>
          <w:rFonts w:ascii="Times New Roman" w:eastAsia="Garamond" w:hAnsi="Times New Roman" w:cs="Times New Roman"/>
          <w:b/>
          <w:bCs/>
        </w:rPr>
      </w:pPr>
    </w:p>
    <w:p w:rsidR="00B52DD2" w:rsidRPr="003F4BC8" w:rsidRDefault="00B52DD2" w:rsidP="00B52DD2">
      <w:pPr>
        <w:rPr>
          <w:rFonts w:ascii="Times New Roman" w:hAnsi="Times New Roman" w:cs="Times New Roman"/>
        </w:rPr>
      </w:pPr>
      <w:r w:rsidRPr="003F4BC8">
        <w:rPr>
          <w:rFonts w:ascii="Times New Roman" w:hAnsi="Times New Roman" w:cs="Times New Roman"/>
        </w:rPr>
        <w:br w:type="page"/>
      </w:r>
    </w:p>
    <w:p w:rsidR="00B52DD2" w:rsidRPr="003F4BC8" w:rsidRDefault="00B52DD2" w:rsidP="00B52DD2">
      <w:pPr>
        <w:rPr>
          <w:rFonts w:ascii="Times New Roman" w:hAnsi="Times New Roman" w:cs="Times New Roman"/>
        </w:rPr>
      </w:pPr>
      <w:r w:rsidRPr="003F4BC8">
        <w:rPr>
          <w:rFonts w:ascii="Times New Roman" w:hAnsi="Times New Roman" w:cs="Times New Roman"/>
          <w:b/>
          <w:bCs/>
        </w:rPr>
        <w:lastRenderedPageBreak/>
        <w:t>Table 3-</w:t>
      </w:r>
      <w:r>
        <w:rPr>
          <w:rFonts w:ascii="Times New Roman" w:eastAsia="Palatino Linotype" w:hAnsi="Times New Roman" w:cs="Times New Roman"/>
          <w:b/>
          <w:bCs/>
        </w:rPr>
        <w:t>B1</w:t>
      </w:r>
      <w:r w:rsidRPr="003F4BC8">
        <w:rPr>
          <w:rFonts w:ascii="Times New Roman" w:eastAsia="Palatino Linotype" w:hAnsi="Times New Roman" w:cs="Times New Roman"/>
        </w:rPr>
        <w:t>. Augmented Dickey Fuller (ADCF) Test Results</w:t>
      </w:r>
    </w:p>
    <w:p w:rsidR="00B52DD2" w:rsidRPr="003F4BC8" w:rsidRDefault="00B52DD2" w:rsidP="00B52DD2">
      <w:pPr>
        <w:ind w:firstLine="720"/>
        <w:jc w:val="both"/>
        <w:rPr>
          <w:rFonts w:ascii="Times New Roman" w:hAnsi="Times New Roman" w:cs="Times New Roman"/>
        </w:rPr>
      </w:pPr>
    </w:p>
    <w:tbl>
      <w:tblPr>
        <w:tblStyle w:val="TableGrid"/>
        <w:tblW w:w="0" w:type="auto"/>
        <w:tblInd w:w="-275" w:type="dxa"/>
        <w:tblBorders>
          <w:top w:val="single" w:sz="18" w:space="0" w:color="000000"/>
          <w:left w:val="single" w:sz="18" w:space="0" w:color="000000"/>
          <w:bottom w:val="single" w:sz="18" w:space="0" w:color="000000"/>
          <w:right w:val="single" w:sz="18" w:space="0" w:color="000000"/>
          <w:insideH w:val="none" w:sz="0" w:space="0" w:color="auto"/>
          <w:insideV w:val="none" w:sz="0" w:space="0" w:color="auto"/>
        </w:tblBorders>
        <w:tblLook w:val="04A0" w:firstRow="1" w:lastRow="0" w:firstColumn="1" w:lastColumn="0" w:noHBand="0" w:noVBand="1"/>
      </w:tblPr>
      <w:tblGrid>
        <w:gridCol w:w="5375"/>
        <w:gridCol w:w="2333"/>
        <w:gridCol w:w="1881"/>
      </w:tblGrid>
      <w:tr w:rsidR="00B52DD2" w:rsidRPr="00FC40B8" w:rsidTr="00150C36">
        <w:tc>
          <w:tcPr>
            <w:tcW w:w="5400" w:type="dxa"/>
          </w:tcPr>
          <w:p w:rsidR="00B52DD2" w:rsidRPr="00FC40B8" w:rsidRDefault="00B52DD2" w:rsidP="00150C36">
            <w:pPr>
              <w:jc w:val="center"/>
              <w:rPr>
                <w:rFonts w:ascii="Times New Roman" w:eastAsia="Palatino Linotype" w:hAnsi="Times New Roman" w:cs="Times New Roman"/>
                <w:b/>
                <w:color w:val="000000"/>
                <w:sz w:val="22"/>
                <w:szCs w:val="22"/>
              </w:rPr>
            </w:pPr>
            <w:r w:rsidRPr="00FC40B8">
              <w:rPr>
                <w:rFonts w:ascii="Times New Roman" w:eastAsia="Palatino Linotype" w:hAnsi="Times New Roman" w:cs="Times New Roman"/>
                <w:b/>
                <w:color w:val="000000"/>
                <w:sz w:val="22"/>
                <w:szCs w:val="22"/>
              </w:rPr>
              <w:t>Variables</w:t>
            </w:r>
          </w:p>
        </w:tc>
        <w:tc>
          <w:tcPr>
            <w:tcW w:w="2340" w:type="dxa"/>
          </w:tcPr>
          <w:p w:rsidR="00B52DD2" w:rsidRPr="00FC40B8" w:rsidRDefault="00B52DD2" w:rsidP="00150C36">
            <w:pPr>
              <w:jc w:val="center"/>
              <w:rPr>
                <w:rFonts w:ascii="Times New Roman" w:eastAsia="Palatino Linotype" w:hAnsi="Times New Roman" w:cs="Times New Roman"/>
                <w:b/>
                <w:color w:val="000000"/>
                <w:sz w:val="22"/>
                <w:szCs w:val="22"/>
              </w:rPr>
            </w:pPr>
            <w:r w:rsidRPr="00FC40B8">
              <w:rPr>
                <w:rFonts w:ascii="Times New Roman" w:eastAsia="Palatino Linotype" w:hAnsi="Times New Roman" w:cs="Times New Roman"/>
                <w:b/>
                <w:color w:val="000000"/>
                <w:sz w:val="22"/>
                <w:szCs w:val="22"/>
              </w:rPr>
              <w:t>P-Value before Differencing</w:t>
            </w:r>
          </w:p>
        </w:tc>
        <w:tc>
          <w:tcPr>
            <w:tcW w:w="1885" w:type="dxa"/>
          </w:tcPr>
          <w:p w:rsidR="00B52DD2" w:rsidRPr="00FC40B8" w:rsidRDefault="00B52DD2" w:rsidP="00150C36">
            <w:pPr>
              <w:jc w:val="center"/>
              <w:rPr>
                <w:rFonts w:ascii="Times New Roman" w:eastAsia="Palatino Linotype" w:hAnsi="Times New Roman" w:cs="Times New Roman"/>
                <w:b/>
                <w:color w:val="000000"/>
                <w:sz w:val="22"/>
                <w:szCs w:val="22"/>
              </w:rPr>
            </w:pPr>
            <w:r w:rsidRPr="00FC40B8">
              <w:rPr>
                <w:rFonts w:ascii="Times New Roman" w:eastAsia="Palatino Linotype" w:hAnsi="Times New Roman" w:cs="Times New Roman"/>
                <w:b/>
                <w:color w:val="000000"/>
                <w:sz w:val="22"/>
                <w:szCs w:val="22"/>
              </w:rPr>
              <w:t>P-Value after Differencing</w:t>
            </w:r>
          </w:p>
        </w:tc>
      </w:tr>
      <w:tr w:rsidR="00B52DD2" w:rsidRPr="00FC40B8" w:rsidTr="00150C36">
        <w:tc>
          <w:tcPr>
            <w:tcW w:w="5400" w:type="dxa"/>
          </w:tcPr>
          <w:p w:rsidR="00B52DD2" w:rsidRPr="00FC40B8" w:rsidRDefault="00B52DD2" w:rsidP="00150C36">
            <w:pPr>
              <w:rPr>
                <w:rFonts w:ascii="Times New Roman" w:hAnsi="Times New Roman" w:cs="Times New Roman"/>
                <w:sz w:val="22"/>
                <w:szCs w:val="22"/>
              </w:rPr>
            </w:pPr>
            <w:r w:rsidRPr="00FC40B8">
              <w:rPr>
                <w:rFonts w:ascii="Times New Roman" w:hAnsi="Times New Roman" w:cs="Times New Roman"/>
                <w:sz w:val="22"/>
                <w:szCs w:val="22"/>
              </w:rPr>
              <w:t>Risk of Transportation &amp; Storage Accident</w:t>
            </w:r>
          </w:p>
        </w:tc>
        <w:tc>
          <w:tcPr>
            <w:tcW w:w="2340"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0.78</w:t>
            </w:r>
          </w:p>
        </w:tc>
        <w:tc>
          <w:tcPr>
            <w:tcW w:w="1885"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0.01</w:t>
            </w:r>
          </w:p>
        </w:tc>
      </w:tr>
      <w:tr w:rsidR="00B52DD2" w:rsidRPr="00FC40B8" w:rsidTr="00150C36">
        <w:tc>
          <w:tcPr>
            <w:tcW w:w="5400" w:type="dxa"/>
          </w:tcPr>
          <w:p w:rsidR="00B52DD2" w:rsidRPr="00FC40B8" w:rsidRDefault="00B52DD2" w:rsidP="00150C36">
            <w:pPr>
              <w:rPr>
                <w:rFonts w:ascii="Times New Roman" w:hAnsi="Times New Roman" w:cs="Times New Roman"/>
                <w:sz w:val="22"/>
                <w:szCs w:val="22"/>
              </w:rPr>
            </w:pPr>
            <w:r w:rsidRPr="00FC40B8">
              <w:rPr>
                <w:rFonts w:ascii="Times New Roman" w:hAnsi="Times New Roman" w:cs="Times New Roman"/>
                <w:sz w:val="22"/>
                <w:szCs w:val="22"/>
              </w:rPr>
              <w:t>Benefit of Reliable Power</w:t>
            </w:r>
            <w:r>
              <w:rPr>
                <w:rFonts w:ascii="Times New Roman" w:hAnsi="Times New Roman" w:cs="Times New Roman"/>
                <w:sz w:val="22"/>
                <w:szCs w:val="22"/>
              </w:rPr>
              <w:t xml:space="preserve"> 2</w:t>
            </w:r>
          </w:p>
        </w:tc>
        <w:tc>
          <w:tcPr>
            <w:tcW w:w="2340"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0.41</w:t>
            </w:r>
          </w:p>
        </w:tc>
        <w:tc>
          <w:tcPr>
            <w:tcW w:w="1885"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0.01</w:t>
            </w:r>
          </w:p>
        </w:tc>
      </w:tr>
      <w:tr w:rsidR="00B52DD2" w:rsidRPr="00FC40B8" w:rsidTr="00150C36">
        <w:tc>
          <w:tcPr>
            <w:tcW w:w="5400" w:type="dxa"/>
          </w:tcPr>
          <w:p w:rsidR="00B52DD2" w:rsidRPr="00FC40B8" w:rsidRDefault="00B52DD2" w:rsidP="00150C36">
            <w:pPr>
              <w:rPr>
                <w:rFonts w:ascii="Times New Roman" w:hAnsi="Times New Roman" w:cs="Times New Roman"/>
                <w:sz w:val="22"/>
                <w:szCs w:val="22"/>
              </w:rPr>
            </w:pPr>
            <w:r w:rsidRPr="00FC40B8">
              <w:rPr>
                <w:rFonts w:ascii="Times New Roman" w:hAnsi="Times New Roman" w:cs="Times New Roman"/>
                <w:sz w:val="22"/>
                <w:szCs w:val="22"/>
              </w:rPr>
              <w:t>Benefit of Energy Independence</w:t>
            </w:r>
            <w:r>
              <w:rPr>
                <w:rFonts w:ascii="Times New Roman" w:hAnsi="Times New Roman" w:cs="Times New Roman"/>
                <w:sz w:val="22"/>
                <w:szCs w:val="22"/>
              </w:rPr>
              <w:t xml:space="preserve"> 3</w:t>
            </w:r>
          </w:p>
        </w:tc>
        <w:tc>
          <w:tcPr>
            <w:tcW w:w="2340"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0.35</w:t>
            </w:r>
          </w:p>
        </w:tc>
        <w:tc>
          <w:tcPr>
            <w:tcW w:w="1885"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0.02</w:t>
            </w:r>
          </w:p>
        </w:tc>
      </w:tr>
      <w:tr w:rsidR="00B52DD2" w:rsidRPr="00FC40B8" w:rsidTr="00150C36">
        <w:tc>
          <w:tcPr>
            <w:tcW w:w="5400" w:type="dxa"/>
          </w:tcPr>
          <w:p w:rsidR="00B52DD2" w:rsidRPr="00FC40B8" w:rsidRDefault="00B52DD2" w:rsidP="00150C36">
            <w:pPr>
              <w:rPr>
                <w:rFonts w:ascii="Times New Roman" w:hAnsi="Times New Roman" w:cs="Times New Roman"/>
                <w:sz w:val="22"/>
                <w:szCs w:val="22"/>
              </w:rPr>
            </w:pPr>
            <w:r w:rsidRPr="00FC40B8">
              <w:rPr>
                <w:rFonts w:ascii="Times New Roman" w:hAnsi="Times New Roman" w:cs="Times New Roman"/>
                <w:sz w:val="22"/>
                <w:szCs w:val="22"/>
              </w:rPr>
              <w:t>Benefit of Reduced Mining/Extraction</w:t>
            </w:r>
            <w:r>
              <w:rPr>
                <w:rFonts w:ascii="Times New Roman" w:hAnsi="Times New Roman" w:cs="Times New Roman"/>
                <w:sz w:val="22"/>
                <w:szCs w:val="22"/>
              </w:rPr>
              <w:t xml:space="preserve"> 4</w:t>
            </w:r>
          </w:p>
        </w:tc>
        <w:tc>
          <w:tcPr>
            <w:tcW w:w="2340"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0.51</w:t>
            </w:r>
          </w:p>
        </w:tc>
        <w:tc>
          <w:tcPr>
            <w:tcW w:w="1885"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0.01</w:t>
            </w:r>
          </w:p>
        </w:tc>
      </w:tr>
      <w:tr w:rsidR="00B52DD2" w:rsidRPr="00FC40B8" w:rsidTr="00150C36">
        <w:tc>
          <w:tcPr>
            <w:tcW w:w="5400" w:type="dxa"/>
          </w:tcPr>
          <w:p w:rsidR="00B52DD2" w:rsidRPr="00FC40B8" w:rsidRDefault="00B52DD2" w:rsidP="00150C36">
            <w:pPr>
              <w:rPr>
                <w:rFonts w:ascii="Times New Roman" w:hAnsi="Times New Roman" w:cs="Times New Roman"/>
                <w:sz w:val="22"/>
                <w:szCs w:val="22"/>
              </w:rPr>
            </w:pPr>
            <w:r w:rsidRPr="00FC40B8">
              <w:rPr>
                <w:rFonts w:ascii="Times New Roman" w:hAnsi="Times New Roman" w:cs="Times New Roman"/>
                <w:sz w:val="22"/>
                <w:szCs w:val="22"/>
              </w:rPr>
              <w:t>Trust in Federal Regulators - NRC</w:t>
            </w:r>
          </w:p>
        </w:tc>
        <w:tc>
          <w:tcPr>
            <w:tcW w:w="2340"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0.96</w:t>
            </w:r>
          </w:p>
        </w:tc>
        <w:tc>
          <w:tcPr>
            <w:tcW w:w="1885"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0.04</w:t>
            </w:r>
          </w:p>
        </w:tc>
      </w:tr>
      <w:tr w:rsidR="00B52DD2" w:rsidRPr="00FC40B8" w:rsidTr="00150C36">
        <w:tc>
          <w:tcPr>
            <w:tcW w:w="5400" w:type="dxa"/>
          </w:tcPr>
          <w:p w:rsidR="00B52DD2" w:rsidRPr="00FC40B8" w:rsidRDefault="00B52DD2" w:rsidP="00150C36">
            <w:pPr>
              <w:rPr>
                <w:rFonts w:ascii="Times New Roman" w:hAnsi="Times New Roman" w:cs="Times New Roman"/>
                <w:sz w:val="22"/>
                <w:szCs w:val="22"/>
              </w:rPr>
            </w:pPr>
            <w:r w:rsidRPr="00FC40B8">
              <w:rPr>
                <w:rFonts w:ascii="Times New Roman" w:hAnsi="Times New Roman" w:cs="Times New Roman"/>
                <w:sz w:val="22"/>
                <w:szCs w:val="22"/>
              </w:rPr>
              <w:t>Trust in Federal Regulators - EPA</w:t>
            </w:r>
          </w:p>
        </w:tc>
        <w:tc>
          <w:tcPr>
            <w:tcW w:w="2340"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0.98</w:t>
            </w:r>
          </w:p>
        </w:tc>
        <w:tc>
          <w:tcPr>
            <w:tcW w:w="1885"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0.01</w:t>
            </w:r>
          </w:p>
        </w:tc>
      </w:tr>
      <w:tr w:rsidR="00B52DD2" w:rsidRPr="00FC40B8" w:rsidTr="00150C36">
        <w:tc>
          <w:tcPr>
            <w:tcW w:w="5400" w:type="dxa"/>
          </w:tcPr>
          <w:p w:rsidR="00B52DD2" w:rsidRPr="00FC40B8" w:rsidRDefault="00B52DD2" w:rsidP="00150C36">
            <w:pPr>
              <w:rPr>
                <w:rFonts w:ascii="Times New Roman" w:hAnsi="Times New Roman" w:cs="Times New Roman"/>
                <w:sz w:val="22"/>
                <w:szCs w:val="22"/>
              </w:rPr>
            </w:pPr>
            <w:r w:rsidRPr="00FC40B8">
              <w:rPr>
                <w:rFonts w:ascii="Times New Roman" w:hAnsi="Times New Roman" w:cs="Times New Roman"/>
                <w:sz w:val="22"/>
                <w:szCs w:val="22"/>
              </w:rPr>
              <w:t>Trust in National Labs</w:t>
            </w:r>
          </w:p>
        </w:tc>
        <w:tc>
          <w:tcPr>
            <w:tcW w:w="2340"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0.97</w:t>
            </w:r>
          </w:p>
        </w:tc>
        <w:tc>
          <w:tcPr>
            <w:tcW w:w="1885"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0.02</w:t>
            </w:r>
          </w:p>
        </w:tc>
      </w:tr>
      <w:tr w:rsidR="00B52DD2" w:rsidRPr="00FC40B8" w:rsidTr="00150C36">
        <w:tc>
          <w:tcPr>
            <w:tcW w:w="5400" w:type="dxa"/>
          </w:tcPr>
          <w:p w:rsidR="00B52DD2" w:rsidRPr="00FC40B8" w:rsidRDefault="00B52DD2" w:rsidP="00150C36">
            <w:pPr>
              <w:rPr>
                <w:rFonts w:ascii="Times New Roman" w:hAnsi="Times New Roman" w:cs="Times New Roman"/>
                <w:sz w:val="22"/>
                <w:szCs w:val="22"/>
              </w:rPr>
            </w:pPr>
            <w:r w:rsidRPr="00FC40B8">
              <w:rPr>
                <w:rFonts w:ascii="Times New Roman" w:hAnsi="Times New Roman" w:cs="Times New Roman"/>
                <w:sz w:val="22"/>
                <w:szCs w:val="22"/>
              </w:rPr>
              <w:t xml:space="preserve">Trust in Department of </w:t>
            </w:r>
            <w:r>
              <w:rPr>
                <w:rFonts w:ascii="Times New Roman" w:hAnsi="Times New Roman" w:cs="Times New Roman"/>
                <w:sz w:val="22"/>
                <w:szCs w:val="22"/>
              </w:rPr>
              <w:t>Energy</w:t>
            </w:r>
          </w:p>
        </w:tc>
        <w:tc>
          <w:tcPr>
            <w:tcW w:w="2340"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0.80</w:t>
            </w:r>
          </w:p>
        </w:tc>
        <w:tc>
          <w:tcPr>
            <w:tcW w:w="1885"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0.01</w:t>
            </w:r>
          </w:p>
        </w:tc>
      </w:tr>
      <w:tr w:rsidR="00B52DD2" w:rsidRPr="00FC40B8" w:rsidTr="00150C36">
        <w:tc>
          <w:tcPr>
            <w:tcW w:w="5400" w:type="dxa"/>
          </w:tcPr>
          <w:p w:rsidR="00B52DD2" w:rsidRPr="00FC40B8" w:rsidRDefault="00B52DD2" w:rsidP="00150C36">
            <w:pPr>
              <w:rPr>
                <w:rFonts w:ascii="Times New Roman" w:hAnsi="Times New Roman" w:cs="Times New Roman"/>
                <w:sz w:val="22"/>
                <w:szCs w:val="22"/>
              </w:rPr>
            </w:pPr>
            <w:r w:rsidRPr="00FC40B8">
              <w:rPr>
                <w:rFonts w:ascii="Times New Roman" w:hAnsi="Times New Roman" w:cs="Times New Roman"/>
                <w:sz w:val="22"/>
                <w:szCs w:val="22"/>
              </w:rPr>
              <w:t>Trust in State Regulators</w:t>
            </w:r>
          </w:p>
        </w:tc>
        <w:tc>
          <w:tcPr>
            <w:tcW w:w="2340"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0.87</w:t>
            </w:r>
          </w:p>
        </w:tc>
        <w:tc>
          <w:tcPr>
            <w:tcW w:w="1885"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0.01</w:t>
            </w:r>
          </w:p>
        </w:tc>
      </w:tr>
      <w:tr w:rsidR="00B52DD2" w:rsidRPr="00FC40B8" w:rsidTr="00150C36">
        <w:tc>
          <w:tcPr>
            <w:tcW w:w="5400" w:type="dxa"/>
          </w:tcPr>
          <w:p w:rsidR="00B52DD2" w:rsidRPr="00FC40B8" w:rsidRDefault="00B52DD2" w:rsidP="00150C36">
            <w:pPr>
              <w:rPr>
                <w:rFonts w:ascii="Times New Roman" w:hAnsi="Times New Roman" w:cs="Times New Roman"/>
                <w:sz w:val="22"/>
                <w:szCs w:val="22"/>
              </w:rPr>
            </w:pPr>
            <w:r w:rsidRPr="00FC40B8">
              <w:rPr>
                <w:rFonts w:ascii="Times New Roman" w:hAnsi="Times New Roman" w:cs="Times New Roman"/>
                <w:sz w:val="22"/>
                <w:szCs w:val="22"/>
              </w:rPr>
              <w:t xml:space="preserve">Knowledge about </w:t>
            </w:r>
            <w:r>
              <w:rPr>
                <w:rFonts w:ascii="Times New Roman" w:hAnsi="Times New Roman" w:cs="Times New Roman"/>
                <w:sz w:val="22"/>
                <w:szCs w:val="22"/>
              </w:rPr>
              <w:t>C</w:t>
            </w:r>
            <w:r w:rsidRPr="00FC40B8">
              <w:rPr>
                <w:rFonts w:ascii="Times New Roman" w:hAnsi="Times New Roman" w:cs="Times New Roman"/>
                <w:sz w:val="22"/>
                <w:szCs w:val="22"/>
              </w:rPr>
              <w:t xml:space="preserve">urrent SNF </w:t>
            </w:r>
            <w:r>
              <w:rPr>
                <w:rFonts w:ascii="Times New Roman" w:hAnsi="Times New Roman" w:cs="Times New Roman"/>
                <w:sz w:val="22"/>
                <w:szCs w:val="22"/>
              </w:rPr>
              <w:t>S</w:t>
            </w:r>
            <w:r w:rsidRPr="00FC40B8">
              <w:rPr>
                <w:rFonts w:ascii="Times New Roman" w:hAnsi="Times New Roman" w:cs="Times New Roman"/>
                <w:sz w:val="22"/>
                <w:szCs w:val="22"/>
              </w:rPr>
              <w:t>torage</w:t>
            </w:r>
          </w:p>
        </w:tc>
        <w:tc>
          <w:tcPr>
            <w:tcW w:w="2340"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0.46</w:t>
            </w:r>
          </w:p>
        </w:tc>
        <w:tc>
          <w:tcPr>
            <w:tcW w:w="1885"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0.01</w:t>
            </w:r>
          </w:p>
        </w:tc>
      </w:tr>
      <w:tr w:rsidR="00B52DD2" w:rsidRPr="00FC40B8" w:rsidTr="00150C36">
        <w:tc>
          <w:tcPr>
            <w:tcW w:w="5400" w:type="dxa"/>
          </w:tcPr>
          <w:p w:rsidR="00B52DD2" w:rsidRPr="00FC40B8" w:rsidRDefault="00B52DD2" w:rsidP="00150C36">
            <w:pPr>
              <w:rPr>
                <w:rFonts w:ascii="Times New Roman" w:hAnsi="Times New Roman" w:cs="Times New Roman"/>
                <w:sz w:val="22"/>
                <w:szCs w:val="22"/>
              </w:rPr>
            </w:pPr>
            <w:r w:rsidRPr="00FC40B8">
              <w:rPr>
                <w:rFonts w:ascii="Times New Roman" w:hAnsi="Times New Roman" w:cs="Times New Roman"/>
                <w:sz w:val="22"/>
                <w:szCs w:val="22"/>
              </w:rPr>
              <w:t>Support for Onsite Storage</w:t>
            </w:r>
          </w:p>
        </w:tc>
        <w:tc>
          <w:tcPr>
            <w:tcW w:w="2340"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0.86</w:t>
            </w:r>
          </w:p>
        </w:tc>
        <w:tc>
          <w:tcPr>
            <w:tcW w:w="1885"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0.01</w:t>
            </w:r>
          </w:p>
        </w:tc>
      </w:tr>
      <w:tr w:rsidR="00B52DD2" w:rsidRPr="00FC40B8" w:rsidTr="00150C36">
        <w:tc>
          <w:tcPr>
            <w:tcW w:w="5400" w:type="dxa"/>
          </w:tcPr>
          <w:p w:rsidR="00B52DD2" w:rsidRPr="00FC40B8" w:rsidRDefault="00B52DD2" w:rsidP="00150C36">
            <w:pPr>
              <w:rPr>
                <w:rFonts w:ascii="Times New Roman" w:hAnsi="Times New Roman" w:cs="Times New Roman"/>
                <w:sz w:val="22"/>
                <w:szCs w:val="22"/>
              </w:rPr>
            </w:pPr>
            <w:r w:rsidRPr="00FC40B8">
              <w:rPr>
                <w:rFonts w:ascii="Times New Roman" w:hAnsi="Times New Roman" w:cs="Times New Roman"/>
                <w:sz w:val="22"/>
                <w:szCs w:val="22"/>
              </w:rPr>
              <w:t>Support for Interim Storage</w:t>
            </w:r>
          </w:p>
        </w:tc>
        <w:tc>
          <w:tcPr>
            <w:tcW w:w="2340"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0.55</w:t>
            </w:r>
          </w:p>
        </w:tc>
        <w:tc>
          <w:tcPr>
            <w:tcW w:w="1885"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0.03</w:t>
            </w:r>
          </w:p>
        </w:tc>
      </w:tr>
      <w:tr w:rsidR="00B52DD2" w:rsidRPr="00FC40B8" w:rsidTr="00150C36">
        <w:tc>
          <w:tcPr>
            <w:tcW w:w="5400" w:type="dxa"/>
          </w:tcPr>
          <w:p w:rsidR="00B52DD2" w:rsidRPr="00FC40B8" w:rsidRDefault="00B52DD2" w:rsidP="00150C36">
            <w:pPr>
              <w:rPr>
                <w:rFonts w:ascii="Times New Roman" w:hAnsi="Times New Roman" w:cs="Times New Roman"/>
                <w:sz w:val="22"/>
                <w:szCs w:val="22"/>
              </w:rPr>
            </w:pPr>
            <w:r w:rsidRPr="00FC40B8">
              <w:rPr>
                <w:rFonts w:ascii="Times New Roman" w:hAnsi="Times New Roman" w:cs="Times New Roman"/>
                <w:sz w:val="22"/>
                <w:szCs w:val="22"/>
              </w:rPr>
              <w:t>Support for Deep Geologic Storage</w:t>
            </w:r>
          </w:p>
        </w:tc>
        <w:tc>
          <w:tcPr>
            <w:tcW w:w="2340"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0.04</w:t>
            </w:r>
          </w:p>
        </w:tc>
        <w:tc>
          <w:tcPr>
            <w:tcW w:w="1885" w:type="dxa"/>
          </w:tcPr>
          <w:p w:rsidR="00B52DD2" w:rsidRPr="00FC40B8" w:rsidRDefault="00B52DD2" w:rsidP="00150C36">
            <w:pPr>
              <w:jc w:val="center"/>
              <w:rPr>
                <w:rFonts w:ascii="Times New Roman" w:hAnsi="Times New Roman" w:cs="Times New Roman"/>
                <w:sz w:val="22"/>
                <w:szCs w:val="22"/>
              </w:rPr>
            </w:pPr>
            <w:r w:rsidRPr="00FC40B8">
              <w:rPr>
                <w:rFonts w:ascii="Times New Roman" w:hAnsi="Times New Roman" w:cs="Times New Roman"/>
                <w:sz w:val="22"/>
                <w:szCs w:val="22"/>
              </w:rPr>
              <w:t>NA</w:t>
            </w:r>
          </w:p>
        </w:tc>
      </w:tr>
    </w:tbl>
    <w:p w:rsidR="00B52DD2" w:rsidRDefault="00B52DD2" w:rsidP="00B52DD2">
      <w:pPr>
        <w:jc w:val="both"/>
        <w:rPr>
          <w:rFonts w:ascii="Times New Roman" w:hAnsi="Times New Roman" w:cs="Times New Roman"/>
          <w:sz w:val="20"/>
          <w:szCs w:val="20"/>
        </w:rPr>
      </w:pPr>
      <w:r w:rsidRPr="00FC40B8">
        <w:rPr>
          <w:rFonts w:ascii="Times New Roman" w:hAnsi="Times New Roman" w:cs="Times New Roman"/>
          <w:sz w:val="20"/>
          <w:szCs w:val="20"/>
        </w:rPr>
        <w:t>Note: series are considered non-stationary if the p-value for the ADCF test is more than 0.05. In those instances series were differenced to reduce seasonal volatility. After differencing (when necessary) stationarity was checked again by running the ADCF test for a second time.</w:t>
      </w:r>
    </w:p>
    <w:p w:rsidR="00B52DD2" w:rsidRPr="006E1608" w:rsidRDefault="00B52DD2" w:rsidP="00B52DD2">
      <w:pPr>
        <w:jc w:val="both"/>
        <w:rPr>
          <w:rFonts w:ascii="Times New Roman" w:hAnsi="Times New Roman" w:cs="Times New Roman"/>
          <w:sz w:val="20"/>
          <w:szCs w:val="20"/>
        </w:rPr>
      </w:pPr>
      <w:r>
        <w:rPr>
          <w:rFonts w:ascii="Times New Roman" w:hAnsi="Times New Roman" w:cs="Times New Roman"/>
          <w:sz w:val="20"/>
          <w:szCs w:val="20"/>
        </w:rPr>
        <w:br w:type="page"/>
      </w:r>
      <w:r w:rsidRPr="006E1608">
        <w:rPr>
          <w:rFonts w:ascii="Times New Roman" w:hAnsi="Times New Roman" w:cs="Times New Roman"/>
          <w:b/>
          <w:bCs/>
        </w:rPr>
        <w:lastRenderedPageBreak/>
        <w:t>Table 3-C1:</w:t>
      </w:r>
      <w:r w:rsidRPr="009164F0">
        <w:rPr>
          <w:rFonts w:ascii="Times New Roman" w:hAnsi="Times New Roman" w:cs="Times New Roman"/>
        </w:rPr>
        <w:t xml:space="preserve"> Correlations by lag between Series of Risk and Benefit Perceptions and SNF Preferences </w:t>
      </w:r>
    </w:p>
    <w:tbl>
      <w:tblPr>
        <w:tblStyle w:val="TableGrid"/>
        <w:tblW w:w="9598" w:type="dxa"/>
        <w:tblInd w:w="-4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0"/>
        <w:gridCol w:w="735"/>
        <w:gridCol w:w="734"/>
        <w:gridCol w:w="734"/>
        <w:gridCol w:w="734"/>
        <w:gridCol w:w="735"/>
        <w:gridCol w:w="735"/>
        <w:gridCol w:w="734"/>
        <w:gridCol w:w="735"/>
        <w:gridCol w:w="734"/>
        <w:gridCol w:w="734"/>
        <w:gridCol w:w="734"/>
      </w:tblGrid>
      <w:tr w:rsidR="00B52DD2" w:rsidRPr="00A23D8C" w:rsidTr="00150C36">
        <w:trPr>
          <w:trHeight w:val="296"/>
        </w:trPr>
        <w:tc>
          <w:tcPr>
            <w:tcW w:w="1520" w:type="dxa"/>
            <w:tcBorders>
              <w:top w:val="single" w:sz="12" w:space="0" w:color="auto"/>
              <w:bottom w:val="single" w:sz="12" w:space="0" w:color="auto"/>
            </w:tcBorders>
          </w:tcPr>
          <w:p w:rsidR="00B52DD2" w:rsidRPr="00A23D8C" w:rsidRDefault="00B52DD2" w:rsidP="00150C36">
            <w:pPr>
              <w:spacing w:line="276" w:lineRule="auto"/>
              <w:jc w:val="right"/>
              <w:rPr>
                <w:rFonts w:ascii="Times New Roman" w:hAnsi="Times New Roman" w:cs="Times New Roman"/>
                <w:sz w:val="22"/>
                <w:szCs w:val="22"/>
              </w:rPr>
            </w:pPr>
            <w:r w:rsidRPr="00A23D8C">
              <w:rPr>
                <w:rFonts w:ascii="Times New Roman" w:hAnsi="Times New Roman" w:cs="Times New Roman"/>
                <w:sz w:val="22"/>
                <w:szCs w:val="22"/>
              </w:rPr>
              <w:t>Lags</w:t>
            </w:r>
          </w:p>
        </w:tc>
        <w:tc>
          <w:tcPr>
            <w:tcW w:w="735" w:type="dxa"/>
            <w:tcBorders>
              <w:top w:val="single" w:sz="12" w:space="0" w:color="auto"/>
              <w:bottom w:val="single" w:sz="12" w:space="0" w:color="auto"/>
            </w:tcBorders>
          </w:tcPr>
          <w:p w:rsidR="00B52DD2" w:rsidRPr="00A23D8C" w:rsidRDefault="00B52DD2" w:rsidP="00150C36">
            <w:pPr>
              <w:spacing w:line="276" w:lineRule="auto"/>
              <w:jc w:val="center"/>
              <w:rPr>
                <w:rFonts w:ascii="Times New Roman" w:hAnsi="Times New Roman" w:cs="Times New Roman"/>
                <w:sz w:val="22"/>
                <w:szCs w:val="22"/>
              </w:rPr>
            </w:pPr>
            <w:r w:rsidRPr="00A23D8C">
              <w:rPr>
                <w:rFonts w:ascii="Times New Roman" w:hAnsi="Times New Roman" w:cs="Times New Roman"/>
                <w:sz w:val="22"/>
                <w:szCs w:val="22"/>
              </w:rPr>
              <w:t>-5</w:t>
            </w:r>
          </w:p>
        </w:tc>
        <w:tc>
          <w:tcPr>
            <w:tcW w:w="734" w:type="dxa"/>
            <w:tcBorders>
              <w:top w:val="single" w:sz="12" w:space="0" w:color="auto"/>
              <w:bottom w:val="single" w:sz="12" w:space="0" w:color="auto"/>
            </w:tcBorders>
          </w:tcPr>
          <w:p w:rsidR="00B52DD2" w:rsidRPr="00A23D8C" w:rsidRDefault="00B52DD2" w:rsidP="00150C36">
            <w:pPr>
              <w:spacing w:line="276" w:lineRule="auto"/>
              <w:jc w:val="center"/>
              <w:rPr>
                <w:rFonts w:ascii="Times New Roman" w:hAnsi="Times New Roman" w:cs="Times New Roman"/>
                <w:sz w:val="22"/>
                <w:szCs w:val="22"/>
              </w:rPr>
            </w:pPr>
            <w:r w:rsidRPr="00A23D8C">
              <w:rPr>
                <w:rFonts w:ascii="Times New Roman" w:hAnsi="Times New Roman" w:cs="Times New Roman"/>
                <w:sz w:val="22"/>
                <w:szCs w:val="22"/>
              </w:rPr>
              <w:t>-4</w:t>
            </w:r>
          </w:p>
        </w:tc>
        <w:tc>
          <w:tcPr>
            <w:tcW w:w="734" w:type="dxa"/>
            <w:tcBorders>
              <w:top w:val="single" w:sz="12" w:space="0" w:color="auto"/>
              <w:bottom w:val="single" w:sz="12" w:space="0" w:color="auto"/>
            </w:tcBorders>
          </w:tcPr>
          <w:p w:rsidR="00B52DD2" w:rsidRPr="00A23D8C" w:rsidRDefault="00B52DD2" w:rsidP="00150C36">
            <w:pPr>
              <w:spacing w:line="276" w:lineRule="auto"/>
              <w:jc w:val="center"/>
              <w:rPr>
                <w:rFonts w:ascii="Times New Roman" w:hAnsi="Times New Roman" w:cs="Times New Roman"/>
                <w:sz w:val="22"/>
                <w:szCs w:val="22"/>
              </w:rPr>
            </w:pPr>
            <w:r w:rsidRPr="00A23D8C">
              <w:rPr>
                <w:rFonts w:ascii="Times New Roman" w:hAnsi="Times New Roman" w:cs="Times New Roman"/>
                <w:sz w:val="22"/>
                <w:szCs w:val="22"/>
              </w:rPr>
              <w:t>-3</w:t>
            </w:r>
          </w:p>
        </w:tc>
        <w:tc>
          <w:tcPr>
            <w:tcW w:w="734" w:type="dxa"/>
            <w:tcBorders>
              <w:top w:val="single" w:sz="12" w:space="0" w:color="auto"/>
              <w:bottom w:val="single" w:sz="12" w:space="0" w:color="auto"/>
            </w:tcBorders>
          </w:tcPr>
          <w:p w:rsidR="00B52DD2" w:rsidRPr="00A23D8C" w:rsidRDefault="00B52DD2" w:rsidP="00150C36">
            <w:pPr>
              <w:spacing w:line="276" w:lineRule="auto"/>
              <w:jc w:val="center"/>
              <w:rPr>
                <w:rFonts w:ascii="Times New Roman" w:hAnsi="Times New Roman" w:cs="Times New Roman"/>
                <w:sz w:val="22"/>
                <w:szCs w:val="22"/>
              </w:rPr>
            </w:pPr>
            <w:r w:rsidRPr="00A23D8C">
              <w:rPr>
                <w:rFonts w:ascii="Times New Roman" w:hAnsi="Times New Roman" w:cs="Times New Roman"/>
                <w:sz w:val="22"/>
                <w:szCs w:val="22"/>
              </w:rPr>
              <w:t>-2</w:t>
            </w:r>
          </w:p>
        </w:tc>
        <w:tc>
          <w:tcPr>
            <w:tcW w:w="735" w:type="dxa"/>
            <w:tcBorders>
              <w:top w:val="single" w:sz="12" w:space="0" w:color="auto"/>
              <w:bottom w:val="single" w:sz="12" w:space="0" w:color="auto"/>
            </w:tcBorders>
          </w:tcPr>
          <w:p w:rsidR="00B52DD2" w:rsidRPr="00A23D8C" w:rsidRDefault="00B52DD2" w:rsidP="00150C36">
            <w:pPr>
              <w:spacing w:line="276" w:lineRule="auto"/>
              <w:jc w:val="center"/>
              <w:rPr>
                <w:rFonts w:ascii="Times New Roman" w:hAnsi="Times New Roman" w:cs="Times New Roman"/>
                <w:sz w:val="22"/>
                <w:szCs w:val="22"/>
              </w:rPr>
            </w:pPr>
            <w:r w:rsidRPr="00A23D8C">
              <w:rPr>
                <w:rFonts w:ascii="Times New Roman" w:hAnsi="Times New Roman" w:cs="Times New Roman"/>
                <w:sz w:val="22"/>
                <w:szCs w:val="22"/>
              </w:rPr>
              <w:t>-1</w:t>
            </w:r>
          </w:p>
        </w:tc>
        <w:tc>
          <w:tcPr>
            <w:tcW w:w="735" w:type="dxa"/>
            <w:tcBorders>
              <w:top w:val="single" w:sz="12" w:space="0" w:color="auto"/>
              <w:bottom w:val="single" w:sz="12" w:space="0" w:color="auto"/>
            </w:tcBorders>
          </w:tcPr>
          <w:p w:rsidR="00B52DD2" w:rsidRPr="00A23D8C" w:rsidRDefault="00B52DD2" w:rsidP="00150C36">
            <w:pPr>
              <w:spacing w:line="276" w:lineRule="auto"/>
              <w:jc w:val="center"/>
              <w:rPr>
                <w:rFonts w:ascii="Times New Roman" w:hAnsi="Times New Roman" w:cs="Times New Roman"/>
                <w:sz w:val="22"/>
                <w:szCs w:val="22"/>
              </w:rPr>
            </w:pPr>
            <w:r w:rsidRPr="00A23D8C">
              <w:rPr>
                <w:rFonts w:ascii="Times New Roman" w:hAnsi="Times New Roman" w:cs="Times New Roman"/>
                <w:sz w:val="22"/>
                <w:szCs w:val="22"/>
              </w:rPr>
              <w:t>0</w:t>
            </w:r>
          </w:p>
        </w:tc>
        <w:tc>
          <w:tcPr>
            <w:tcW w:w="734" w:type="dxa"/>
            <w:tcBorders>
              <w:top w:val="single" w:sz="12" w:space="0" w:color="auto"/>
              <w:bottom w:val="single" w:sz="12" w:space="0" w:color="auto"/>
            </w:tcBorders>
          </w:tcPr>
          <w:p w:rsidR="00B52DD2" w:rsidRPr="00A23D8C" w:rsidRDefault="00B52DD2" w:rsidP="00150C36">
            <w:pPr>
              <w:spacing w:line="276" w:lineRule="auto"/>
              <w:jc w:val="center"/>
              <w:rPr>
                <w:rFonts w:ascii="Times New Roman" w:hAnsi="Times New Roman" w:cs="Times New Roman"/>
                <w:sz w:val="22"/>
                <w:szCs w:val="22"/>
              </w:rPr>
            </w:pPr>
            <w:r w:rsidRPr="00A23D8C">
              <w:rPr>
                <w:rFonts w:ascii="Times New Roman" w:hAnsi="Times New Roman" w:cs="Times New Roman"/>
                <w:sz w:val="22"/>
                <w:szCs w:val="22"/>
              </w:rPr>
              <w:t>1</w:t>
            </w:r>
          </w:p>
        </w:tc>
        <w:tc>
          <w:tcPr>
            <w:tcW w:w="735" w:type="dxa"/>
            <w:tcBorders>
              <w:top w:val="single" w:sz="12" w:space="0" w:color="auto"/>
              <w:bottom w:val="single" w:sz="12" w:space="0" w:color="auto"/>
            </w:tcBorders>
          </w:tcPr>
          <w:p w:rsidR="00B52DD2" w:rsidRPr="00A23D8C" w:rsidRDefault="00B52DD2" w:rsidP="00150C36">
            <w:pPr>
              <w:spacing w:line="276" w:lineRule="auto"/>
              <w:jc w:val="center"/>
              <w:rPr>
                <w:rFonts w:ascii="Times New Roman" w:hAnsi="Times New Roman" w:cs="Times New Roman"/>
                <w:sz w:val="22"/>
                <w:szCs w:val="22"/>
              </w:rPr>
            </w:pPr>
            <w:r w:rsidRPr="00A23D8C">
              <w:rPr>
                <w:rFonts w:ascii="Times New Roman" w:hAnsi="Times New Roman" w:cs="Times New Roman"/>
                <w:sz w:val="22"/>
                <w:szCs w:val="22"/>
              </w:rPr>
              <w:t>2</w:t>
            </w:r>
          </w:p>
        </w:tc>
        <w:tc>
          <w:tcPr>
            <w:tcW w:w="734" w:type="dxa"/>
            <w:tcBorders>
              <w:top w:val="single" w:sz="12" w:space="0" w:color="auto"/>
              <w:bottom w:val="single" w:sz="12" w:space="0" w:color="auto"/>
            </w:tcBorders>
          </w:tcPr>
          <w:p w:rsidR="00B52DD2" w:rsidRPr="00A23D8C" w:rsidRDefault="00B52DD2" w:rsidP="00150C36">
            <w:pPr>
              <w:spacing w:line="276" w:lineRule="auto"/>
              <w:jc w:val="center"/>
              <w:rPr>
                <w:rFonts w:ascii="Times New Roman" w:hAnsi="Times New Roman" w:cs="Times New Roman"/>
                <w:sz w:val="22"/>
                <w:szCs w:val="22"/>
              </w:rPr>
            </w:pPr>
            <w:r w:rsidRPr="00A23D8C">
              <w:rPr>
                <w:rFonts w:ascii="Times New Roman" w:hAnsi="Times New Roman" w:cs="Times New Roman"/>
                <w:sz w:val="22"/>
                <w:szCs w:val="22"/>
              </w:rPr>
              <w:t>3</w:t>
            </w:r>
          </w:p>
        </w:tc>
        <w:tc>
          <w:tcPr>
            <w:tcW w:w="734" w:type="dxa"/>
            <w:tcBorders>
              <w:top w:val="single" w:sz="12" w:space="0" w:color="auto"/>
              <w:bottom w:val="single" w:sz="12" w:space="0" w:color="auto"/>
            </w:tcBorders>
          </w:tcPr>
          <w:p w:rsidR="00B52DD2" w:rsidRPr="00A23D8C" w:rsidRDefault="00B52DD2" w:rsidP="00150C36">
            <w:pPr>
              <w:spacing w:line="276" w:lineRule="auto"/>
              <w:jc w:val="center"/>
              <w:rPr>
                <w:rFonts w:ascii="Times New Roman" w:hAnsi="Times New Roman" w:cs="Times New Roman"/>
                <w:sz w:val="22"/>
                <w:szCs w:val="22"/>
              </w:rPr>
            </w:pPr>
            <w:r w:rsidRPr="00A23D8C">
              <w:rPr>
                <w:rFonts w:ascii="Times New Roman" w:hAnsi="Times New Roman" w:cs="Times New Roman"/>
                <w:sz w:val="22"/>
                <w:szCs w:val="22"/>
              </w:rPr>
              <w:t>4</w:t>
            </w:r>
          </w:p>
        </w:tc>
        <w:tc>
          <w:tcPr>
            <w:tcW w:w="734" w:type="dxa"/>
            <w:tcBorders>
              <w:top w:val="single" w:sz="12" w:space="0" w:color="auto"/>
              <w:bottom w:val="single" w:sz="12" w:space="0" w:color="auto"/>
            </w:tcBorders>
          </w:tcPr>
          <w:p w:rsidR="00B52DD2" w:rsidRPr="00A23D8C" w:rsidRDefault="00B52DD2" w:rsidP="00150C36">
            <w:pPr>
              <w:spacing w:line="276" w:lineRule="auto"/>
              <w:jc w:val="center"/>
              <w:rPr>
                <w:rFonts w:ascii="Times New Roman" w:hAnsi="Times New Roman" w:cs="Times New Roman"/>
                <w:sz w:val="22"/>
                <w:szCs w:val="22"/>
              </w:rPr>
            </w:pPr>
            <w:r w:rsidRPr="00A23D8C">
              <w:rPr>
                <w:rFonts w:ascii="Times New Roman" w:hAnsi="Times New Roman" w:cs="Times New Roman"/>
                <w:sz w:val="22"/>
                <w:szCs w:val="22"/>
              </w:rPr>
              <w:t>5</w:t>
            </w:r>
          </w:p>
        </w:tc>
      </w:tr>
      <w:tr w:rsidR="00B52DD2" w:rsidRPr="004970DA" w:rsidTr="00150C36">
        <w:trPr>
          <w:trHeight w:val="593"/>
        </w:trPr>
        <w:tc>
          <w:tcPr>
            <w:tcW w:w="1520" w:type="dxa"/>
            <w:tcBorders>
              <w:top w:val="single" w:sz="12" w:space="0" w:color="auto"/>
              <w:bottom w:val="dashSmallGap" w:sz="6" w:space="0" w:color="000000"/>
            </w:tcBorders>
          </w:tcPr>
          <w:p w:rsidR="00B52DD2" w:rsidRPr="004970DA" w:rsidRDefault="00B52DD2" w:rsidP="00150C36">
            <w:pPr>
              <w:spacing w:line="276" w:lineRule="auto"/>
              <w:jc w:val="center"/>
              <w:rPr>
                <w:rFonts w:ascii="Times New Roman" w:hAnsi="Times New Roman" w:cs="Times New Roman"/>
                <w:sz w:val="20"/>
                <w:szCs w:val="20"/>
              </w:rPr>
            </w:pPr>
            <w:r>
              <w:rPr>
                <w:rFonts w:ascii="Times New Roman" w:hAnsi="Times New Roman" w:cs="Times New Roman"/>
                <w:sz w:val="20"/>
                <w:szCs w:val="20"/>
              </w:rPr>
              <w:t xml:space="preserve">Nuclear Waste Transportation </w:t>
            </w:r>
            <w:r w:rsidRPr="00517A1E">
              <w:rPr>
                <w:rFonts w:ascii="Times New Roman" w:hAnsi="Times New Roman" w:cs="Times New Roman"/>
                <w:i/>
                <w:iCs/>
                <w:sz w:val="20"/>
                <w:szCs w:val="20"/>
              </w:rPr>
              <w:t>Risk &amp; Onsite</w:t>
            </w:r>
            <w:r>
              <w:rPr>
                <w:rFonts w:ascii="Times New Roman" w:hAnsi="Times New Roman" w:cs="Times New Roman"/>
                <w:sz w:val="20"/>
                <w:szCs w:val="20"/>
              </w:rPr>
              <w:t xml:space="preserve"> Storage</w:t>
            </w:r>
          </w:p>
        </w:tc>
        <w:tc>
          <w:tcPr>
            <w:tcW w:w="735" w:type="dxa"/>
            <w:tcBorders>
              <w:top w:val="single" w:sz="12" w:space="0" w:color="auto"/>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-0.24</w:t>
            </w:r>
          </w:p>
        </w:tc>
        <w:tc>
          <w:tcPr>
            <w:tcW w:w="734" w:type="dxa"/>
            <w:tcBorders>
              <w:top w:val="single" w:sz="12" w:space="0" w:color="auto"/>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-0.02</w:t>
            </w:r>
          </w:p>
        </w:tc>
        <w:tc>
          <w:tcPr>
            <w:tcW w:w="734" w:type="dxa"/>
            <w:tcBorders>
              <w:top w:val="single" w:sz="12" w:space="0" w:color="auto"/>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-0.19</w:t>
            </w:r>
          </w:p>
        </w:tc>
        <w:tc>
          <w:tcPr>
            <w:tcW w:w="734" w:type="dxa"/>
            <w:tcBorders>
              <w:top w:val="single" w:sz="12" w:space="0" w:color="auto"/>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0.17</w:t>
            </w:r>
          </w:p>
        </w:tc>
        <w:tc>
          <w:tcPr>
            <w:tcW w:w="735" w:type="dxa"/>
            <w:tcBorders>
              <w:top w:val="single" w:sz="12" w:space="0" w:color="auto"/>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0.21</w:t>
            </w:r>
          </w:p>
        </w:tc>
        <w:tc>
          <w:tcPr>
            <w:tcW w:w="735" w:type="dxa"/>
            <w:tcBorders>
              <w:top w:val="single" w:sz="12" w:space="0" w:color="auto"/>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0.39</w:t>
            </w:r>
          </w:p>
        </w:tc>
        <w:tc>
          <w:tcPr>
            <w:tcW w:w="734" w:type="dxa"/>
            <w:tcBorders>
              <w:top w:val="single" w:sz="12" w:space="0" w:color="auto"/>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-0.13</w:t>
            </w:r>
          </w:p>
        </w:tc>
        <w:tc>
          <w:tcPr>
            <w:tcW w:w="735" w:type="dxa"/>
            <w:tcBorders>
              <w:top w:val="single" w:sz="12" w:space="0" w:color="auto"/>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-0.45</w:t>
            </w:r>
          </w:p>
        </w:tc>
        <w:tc>
          <w:tcPr>
            <w:tcW w:w="734" w:type="dxa"/>
            <w:tcBorders>
              <w:top w:val="single" w:sz="12" w:space="0" w:color="auto"/>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0.20</w:t>
            </w:r>
          </w:p>
        </w:tc>
        <w:tc>
          <w:tcPr>
            <w:tcW w:w="734" w:type="dxa"/>
            <w:tcBorders>
              <w:top w:val="single" w:sz="12" w:space="0" w:color="auto"/>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-0.21</w:t>
            </w:r>
          </w:p>
        </w:tc>
        <w:tc>
          <w:tcPr>
            <w:tcW w:w="734" w:type="dxa"/>
            <w:tcBorders>
              <w:top w:val="single" w:sz="12" w:space="0" w:color="auto"/>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0.06</w:t>
            </w:r>
          </w:p>
        </w:tc>
      </w:tr>
      <w:tr w:rsidR="00B52DD2" w:rsidRPr="004970DA" w:rsidTr="00150C36">
        <w:trPr>
          <w:trHeight w:val="296"/>
        </w:trPr>
        <w:tc>
          <w:tcPr>
            <w:tcW w:w="1520" w:type="dxa"/>
            <w:tcBorders>
              <w:top w:val="dashSmallGap" w:sz="6" w:space="0" w:color="000000"/>
              <w:bottom w:val="dashSmallGap" w:sz="6" w:space="0" w:color="000000"/>
            </w:tcBorders>
          </w:tcPr>
          <w:p w:rsidR="00B52DD2" w:rsidRPr="004970DA" w:rsidRDefault="00B52DD2" w:rsidP="00150C36">
            <w:pPr>
              <w:spacing w:line="276" w:lineRule="auto"/>
              <w:jc w:val="center"/>
              <w:rPr>
                <w:rFonts w:ascii="Times New Roman" w:hAnsi="Times New Roman" w:cs="Times New Roman"/>
                <w:sz w:val="20"/>
                <w:szCs w:val="20"/>
              </w:rPr>
            </w:pPr>
            <w:r>
              <w:rPr>
                <w:rFonts w:ascii="Times New Roman" w:hAnsi="Times New Roman" w:cs="Times New Roman"/>
                <w:sz w:val="20"/>
                <w:szCs w:val="20"/>
              </w:rPr>
              <w:t xml:space="preserve">Nuclear Waste Transportation </w:t>
            </w:r>
            <w:r w:rsidRPr="00517A1E">
              <w:rPr>
                <w:rFonts w:ascii="Times New Roman" w:hAnsi="Times New Roman" w:cs="Times New Roman"/>
                <w:i/>
                <w:iCs/>
                <w:sz w:val="20"/>
                <w:szCs w:val="20"/>
              </w:rPr>
              <w:t>Risk &amp; Interim</w:t>
            </w:r>
            <w:r>
              <w:rPr>
                <w:rFonts w:ascii="Times New Roman" w:hAnsi="Times New Roman" w:cs="Times New Roman"/>
                <w:sz w:val="20"/>
                <w:szCs w:val="20"/>
              </w:rPr>
              <w:t xml:space="preserve"> Storage</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0.29</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0.28</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-0.38</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-0.58</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0.04</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0.25</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0.10</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0.18</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0.01</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-0.07</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-0.05</w:t>
            </w:r>
          </w:p>
        </w:tc>
      </w:tr>
      <w:tr w:rsidR="00B52DD2" w:rsidRPr="004970DA" w:rsidTr="00150C36">
        <w:trPr>
          <w:trHeight w:val="310"/>
        </w:trPr>
        <w:tc>
          <w:tcPr>
            <w:tcW w:w="1520" w:type="dxa"/>
            <w:tcBorders>
              <w:top w:val="dashSmallGap" w:sz="6" w:space="0" w:color="000000"/>
              <w:bottom w:val="dashSmallGap" w:sz="6" w:space="0" w:color="000000"/>
            </w:tcBorders>
          </w:tcPr>
          <w:p w:rsidR="00B52DD2" w:rsidRPr="004970DA" w:rsidRDefault="00B52DD2" w:rsidP="00150C36">
            <w:pPr>
              <w:spacing w:line="276" w:lineRule="auto"/>
              <w:jc w:val="center"/>
              <w:rPr>
                <w:rFonts w:ascii="Times New Roman" w:hAnsi="Times New Roman" w:cs="Times New Roman"/>
                <w:sz w:val="20"/>
                <w:szCs w:val="20"/>
              </w:rPr>
            </w:pPr>
            <w:r>
              <w:rPr>
                <w:rFonts w:ascii="Times New Roman" w:hAnsi="Times New Roman" w:cs="Times New Roman"/>
                <w:sz w:val="20"/>
                <w:szCs w:val="20"/>
              </w:rPr>
              <w:t xml:space="preserve">Nuclear Waste Transportation </w:t>
            </w:r>
            <w:r w:rsidRPr="00517A1E">
              <w:rPr>
                <w:rFonts w:ascii="Times New Roman" w:hAnsi="Times New Roman" w:cs="Times New Roman"/>
                <w:i/>
                <w:iCs/>
                <w:sz w:val="20"/>
                <w:szCs w:val="20"/>
              </w:rPr>
              <w:t>Risk &amp; Deep Geologic</w:t>
            </w:r>
            <w:r>
              <w:rPr>
                <w:rFonts w:ascii="Times New Roman" w:hAnsi="Times New Roman" w:cs="Times New Roman"/>
                <w:sz w:val="20"/>
                <w:szCs w:val="20"/>
              </w:rPr>
              <w:t xml:space="preserve"> Storage</w:t>
            </w:r>
          </w:p>
        </w:tc>
        <w:tc>
          <w:tcPr>
            <w:tcW w:w="735" w:type="dxa"/>
            <w:tcBorders>
              <w:top w:val="dashSmallGap" w:sz="6" w:space="0" w:color="000000"/>
              <w:bottom w:val="dashSmallGap" w:sz="6" w:space="0" w:color="000000"/>
            </w:tcBorders>
            <w:vAlign w:val="center"/>
          </w:tcPr>
          <w:p w:rsidR="00B52DD2" w:rsidRPr="00142787" w:rsidRDefault="00B52DD2" w:rsidP="00150C36">
            <w:pPr>
              <w:spacing w:line="276" w:lineRule="auto"/>
              <w:jc w:val="center"/>
              <w:rPr>
                <w:rFonts w:ascii="Times New Roman" w:hAnsi="Times New Roman" w:cs="Times New Roman"/>
                <w:b/>
                <w:bCs/>
                <w:sz w:val="20"/>
                <w:szCs w:val="20"/>
              </w:rPr>
            </w:pPr>
            <w:r w:rsidRPr="00142787">
              <w:rPr>
                <w:rFonts w:ascii="Times New Roman" w:hAnsi="Times New Roman" w:cs="Times New Roman"/>
                <w:b/>
                <w:bCs/>
                <w:sz w:val="20"/>
                <w:szCs w:val="20"/>
              </w:rPr>
              <w:t>-0.69*</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-0.24</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0.44</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-0.34</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0.21</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0.06</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0.02</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0.02</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-0.02</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0.00</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-0.02</w:t>
            </w:r>
          </w:p>
        </w:tc>
      </w:tr>
      <w:tr w:rsidR="00B52DD2" w:rsidRPr="004970DA" w:rsidTr="00150C36">
        <w:trPr>
          <w:trHeight w:val="296"/>
        </w:trPr>
        <w:tc>
          <w:tcPr>
            <w:tcW w:w="1520" w:type="dxa"/>
            <w:tcBorders>
              <w:top w:val="dashSmallGap" w:sz="6" w:space="0" w:color="000000"/>
              <w:bottom w:val="dashSmallGap" w:sz="6" w:space="0" w:color="000000"/>
            </w:tcBorders>
          </w:tcPr>
          <w:p w:rsidR="00B52DD2" w:rsidRPr="004970DA" w:rsidRDefault="00B52DD2" w:rsidP="00150C36">
            <w:pPr>
              <w:spacing w:line="276" w:lineRule="auto"/>
              <w:jc w:val="center"/>
              <w:rPr>
                <w:rFonts w:ascii="Times New Roman" w:hAnsi="Times New Roman" w:cs="Times New Roman"/>
                <w:sz w:val="20"/>
                <w:szCs w:val="20"/>
              </w:rPr>
            </w:pPr>
            <w:r>
              <w:rPr>
                <w:rFonts w:ascii="Times New Roman" w:hAnsi="Times New Roman" w:cs="Times New Roman"/>
                <w:sz w:val="20"/>
                <w:szCs w:val="20"/>
              </w:rPr>
              <w:t xml:space="preserve">Nuclear Energy </w:t>
            </w:r>
            <w:r>
              <w:rPr>
                <w:rFonts w:ascii="Times New Roman" w:hAnsi="Times New Roman" w:cs="Times New Roman"/>
                <w:i/>
                <w:iCs/>
                <w:sz w:val="20"/>
                <w:szCs w:val="20"/>
              </w:rPr>
              <w:t>Benefit of</w:t>
            </w:r>
            <w:r w:rsidRPr="00517A1E">
              <w:rPr>
                <w:rFonts w:ascii="Times New Roman" w:hAnsi="Times New Roman" w:cs="Times New Roman"/>
                <w:i/>
                <w:iCs/>
                <w:sz w:val="20"/>
                <w:szCs w:val="20"/>
              </w:rPr>
              <w:t xml:space="preserve"> </w:t>
            </w:r>
            <w:r>
              <w:rPr>
                <w:rFonts w:ascii="Times New Roman" w:hAnsi="Times New Roman" w:cs="Times New Roman"/>
                <w:i/>
                <w:iCs/>
                <w:sz w:val="20"/>
                <w:szCs w:val="20"/>
              </w:rPr>
              <w:t xml:space="preserve">Reliable Power </w:t>
            </w:r>
            <w:r w:rsidRPr="00517A1E">
              <w:rPr>
                <w:rFonts w:ascii="Times New Roman" w:hAnsi="Times New Roman" w:cs="Times New Roman"/>
                <w:i/>
                <w:iCs/>
                <w:sz w:val="20"/>
                <w:szCs w:val="20"/>
              </w:rPr>
              <w:t>&amp; Onsite</w:t>
            </w:r>
            <w:r>
              <w:rPr>
                <w:rFonts w:ascii="Times New Roman" w:hAnsi="Times New Roman" w:cs="Times New Roman"/>
                <w:sz w:val="20"/>
                <w:szCs w:val="20"/>
              </w:rPr>
              <w:t xml:space="preserve"> Storage</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-0.20</w:t>
            </w:r>
          </w:p>
        </w:tc>
        <w:tc>
          <w:tcPr>
            <w:tcW w:w="734" w:type="dxa"/>
            <w:tcBorders>
              <w:top w:val="dashSmallGap" w:sz="6" w:space="0" w:color="000000"/>
              <w:bottom w:val="dashSmallGap" w:sz="6" w:space="0" w:color="000000"/>
            </w:tcBorders>
            <w:vAlign w:val="center"/>
          </w:tcPr>
          <w:p w:rsidR="00B52DD2" w:rsidRPr="002D5A35" w:rsidRDefault="00B52DD2" w:rsidP="00150C36">
            <w:pPr>
              <w:spacing w:line="276" w:lineRule="auto"/>
              <w:jc w:val="center"/>
              <w:rPr>
                <w:rFonts w:ascii="Times New Roman" w:hAnsi="Times New Roman" w:cs="Times New Roman"/>
                <w:i/>
                <w:iCs/>
                <w:sz w:val="20"/>
                <w:szCs w:val="20"/>
              </w:rPr>
            </w:pPr>
            <w:r w:rsidRPr="002D5A35">
              <w:rPr>
                <w:rFonts w:ascii="Times New Roman" w:hAnsi="Times New Roman" w:cs="Times New Roman"/>
                <w:i/>
                <w:iCs/>
                <w:sz w:val="20"/>
                <w:szCs w:val="20"/>
              </w:rPr>
              <w:t>-0.089</w:t>
            </w:r>
          </w:p>
        </w:tc>
        <w:tc>
          <w:tcPr>
            <w:tcW w:w="734" w:type="dxa"/>
            <w:tcBorders>
              <w:top w:val="dashSmallGap" w:sz="6" w:space="0" w:color="000000"/>
              <w:bottom w:val="dashSmallGap" w:sz="6" w:space="0" w:color="000000"/>
            </w:tcBorders>
            <w:vAlign w:val="center"/>
          </w:tcPr>
          <w:p w:rsidR="00B52DD2" w:rsidRPr="002D5A35" w:rsidRDefault="00B52DD2" w:rsidP="00150C36">
            <w:pPr>
              <w:spacing w:line="276" w:lineRule="auto"/>
              <w:jc w:val="center"/>
              <w:rPr>
                <w:rFonts w:ascii="Times New Roman" w:hAnsi="Times New Roman" w:cs="Times New Roman"/>
                <w:sz w:val="20"/>
                <w:szCs w:val="20"/>
              </w:rPr>
            </w:pPr>
            <w:r w:rsidRPr="002D5A35">
              <w:rPr>
                <w:rFonts w:ascii="Times New Roman" w:hAnsi="Times New Roman" w:cs="Times New Roman"/>
                <w:sz w:val="20"/>
                <w:szCs w:val="20"/>
              </w:rPr>
              <w:t>-0.27</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-0.06</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0.07</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0.45</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0.25</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0.19</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0.30</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-0.31</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-0.38</w:t>
            </w:r>
          </w:p>
        </w:tc>
      </w:tr>
      <w:tr w:rsidR="00B52DD2" w:rsidRPr="004970DA" w:rsidTr="00150C36">
        <w:trPr>
          <w:trHeight w:val="296"/>
        </w:trPr>
        <w:tc>
          <w:tcPr>
            <w:tcW w:w="1520" w:type="dxa"/>
            <w:tcBorders>
              <w:top w:val="dashSmallGap" w:sz="6" w:space="0" w:color="000000"/>
              <w:bottom w:val="dashSmallGap" w:sz="6" w:space="0" w:color="000000"/>
            </w:tcBorders>
          </w:tcPr>
          <w:p w:rsidR="00B52DD2" w:rsidRPr="004970DA" w:rsidRDefault="00B52DD2" w:rsidP="00150C36">
            <w:pPr>
              <w:spacing w:line="276" w:lineRule="auto"/>
              <w:jc w:val="center"/>
              <w:rPr>
                <w:rFonts w:ascii="Times New Roman" w:hAnsi="Times New Roman" w:cs="Times New Roman"/>
                <w:sz w:val="20"/>
                <w:szCs w:val="20"/>
              </w:rPr>
            </w:pPr>
            <w:r>
              <w:rPr>
                <w:rFonts w:ascii="Times New Roman" w:hAnsi="Times New Roman" w:cs="Times New Roman"/>
                <w:sz w:val="20"/>
                <w:szCs w:val="20"/>
              </w:rPr>
              <w:t xml:space="preserve">Nuclear Energy </w:t>
            </w:r>
            <w:r>
              <w:rPr>
                <w:rFonts w:ascii="Times New Roman" w:hAnsi="Times New Roman" w:cs="Times New Roman"/>
                <w:i/>
                <w:iCs/>
                <w:sz w:val="20"/>
                <w:szCs w:val="20"/>
              </w:rPr>
              <w:t>Benefit of</w:t>
            </w:r>
            <w:r w:rsidRPr="00517A1E">
              <w:rPr>
                <w:rFonts w:ascii="Times New Roman" w:hAnsi="Times New Roman" w:cs="Times New Roman"/>
                <w:i/>
                <w:iCs/>
                <w:sz w:val="20"/>
                <w:szCs w:val="20"/>
              </w:rPr>
              <w:t xml:space="preserve"> </w:t>
            </w:r>
            <w:r>
              <w:rPr>
                <w:rFonts w:ascii="Times New Roman" w:hAnsi="Times New Roman" w:cs="Times New Roman"/>
                <w:i/>
                <w:iCs/>
                <w:sz w:val="20"/>
                <w:szCs w:val="20"/>
              </w:rPr>
              <w:t xml:space="preserve">Reliable Power </w:t>
            </w:r>
            <w:r w:rsidRPr="00517A1E">
              <w:rPr>
                <w:rFonts w:ascii="Times New Roman" w:hAnsi="Times New Roman" w:cs="Times New Roman"/>
                <w:i/>
                <w:iCs/>
                <w:sz w:val="20"/>
                <w:szCs w:val="20"/>
              </w:rPr>
              <w:t xml:space="preserve">&amp; </w:t>
            </w:r>
            <w:r>
              <w:rPr>
                <w:rFonts w:ascii="Times New Roman" w:hAnsi="Times New Roman" w:cs="Times New Roman"/>
                <w:i/>
                <w:iCs/>
                <w:sz w:val="20"/>
                <w:szCs w:val="20"/>
              </w:rPr>
              <w:t>Interim</w:t>
            </w:r>
            <w:r>
              <w:rPr>
                <w:rFonts w:ascii="Times New Roman" w:hAnsi="Times New Roman" w:cs="Times New Roman"/>
                <w:sz w:val="20"/>
                <w:szCs w:val="20"/>
              </w:rPr>
              <w:t xml:space="preserve"> Storage</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0.24</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0.23</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-0.05</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-0.06</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-0.01</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-0.53</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-0.46</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0.24</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0.36</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0.11</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-0.00</w:t>
            </w:r>
          </w:p>
        </w:tc>
      </w:tr>
      <w:tr w:rsidR="00B52DD2" w:rsidRPr="004970DA" w:rsidTr="00150C36">
        <w:trPr>
          <w:trHeight w:val="296"/>
        </w:trPr>
        <w:tc>
          <w:tcPr>
            <w:tcW w:w="1520" w:type="dxa"/>
            <w:tcBorders>
              <w:top w:val="dashSmallGap" w:sz="6" w:space="0" w:color="000000"/>
              <w:bottom w:val="dashSmallGap" w:sz="6" w:space="0" w:color="000000"/>
            </w:tcBorders>
          </w:tcPr>
          <w:p w:rsidR="00B52DD2" w:rsidRPr="004970DA" w:rsidRDefault="00B52DD2" w:rsidP="00150C36">
            <w:pPr>
              <w:spacing w:line="276" w:lineRule="auto"/>
              <w:jc w:val="center"/>
              <w:rPr>
                <w:rFonts w:ascii="Times New Roman" w:hAnsi="Times New Roman" w:cs="Times New Roman"/>
                <w:sz w:val="20"/>
                <w:szCs w:val="20"/>
              </w:rPr>
            </w:pPr>
            <w:r>
              <w:rPr>
                <w:rFonts w:ascii="Times New Roman" w:hAnsi="Times New Roman" w:cs="Times New Roman"/>
                <w:sz w:val="20"/>
                <w:szCs w:val="20"/>
              </w:rPr>
              <w:t xml:space="preserve">Nuclear Energy </w:t>
            </w:r>
            <w:r>
              <w:rPr>
                <w:rFonts w:ascii="Times New Roman" w:hAnsi="Times New Roman" w:cs="Times New Roman"/>
                <w:i/>
                <w:iCs/>
                <w:sz w:val="20"/>
                <w:szCs w:val="20"/>
              </w:rPr>
              <w:t>Benefit of</w:t>
            </w:r>
            <w:r w:rsidRPr="00517A1E">
              <w:rPr>
                <w:rFonts w:ascii="Times New Roman" w:hAnsi="Times New Roman" w:cs="Times New Roman"/>
                <w:i/>
                <w:iCs/>
                <w:sz w:val="20"/>
                <w:szCs w:val="20"/>
              </w:rPr>
              <w:t xml:space="preserve"> </w:t>
            </w:r>
            <w:r>
              <w:rPr>
                <w:rFonts w:ascii="Times New Roman" w:hAnsi="Times New Roman" w:cs="Times New Roman"/>
                <w:i/>
                <w:iCs/>
                <w:sz w:val="20"/>
                <w:szCs w:val="20"/>
              </w:rPr>
              <w:t xml:space="preserve">Reliable Power </w:t>
            </w:r>
            <w:r w:rsidRPr="00517A1E">
              <w:rPr>
                <w:rFonts w:ascii="Times New Roman" w:hAnsi="Times New Roman" w:cs="Times New Roman"/>
                <w:i/>
                <w:iCs/>
                <w:sz w:val="20"/>
                <w:szCs w:val="20"/>
              </w:rPr>
              <w:t xml:space="preserve">&amp; </w:t>
            </w:r>
            <w:r>
              <w:rPr>
                <w:rFonts w:ascii="Times New Roman" w:hAnsi="Times New Roman" w:cs="Times New Roman"/>
                <w:i/>
                <w:iCs/>
                <w:sz w:val="20"/>
                <w:szCs w:val="20"/>
              </w:rPr>
              <w:t>Deep Geologic</w:t>
            </w:r>
            <w:r>
              <w:rPr>
                <w:rFonts w:ascii="Times New Roman" w:hAnsi="Times New Roman" w:cs="Times New Roman"/>
                <w:sz w:val="20"/>
                <w:szCs w:val="20"/>
              </w:rPr>
              <w:t xml:space="preserve"> Storage</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-0.51</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0.22</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0.13</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-0.70</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-0.08</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0.18</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-0.00</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0.06</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0.03</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0.05</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0.06</w:t>
            </w:r>
          </w:p>
        </w:tc>
      </w:tr>
      <w:tr w:rsidR="00B52DD2" w:rsidRPr="004970DA" w:rsidTr="00150C36">
        <w:trPr>
          <w:trHeight w:val="281"/>
        </w:trPr>
        <w:tc>
          <w:tcPr>
            <w:tcW w:w="1520" w:type="dxa"/>
            <w:tcBorders>
              <w:top w:val="dashSmallGap" w:sz="6" w:space="0" w:color="000000"/>
              <w:bottom w:val="dashSmallGap" w:sz="6" w:space="0" w:color="000000"/>
            </w:tcBorders>
          </w:tcPr>
          <w:p w:rsidR="00B52DD2" w:rsidRPr="004970DA" w:rsidRDefault="00B52DD2" w:rsidP="00150C36">
            <w:pPr>
              <w:spacing w:line="276" w:lineRule="auto"/>
              <w:jc w:val="center"/>
              <w:rPr>
                <w:rFonts w:ascii="Times New Roman" w:hAnsi="Times New Roman" w:cs="Times New Roman"/>
                <w:sz w:val="20"/>
                <w:szCs w:val="20"/>
              </w:rPr>
            </w:pPr>
            <w:r>
              <w:rPr>
                <w:rFonts w:ascii="Times New Roman" w:hAnsi="Times New Roman" w:cs="Times New Roman"/>
                <w:i/>
                <w:iCs/>
                <w:sz w:val="20"/>
                <w:szCs w:val="20"/>
              </w:rPr>
              <w:t>Benefit of</w:t>
            </w:r>
            <w:r w:rsidRPr="00517A1E">
              <w:rPr>
                <w:rFonts w:ascii="Times New Roman" w:hAnsi="Times New Roman" w:cs="Times New Roman"/>
                <w:i/>
                <w:iCs/>
                <w:sz w:val="20"/>
                <w:szCs w:val="20"/>
              </w:rPr>
              <w:t xml:space="preserve"> </w:t>
            </w:r>
            <w:r w:rsidRPr="00F04963">
              <w:rPr>
                <w:rFonts w:ascii="Times New Roman" w:hAnsi="Times New Roman" w:cs="Times New Roman"/>
                <w:sz w:val="20"/>
                <w:szCs w:val="20"/>
              </w:rPr>
              <w:t>Energy Independence</w:t>
            </w:r>
            <w:r>
              <w:rPr>
                <w:rFonts w:ascii="Times New Roman" w:hAnsi="Times New Roman" w:cs="Times New Roman"/>
                <w:i/>
                <w:iCs/>
                <w:sz w:val="20"/>
                <w:szCs w:val="20"/>
              </w:rPr>
              <w:t xml:space="preserve"> </w:t>
            </w:r>
            <w:r w:rsidRPr="00517A1E">
              <w:rPr>
                <w:rFonts w:ascii="Times New Roman" w:hAnsi="Times New Roman" w:cs="Times New Roman"/>
                <w:i/>
                <w:iCs/>
                <w:sz w:val="20"/>
                <w:szCs w:val="20"/>
              </w:rPr>
              <w:t>&amp; Onsite</w:t>
            </w:r>
            <w:r>
              <w:rPr>
                <w:rFonts w:ascii="Times New Roman" w:hAnsi="Times New Roman" w:cs="Times New Roman"/>
                <w:sz w:val="20"/>
                <w:szCs w:val="20"/>
              </w:rPr>
              <w:t xml:space="preserve"> Storage</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-0.07</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0.23</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-0.00</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0.09</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-0.12</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0.01</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-0.14</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-0.02</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0.07</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-0.37</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-0.17</w:t>
            </w:r>
          </w:p>
        </w:tc>
      </w:tr>
      <w:tr w:rsidR="00B52DD2" w:rsidRPr="004970DA" w:rsidTr="00150C36">
        <w:trPr>
          <w:trHeight w:val="281"/>
        </w:trPr>
        <w:tc>
          <w:tcPr>
            <w:tcW w:w="1520" w:type="dxa"/>
            <w:tcBorders>
              <w:top w:val="dashSmallGap" w:sz="6" w:space="0" w:color="000000"/>
              <w:bottom w:val="dashSmallGap" w:sz="6" w:space="0" w:color="000000"/>
            </w:tcBorders>
          </w:tcPr>
          <w:p w:rsidR="00B52DD2" w:rsidRPr="004970DA" w:rsidRDefault="00B52DD2" w:rsidP="00150C36">
            <w:pPr>
              <w:spacing w:line="276" w:lineRule="auto"/>
              <w:jc w:val="center"/>
              <w:rPr>
                <w:rFonts w:ascii="Times New Roman" w:hAnsi="Times New Roman" w:cs="Times New Roman"/>
                <w:sz w:val="20"/>
                <w:szCs w:val="20"/>
              </w:rPr>
            </w:pPr>
            <w:r>
              <w:rPr>
                <w:rFonts w:ascii="Times New Roman" w:hAnsi="Times New Roman" w:cs="Times New Roman"/>
                <w:i/>
                <w:iCs/>
                <w:sz w:val="20"/>
                <w:szCs w:val="20"/>
              </w:rPr>
              <w:t>Benefit of</w:t>
            </w:r>
            <w:r w:rsidRPr="00517A1E">
              <w:rPr>
                <w:rFonts w:ascii="Times New Roman" w:hAnsi="Times New Roman" w:cs="Times New Roman"/>
                <w:i/>
                <w:iCs/>
                <w:sz w:val="20"/>
                <w:szCs w:val="20"/>
              </w:rPr>
              <w:t xml:space="preserve"> </w:t>
            </w:r>
            <w:r w:rsidRPr="00F04963">
              <w:rPr>
                <w:rFonts w:ascii="Times New Roman" w:hAnsi="Times New Roman" w:cs="Times New Roman"/>
                <w:sz w:val="20"/>
                <w:szCs w:val="20"/>
              </w:rPr>
              <w:t>Energy Independence</w:t>
            </w:r>
            <w:r>
              <w:rPr>
                <w:rFonts w:ascii="Times New Roman" w:hAnsi="Times New Roman" w:cs="Times New Roman"/>
                <w:i/>
                <w:iCs/>
                <w:sz w:val="20"/>
                <w:szCs w:val="20"/>
              </w:rPr>
              <w:t xml:space="preserve"> </w:t>
            </w:r>
            <w:r w:rsidRPr="00517A1E">
              <w:rPr>
                <w:rFonts w:ascii="Times New Roman" w:hAnsi="Times New Roman" w:cs="Times New Roman"/>
                <w:i/>
                <w:iCs/>
                <w:sz w:val="20"/>
                <w:szCs w:val="20"/>
              </w:rPr>
              <w:t xml:space="preserve">&amp; </w:t>
            </w:r>
            <w:r>
              <w:rPr>
                <w:rFonts w:ascii="Times New Roman" w:hAnsi="Times New Roman" w:cs="Times New Roman"/>
                <w:i/>
                <w:iCs/>
                <w:sz w:val="20"/>
                <w:szCs w:val="20"/>
              </w:rPr>
              <w:t>Interim</w:t>
            </w:r>
            <w:r>
              <w:rPr>
                <w:rFonts w:ascii="Times New Roman" w:hAnsi="Times New Roman" w:cs="Times New Roman"/>
                <w:sz w:val="20"/>
                <w:szCs w:val="20"/>
              </w:rPr>
              <w:t xml:space="preserve"> Storage</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0.05</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-0.21</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-0.20</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0.28</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0.23</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-0.39</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-0.07</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0.55</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0.22</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-0.24</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-0.17</w:t>
            </w:r>
          </w:p>
        </w:tc>
      </w:tr>
      <w:tr w:rsidR="00B52DD2" w:rsidRPr="004970DA" w:rsidTr="00150C36">
        <w:trPr>
          <w:trHeight w:val="281"/>
        </w:trPr>
        <w:tc>
          <w:tcPr>
            <w:tcW w:w="1520" w:type="dxa"/>
            <w:tcBorders>
              <w:top w:val="dashSmallGap" w:sz="6" w:space="0" w:color="000000"/>
              <w:bottom w:val="dashSmallGap" w:sz="6" w:space="0" w:color="000000"/>
            </w:tcBorders>
          </w:tcPr>
          <w:p w:rsidR="00B52DD2" w:rsidRPr="004970DA" w:rsidRDefault="00B52DD2" w:rsidP="00150C36">
            <w:pPr>
              <w:spacing w:line="276" w:lineRule="auto"/>
              <w:jc w:val="center"/>
              <w:rPr>
                <w:rFonts w:ascii="Times New Roman" w:hAnsi="Times New Roman" w:cs="Times New Roman"/>
                <w:sz w:val="20"/>
                <w:szCs w:val="20"/>
              </w:rPr>
            </w:pPr>
            <w:r>
              <w:rPr>
                <w:rFonts w:ascii="Times New Roman" w:hAnsi="Times New Roman" w:cs="Times New Roman"/>
                <w:i/>
                <w:iCs/>
                <w:sz w:val="20"/>
                <w:szCs w:val="20"/>
              </w:rPr>
              <w:t>Benefit of</w:t>
            </w:r>
            <w:r w:rsidRPr="00517A1E">
              <w:rPr>
                <w:rFonts w:ascii="Times New Roman" w:hAnsi="Times New Roman" w:cs="Times New Roman"/>
                <w:i/>
                <w:iCs/>
                <w:sz w:val="20"/>
                <w:szCs w:val="20"/>
              </w:rPr>
              <w:t xml:space="preserve"> </w:t>
            </w:r>
            <w:r w:rsidRPr="00F04963">
              <w:rPr>
                <w:rFonts w:ascii="Times New Roman" w:hAnsi="Times New Roman" w:cs="Times New Roman"/>
                <w:sz w:val="20"/>
                <w:szCs w:val="20"/>
              </w:rPr>
              <w:t>Energy Independenc</w:t>
            </w:r>
            <w:r>
              <w:rPr>
                <w:rFonts w:ascii="Times New Roman" w:hAnsi="Times New Roman" w:cs="Times New Roman"/>
                <w:i/>
                <w:iCs/>
                <w:sz w:val="20"/>
                <w:szCs w:val="20"/>
              </w:rPr>
              <w:t xml:space="preserve">e </w:t>
            </w:r>
            <w:r w:rsidRPr="00517A1E">
              <w:rPr>
                <w:rFonts w:ascii="Times New Roman" w:hAnsi="Times New Roman" w:cs="Times New Roman"/>
                <w:i/>
                <w:iCs/>
                <w:sz w:val="20"/>
                <w:szCs w:val="20"/>
              </w:rPr>
              <w:t xml:space="preserve">&amp; </w:t>
            </w:r>
            <w:r>
              <w:rPr>
                <w:rFonts w:ascii="Times New Roman" w:hAnsi="Times New Roman" w:cs="Times New Roman"/>
                <w:i/>
                <w:iCs/>
                <w:sz w:val="20"/>
                <w:szCs w:val="20"/>
              </w:rPr>
              <w:t>Deep Geologic</w:t>
            </w:r>
            <w:r>
              <w:rPr>
                <w:rFonts w:ascii="Times New Roman" w:hAnsi="Times New Roman" w:cs="Times New Roman"/>
                <w:sz w:val="20"/>
                <w:szCs w:val="20"/>
              </w:rPr>
              <w:t xml:space="preserve"> Storage</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-0.39</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0.47</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0.14</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-0.64</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0.34</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0.44</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-0.20</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-0.01</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-0.04</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-0.02</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w:t>
            </w:r>
            <w:r>
              <w:rPr>
                <w:rFonts w:ascii="Times New Roman" w:hAnsi="Times New Roman" w:cs="Times New Roman"/>
                <w:sz w:val="20"/>
                <w:szCs w:val="20"/>
              </w:rPr>
              <w:t>1</w:t>
            </w:r>
          </w:p>
        </w:tc>
      </w:tr>
      <w:tr w:rsidR="00B52DD2" w:rsidRPr="004970DA" w:rsidTr="00150C36">
        <w:trPr>
          <w:trHeight w:val="281"/>
        </w:trPr>
        <w:tc>
          <w:tcPr>
            <w:tcW w:w="1520" w:type="dxa"/>
            <w:tcBorders>
              <w:top w:val="dashSmallGap" w:sz="6" w:space="0" w:color="000000"/>
              <w:bottom w:val="dashSmallGap" w:sz="6" w:space="0" w:color="000000"/>
            </w:tcBorders>
          </w:tcPr>
          <w:p w:rsidR="00B52DD2" w:rsidRPr="004970DA" w:rsidRDefault="00B52DD2" w:rsidP="00150C36">
            <w:pPr>
              <w:spacing w:line="276" w:lineRule="auto"/>
              <w:jc w:val="center"/>
              <w:rPr>
                <w:rFonts w:ascii="Times New Roman" w:hAnsi="Times New Roman" w:cs="Times New Roman"/>
                <w:sz w:val="20"/>
                <w:szCs w:val="20"/>
              </w:rPr>
            </w:pPr>
            <w:r>
              <w:rPr>
                <w:rFonts w:ascii="Times New Roman" w:hAnsi="Times New Roman" w:cs="Times New Roman"/>
                <w:i/>
                <w:iCs/>
                <w:sz w:val="20"/>
                <w:szCs w:val="20"/>
              </w:rPr>
              <w:lastRenderedPageBreak/>
              <w:t>Benefit of</w:t>
            </w:r>
            <w:r w:rsidRPr="00517A1E">
              <w:rPr>
                <w:rFonts w:ascii="Times New Roman" w:hAnsi="Times New Roman" w:cs="Times New Roman"/>
                <w:i/>
                <w:iCs/>
                <w:sz w:val="20"/>
                <w:szCs w:val="20"/>
              </w:rPr>
              <w:t xml:space="preserve"> </w:t>
            </w:r>
            <w:r>
              <w:rPr>
                <w:rFonts w:ascii="Times New Roman" w:hAnsi="Times New Roman" w:cs="Times New Roman"/>
                <w:sz w:val="20"/>
                <w:szCs w:val="20"/>
              </w:rPr>
              <w:t>Reduced</w:t>
            </w:r>
            <w:r w:rsidRPr="00F04963">
              <w:rPr>
                <w:rFonts w:ascii="Times New Roman" w:hAnsi="Times New Roman" w:cs="Times New Roman"/>
                <w:sz w:val="20"/>
                <w:szCs w:val="20"/>
              </w:rPr>
              <w:t xml:space="preserve"> </w:t>
            </w:r>
            <w:r>
              <w:rPr>
                <w:rFonts w:ascii="Times New Roman" w:hAnsi="Times New Roman" w:cs="Times New Roman"/>
                <w:sz w:val="20"/>
                <w:szCs w:val="20"/>
              </w:rPr>
              <w:t xml:space="preserve">Mining </w:t>
            </w:r>
            <w:r w:rsidRPr="00517A1E">
              <w:rPr>
                <w:rFonts w:ascii="Times New Roman" w:hAnsi="Times New Roman" w:cs="Times New Roman"/>
                <w:i/>
                <w:iCs/>
                <w:sz w:val="20"/>
                <w:szCs w:val="20"/>
              </w:rPr>
              <w:t>&amp; Onsite</w:t>
            </w:r>
            <w:r>
              <w:rPr>
                <w:rFonts w:ascii="Times New Roman" w:hAnsi="Times New Roman" w:cs="Times New Roman"/>
                <w:sz w:val="20"/>
                <w:szCs w:val="20"/>
              </w:rPr>
              <w:t xml:space="preserve"> Storage</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-0.11</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-0.44</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0.18</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0.21</w:t>
            </w:r>
          </w:p>
        </w:tc>
        <w:tc>
          <w:tcPr>
            <w:tcW w:w="735" w:type="dxa"/>
            <w:tcBorders>
              <w:top w:val="dashSmallGap" w:sz="6" w:space="0" w:color="000000"/>
              <w:bottom w:val="dashSmallGap" w:sz="6" w:space="0" w:color="000000"/>
            </w:tcBorders>
            <w:vAlign w:val="center"/>
          </w:tcPr>
          <w:p w:rsidR="00B52DD2" w:rsidRPr="00142787" w:rsidRDefault="00B52DD2" w:rsidP="00150C36">
            <w:pPr>
              <w:spacing w:line="276" w:lineRule="auto"/>
              <w:jc w:val="center"/>
              <w:rPr>
                <w:rFonts w:ascii="Times New Roman" w:hAnsi="Times New Roman" w:cs="Times New Roman"/>
                <w:b/>
                <w:bCs/>
                <w:sz w:val="20"/>
                <w:szCs w:val="20"/>
              </w:rPr>
            </w:pPr>
            <w:r w:rsidRPr="00142787">
              <w:rPr>
                <w:rFonts w:ascii="Times New Roman" w:hAnsi="Times New Roman" w:cs="Times New Roman"/>
                <w:b/>
                <w:bCs/>
                <w:sz w:val="20"/>
                <w:szCs w:val="20"/>
              </w:rPr>
              <w:t>0.73*</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0.23</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0.08</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-0.40</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-0.45</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-0.35</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-0.12</w:t>
            </w:r>
          </w:p>
        </w:tc>
      </w:tr>
      <w:tr w:rsidR="00B52DD2" w:rsidRPr="004970DA" w:rsidTr="00150C36">
        <w:trPr>
          <w:trHeight w:val="281"/>
        </w:trPr>
        <w:tc>
          <w:tcPr>
            <w:tcW w:w="1520" w:type="dxa"/>
            <w:tcBorders>
              <w:top w:val="dashSmallGap" w:sz="6" w:space="0" w:color="000000"/>
              <w:bottom w:val="dashSmallGap" w:sz="6" w:space="0" w:color="000000"/>
            </w:tcBorders>
          </w:tcPr>
          <w:p w:rsidR="00B52DD2" w:rsidRPr="004970DA" w:rsidRDefault="00B52DD2" w:rsidP="00150C36">
            <w:pPr>
              <w:spacing w:line="276" w:lineRule="auto"/>
              <w:jc w:val="center"/>
              <w:rPr>
                <w:rFonts w:ascii="Times New Roman" w:hAnsi="Times New Roman" w:cs="Times New Roman"/>
                <w:sz w:val="20"/>
                <w:szCs w:val="20"/>
              </w:rPr>
            </w:pPr>
            <w:r>
              <w:rPr>
                <w:rFonts w:ascii="Times New Roman" w:hAnsi="Times New Roman" w:cs="Times New Roman"/>
                <w:i/>
                <w:iCs/>
                <w:sz w:val="20"/>
                <w:szCs w:val="20"/>
              </w:rPr>
              <w:t>Benefit of</w:t>
            </w:r>
            <w:r w:rsidRPr="00517A1E">
              <w:rPr>
                <w:rFonts w:ascii="Times New Roman" w:hAnsi="Times New Roman" w:cs="Times New Roman"/>
                <w:i/>
                <w:iCs/>
                <w:sz w:val="20"/>
                <w:szCs w:val="20"/>
              </w:rPr>
              <w:t xml:space="preserve"> </w:t>
            </w:r>
            <w:r>
              <w:rPr>
                <w:rFonts w:ascii="Times New Roman" w:hAnsi="Times New Roman" w:cs="Times New Roman"/>
                <w:sz w:val="20"/>
                <w:szCs w:val="20"/>
              </w:rPr>
              <w:t>Reduced</w:t>
            </w:r>
            <w:r w:rsidRPr="00F04963">
              <w:rPr>
                <w:rFonts w:ascii="Times New Roman" w:hAnsi="Times New Roman" w:cs="Times New Roman"/>
                <w:sz w:val="20"/>
                <w:szCs w:val="20"/>
              </w:rPr>
              <w:t xml:space="preserve"> </w:t>
            </w:r>
            <w:r>
              <w:rPr>
                <w:rFonts w:ascii="Times New Roman" w:hAnsi="Times New Roman" w:cs="Times New Roman"/>
                <w:sz w:val="20"/>
                <w:szCs w:val="20"/>
              </w:rPr>
              <w:t xml:space="preserve">Mining </w:t>
            </w:r>
            <w:r w:rsidRPr="00517A1E">
              <w:rPr>
                <w:rFonts w:ascii="Times New Roman" w:hAnsi="Times New Roman" w:cs="Times New Roman"/>
                <w:i/>
                <w:iCs/>
                <w:sz w:val="20"/>
                <w:szCs w:val="20"/>
              </w:rPr>
              <w:t xml:space="preserve">&amp; </w:t>
            </w:r>
            <w:r>
              <w:rPr>
                <w:rFonts w:ascii="Times New Roman" w:hAnsi="Times New Roman" w:cs="Times New Roman"/>
                <w:i/>
                <w:iCs/>
                <w:sz w:val="20"/>
                <w:szCs w:val="20"/>
              </w:rPr>
              <w:t>Interim</w:t>
            </w:r>
            <w:r>
              <w:rPr>
                <w:rFonts w:ascii="Times New Roman" w:hAnsi="Times New Roman" w:cs="Times New Roman"/>
                <w:sz w:val="20"/>
                <w:szCs w:val="20"/>
              </w:rPr>
              <w:t xml:space="preserve"> Storage</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w:t>
            </w:r>
            <w:r>
              <w:rPr>
                <w:rFonts w:ascii="Times New Roman" w:hAnsi="Times New Roman" w:cs="Times New Roman"/>
                <w:sz w:val="20"/>
                <w:szCs w:val="20"/>
              </w:rPr>
              <w:t>3</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-0.02</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w:t>
            </w:r>
            <w:r>
              <w:rPr>
                <w:rFonts w:ascii="Times New Roman" w:hAnsi="Times New Roman" w:cs="Times New Roman"/>
                <w:sz w:val="20"/>
                <w:szCs w:val="20"/>
              </w:rPr>
              <w:t>30</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-0.4</w:t>
            </w:r>
            <w:r>
              <w:rPr>
                <w:rFonts w:ascii="Times New Roman" w:hAnsi="Times New Roman" w:cs="Times New Roman"/>
                <w:sz w:val="20"/>
                <w:szCs w:val="20"/>
              </w:rPr>
              <w:t>8</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w:t>
            </w:r>
            <w:r>
              <w:rPr>
                <w:rFonts w:ascii="Times New Roman" w:hAnsi="Times New Roman" w:cs="Times New Roman"/>
                <w:sz w:val="20"/>
                <w:szCs w:val="20"/>
              </w:rPr>
              <w:t>9</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0.42</w:t>
            </w:r>
          </w:p>
        </w:tc>
        <w:tc>
          <w:tcPr>
            <w:tcW w:w="734" w:type="dxa"/>
            <w:tcBorders>
              <w:top w:val="dashSmallGap" w:sz="6" w:space="0" w:color="000000"/>
              <w:bottom w:val="dashSmallGap" w:sz="6" w:space="0" w:color="000000"/>
            </w:tcBorders>
            <w:vAlign w:val="center"/>
          </w:tcPr>
          <w:p w:rsidR="00B52DD2" w:rsidRPr="00142787" w:rsidRDefault="00B52DD2" w:rsidP="00150C36">
            <w:pPr>
              <w:spacing w:line="276" w:lineRule="auto"/>
              <w:jc w:val="center"/>
              <w:rPr>
                <w:rFonts w:ascii="Times New Roman" w:hAnsi="Times New Roman" w:cs="Times New Roman"/>
                <w:b/>
                <w:bCs/>
                <w:sz w:val="20"/>
                <w:szCs w:val="20"/>
              </w:rPr>
            </w:pPr>
            <w:r w:rsidRPr="00142787">
              <w:rPr>
                <w:rFonts w:ascii="Times New Roman" w:hAnsi="Times New Roman" w:cs="Times New Roman"/>
                <w:b/>
                <w:bCs/>
                <w:sz w:val="20"/>
                <w:szCs w:val="20"/>
              </w:rPr>
              <w:t>0.88*</w:t>
            </w:r>
          </w:p>
        </w:tc>
        <w:tc>
          <w:tcPr>
            <w:tcW w:w="735"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0.6</w:t>
            </w:r>
            <w:r>
              <w:rPr>
                <w:rFonts w:ascii="Times New Roman" w:hAnsi="Times New Roman" w:cs="Times New Roman"/>
                <w:sz w:val="20"/>
                <w:szCs w:val="20"/>
              </w:rPr>
              <w:t>1</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-0.12</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-0.5</w:t>
            </w:r>
            <w:r>
              <w:rPr>
                <w:rFonts w:ascii="Times New Roman" w:hAnsi="Times New Roman" w:cs="Times New Roman"/>
                <w:sz w:val="20"/>
                <w:szCs w:val="20"/>
              </w:rPr>
              <w:t>1</w:t>
            </w:r>
          </w:p>
        </w:tc>
        <w:tc>
          <w:tcPr>
            <w:tcW w:w="734" w:type="dxa"/>
            <w:tcBorders>
              <w:top w:val="dashSmallGap" w:sz="6" w:space="0" w:color="000000"/>
              <w:bottom w:val="dashSmallGap" w:sz="6" w:space="0" w:color="000000"/>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w:t>
            </w:r>
            <w:r>
              <w:rPr>
                <w:rFonts w:ascii="Times New Roman" w:hAnsi="Times New Roman" w:cs="Times New Roman"/>
                <w:sz w:val="20"/>
                <w:szCs w:val="20"/>
              </w:rPr>
              <w:t>6</w:t>
            </w:r>
          </w:p>
        </w:tc>
      </w:tr>
      <w:tr w:rsidR="00B52DD2" w:rsidRPr="004970DA" w:rsidTr="00150C36">
        <w:trPr>
          <w:trHeight w:val="281"/>
        </w:trPr>
        <w:tc>
          <w:tcPr>
            <w:tcW w:w="1520" w:type="dxa"/>
            <w:tcBorders>
              <w:top w:val="dashSmallGap" w:sz="6" w:space="0" w:color="000000"/>
              <w:bottom w:val="single" w:sz="18" w:space="0" w:color="auto"/>
            </w:tcBorders>
          </w:tcPr>
          <w:p w:rsidR="00B52DD2" w:rsidRPr="004970DA" w:rsidRDefault="00B52DD2" w:rsidP="00150C36">
            <w:pPr>
              <w:spacing w:line="276" w:lineRule="auto"/>
              <w:jc w:val="center"/>
              <w:rPr>
                <w:rFonts w:ascii="Times New Roman" w:hAnsi="Times New Roman" w:cs="Times New Roman"/>
                <w:sz w:val="20"/>
                <w:szCs w:val="20"/>
              </w:rPr>
            </w:pPr>
            <w:r>
              <w:rPr>
                <w:rFonts w:ascii="Times New Roman" w:hAnsi="Times New Roman" w:cs="Times New Roman"/>
                <w:i/>
                <w:iCs/>
                <w:sz w:val="20"/>
                <w:szCs w:val="20"/>
              </w:rPr>
              <w:t>Benefit of</w:t>
            </w:r>
            <w:r w:rsidRPr="00517A1E">
              <w:rPr>
                <w:rFonts w:ascii="Times New Roman" w:hAnsi="Times New Roman" w:cs="Times New Roman"/>
                <w:i/>
                <w:iCs/>
                <w:sz w:val="20"/>
                <w:szCs w:val="20"/>
              </w:rPr>
              <w:t xml:space="preserve"> </w:t>
            </w:r>
            <w:r>
              <w:rPr>
                <w:rFonts w:ascii="Times New Roman" w:hAnsi="Times New Roman" w:cs="Times New Roman"/>
                <w:sz w:val="20"/>
                <w:szCs w:val="20"/>
              </w:rPr>
              <w:t>Reduced</w:t>
            </w:r>
            <w:r w:rsidRPr="00F04963">
              <w:rPr>
                <w:rFonts w:ascii="Times New Roman" w:hAnsi="Times New Roman" w:cs="Times New Roman"/>
                <w:sz w:val="20"/>
                <w:szCs w:val="20"/>
              </w:rPr>
              <w:t xml:space="preserve"> </w:t>
            </w:r>
            <w:r>
              <w:rPr>
                <w:rFonts w:ascii="Times New Roman" w:hAnsi="Times New Roman" w:cs="Times New Roman"/>
                <w:sz w:val="20"/>
                <w:szCs w:val="20"/>
              </w:rPr>
              <w:t xml:space="preserve">Mining </w:t>
            </w:r>
            <w:r w:rsidRPr="00517A1E">
              <w:rPr>
                <w:rFonts w:ascii="Times New Roman" w:hAnsi="Times New Roman" w:cs="Times New Roman"/>
                <w:i/>
                <w:iCs/>
                <w:sz w:val="20"/>
                <w:szCs w:val="20"/>
              </w:rPr>
              <w:t xml:space="preserve">&amp; </w:t>
            </w:r>
            <w:r>
              <w:rPr>
                <w:rFonts w:ascii="Times New Roman" w:hAnsi="Times New Roman" w:cs="Times New Roman"/>
                <w:i/>
                <w:iCs/>
                <w:sz w:val="20"/>
                <w:szCs w:val="20"/>
              </w:rPr>
              <w:t>Deep Geologic</w:t>
            </w:r>
            <w:r>
              <w:rPr>
                <w:rFonts w:ascii="Times New Roman" w:hAnsi="Times New Roman" w:cs="Times New Roman"/>
                <w:sz w:val="20"/>
                <w:szCs w:val="20"/>
              </w:rPr>
              <w:t xml:space="preserve"> Storage</w:t>
            </w:r>
          </w:p>
        </w:tc>
        <w:tc>
          <w:tcPr>
            <w:tcW w:w="735" w:type="dxa"/>
            <w:tcBorders>
              <w:top w:val="dashSmallGap" w:sz="6" w:space="0" w:color="000000"/>
              <w:bottom w:val="single" w:sz="18" w:space="0" w:color="auto"/>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-0.07</w:t>
            </w:r>
          </w:p>
        </w:tc>
        <w:tc>
          <w:tcPr>
            <w:tcW w:w="734" w:type="dxa"/>
            <w:tcBorders>
              <w:top w:val="dashSmallGap" w:sz="6" w:space="0" w:color="000000"/>
              <w:bottom w:val="single" w:sz="18" w:space="0" w:color="auto"/>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-0.07</w:t>
            </w:r>
          </w:p>
        </w:tc>
        <w:tc>
          <w:tcPr>
            <w:tcW w:w="734" w:type="dxa"/>
            <w:tcBorders>
              <w:top w:val="dashSmallGap" w:sz="6" w:space="0" w:color="000000"/>
              <w:bottom w:val="single" w:sz="18" w:space="0" w:color="auto"/>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w:t>
            </w:r>
            <w:r>
              <w:rPr>
                <w:rFonts w:ascii="Times New Roman" w:hAnsi="Times New Roman" w:cs="Times New Roman"/>
                <w:sz w:val="20"/>
                <w:szCs w:val="20"/>
              </w:rPr>
              <w:t>2</w:t>
            </w:r>
          </w:p>
        </w:tc>
        <w:tc>
          <w:tcPr>
            <w:tcW w:w="734" w:type="dxa"/>
            <w:tcBorders>
              <w:top w:val="dashSmallGap" w:sz="6" w:space="0" w:color="000000"/>
              <w:bottom w:val="single" w:sz="18" w:space="0" w:color="auto"/>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0.22</w:t>
            </w:r>
          </w:p>
        </w:tc>
        <w:tc>
          <w:tcPr>
            <w:tcW w:w="735" w:type="dxa"/>
            <w:tcBorders>
              <w:top w:val="dashSmallGap" w:sz="6" w:space="0" w:color="000000"/>
              <w:bottom w:val="single" w:sz="18" w:space="0" w:color="auto"/>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-0.14</w:t>
            </w:r>
          </w:p>
        </w:tc>
        <w:tc>
          <w:tcPr>
            <w:tcW w:w="735" w:type="dxa"/>
            <w:tcBorders>
              <w:top w:val="dashSmallGap" w:sz="6" w:space="0" w:color="000000"/>
              <w:bottom w:val="single" w:sz="18" w:space="0" w:color="auto"/>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w:t>
            </w:r>
            <w:r>
              <w:rPr>
                <w:rFonts w:ascii="Times New Roman" w:hAnsi="Times New Roman" w:cs="Times New Roman"/>
                <w:sz w:val="20"/>
                <w:szCs w:val="20"/>
              </w:rPr>
              <w:t>8</w:t>
            </w:r>
          </w:p>
        </w:tc>
        <w:tc>
          <w:tcPr>
            <w:tcW w:w="734" w:type="dxa"/>
            <w:tcBorders>
              <w:top w:val="dashSmallGap" w:sz="6" w:space="0" w:color="000000"/>
              <w:bottom w:val="single" w:sz="18" w:space="0" w:color="auto"/>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0.0</w:t>
            </w:r>
            <w:r>
              <w:rPr>
                <w:rFonts w:ascii="Times New Roman" w:hAnsi="Times New Roman" w:cs="Times New Roman"/>
                <w:sz w:val="20"/>
                <w:szCs w:val="20"/>
              </w:rPr>
              <w:t>2</w:t>
            </w:r>
          </w:p>
        </w:tc>
        <w:tc>
          <w:tcPr>
            <w:tcW w:w="735" w:type="dxa"/>
            <w:tcBorders>
              <w:top w:val="dashSmallGap" w:sz="6" w:space="0" w:color="000000"/>
              <w:bottom w:val="single" w:sz="18" w:space="0" w:color="auto"/>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0.3</w:t>
            </w:r>
            <w:r>
              <w:rPr>
                <w:rFonts w:ascii="Times New Roman" w:hAnsi="Times New Roman" w:cs="Times New Roman"/>
                <w:sz w:val="20"/>
                <w:szCs w:val="20"/>
              </w:rPr>
              <w:t>5</w:t>
            </w:r>
          </w:p>
        </w:tc>
        <w:tc>
          <w:tcPr>
            <w:tcW w:w="734" w:type="dxa"/>
            <w:tcBorders>
              <w:top w:val="dashSmallGap" w:sz="6" w:space="0" w:color="000000"/>
              <w:bottom w:val="single" w:sz="18" w:space="0" w:color="auto"/>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w:t>
            </w:r>
            <w:r>
              <w:rPr>
                <w:rFonts w:ascii="Times New Roman" w:hAnsi="Times New Roman" w:cs="Times New Roman"/>
                <w:sz w:val="20"/>
                <w:szCs w:val="20"/>
              </w:rPr>
              <w:t>40</w:t>
            </w:r>
          </w:p>
        </w:tc>
        <w:tc>
          <w:tcPr>
            <w:tcW w:w="734" w:type="dxa"/>
            <w:tcBorders>
              <w:top w:val="dashSmallGap" w:sz="6" w:space="0" w:color="000000"/>
              <w:bottom w:val="single" w:sz="18" w:space="0" w:color="auto"/>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0.1</w:t>
            </w:r>
            <w:r>
              <w:rPr>
                <w:rFonts w:ascii="Times New Roman" w:hAnsi="Times New Roman" w:cs="Times New Roman"/>
                <w:sz w:val="20"/>
                <w:szCs w:val="20"/>
              </w:rPr>
              <w:t>1</w:t>
            </w:r>
          </w:p>
        </w:tc>
        <w:tc>
          <w:tcPr>
            <w:tcW w:w="734" w:type="dxa"/>
            <w:tcBorders>
              <w:top w:val="dashSmallGap" w:sz="6" w:space="0" w:color="000000"/>
              <w:bottom w:val="single" w:sz="18" w:space="0" w:color="auto"/>
            </w:tcBorders>
            <w:vAlign w:val="center"/>
          </w:tcPr>
          <w:p w:rsidR="00B52DD2" w:rsidRPr="004970DA" w:rsidRDefault="00B52DD2" w:rsidP="00150C36">
            <w:pPr>
              <w:spacing w:line="276" w:lineRule="auto"/>
              <w:jc w:val="center"/>
              <w:rPr>
                <w:rFonts w:ascii="Times New Roman" w:hAnsi="Times New Roman" w:cs="Times New Roman"/>
                <w:sz w:val="20"/>
                <w:szCs w:val="20"/>
              </w:rPr>
            </w:pPr>
            <w:r w:rsidRPr="004970DA">
              <w:rPr>
                <w:rFonts w:ascii="Times New Roman" w:hAnsi="Times New Roman" w:cs="Times New Roman"/>
                <w:sz w:val="20"/>
                <w:szCs w:val="20"/>
              </w:rPr>
              <w:t>-0.21</w:t>
            </w:r>
          </w:p>
        </w:tc>
      </w:tr>
    </w:tbl>
    <w:p w:rsidR="00B52DD2" w:rsidRPr="00B71A5C" w:rsidRDefault="00B52DD2" w:rsidP="00B52DD2">
      <w:pPr>
        <w:rPr>
          <w:rFonts w:ascii="Times New Roman" w:hAnsi="Times New Roman" w:cs="Times New Roman"/>
          <w:sz w:val="22"/>
          <w:szCs w:val="22"/>
        </w:rPr>
      </w:pPr>
      <w:r w:rsidRPr="00FC40B8">
        <w:rPr>
          <w:rFonts w:ascii="Times New Roman" w:hAnsi="Times New Roman" w:cs="Times New Roman"/>
          <w:sz w:val="20"/>
          <w:szCs w:val="20"/>
        </w:rPr>
        <w:t>Note:</w:t>
      </w:r>
      <w:r>
        <w:rPr>
          <w:rFonts w:ascii="Times New Roman" w:hAnsi="Times New Roman" w:cs="Times New Roman"/>
          <w:sz w:val="20"/>
          <w:szCs w:val="20"/>
        </w:rPr>
        <w:t xml:space="preserve"> The *denotes a significantly strong correlation at a given lag period.</w:t>
      </w:r>
    </w:p>
    <w:p w:rsidR="00B52DD2" w:rsidRPr="00FC40B8" w:rsidRDefault="00B52DD2" w:rsidP="00B52DD2">
      <w:pPr>
        <w:jc w:val="both"/>
        <w:rPr>
          <w:rFonts w:ascii="Times New Roman" w:hAnsi="Times New Roman" w:cs="Times New Roman"/>
          <w:sz w:val="20"/>
          <w:szCs w:val="20"/>
        </w:rPr>
      </w:pPr>
    </w:p>
    <w:p w:rsidR="00B52DD2" w:rsidRPr="00163C60" w:rsidRDefault="00B52DD2" w:rsidP="00B52DD2">
      <w:pPr>
        <w:rPr>
          <w:rFonts w:ascii="Times New Roman" w:hAnsi="Times New Roman" w:cs="Times New Roman"/>
        </w:rPr>
      </w:pPr>
      <w:r w:rsidRPr="003F4BC8">
        <w:rPr>
          <w:rFonts w:ascii="Times New Roman" w:hAnsi="Times New Roman" w:cs="Times New Roman"/>
        </w:rPr>
        <w:br w:type="page"/>
      </w:r>
      <w:r w:rsidRPr="009E65E3">
        <w:rPr>
          <w:rFonts w:ascii="Times New Roman" w:hAnsi="Times New Roman" w:cs="Times New Roman"/>
          <w:b/>
          <w:bCs/>
        </w:rPr>
        <w:lastRenderedPageBreak/>
        <w:t>Table 3-C2:</w:t>
      </w:r>
      <w:r w:rsidRPr="009164F0">
        <w:rPr>
          <w:rFonts w:ascii="Times New Roman" w:hAnsi="Times New Roman" w:cs="Times New Roman"/>
        </w:rPr>
        <w:t xml:space="preserve"> Correlations by lag between Series of </w:t>
      </w:r>
      <w:r>
        <w:rPr>
          <w:rFonts w:ascii="Times New Roman" w:hAnsi="Times New Roman" w:cs="Times New Roman"/>
        </w:rPr>
        <w:t>Trust</w:t>
      </w:r>
      <w:r w:rsidRPr="009164F0">
        <w:rPr>
          <w:rFonts w:ascii="Times New Roman" w:hAnsi="Times New Roman" w:cs="Times New Roman"/>
        </w:rPr>
        <w:t xml:space="preserve"> Perceptions and SNF Preferences</w:t>
      </w:r>
    </w:p>
    <w:tbl>
      <w:tblPr>
        <w:tblStyle w:val="TableGrid"/>
        <w:tblW w:w="89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5"/>
        <w:gridCol w:w="659"/>
        <w:gridCol w:w="657"/>
        <w:gridCol w:w="656"/>
        <w:gridCol w:w="656"/>
        <w:gridCol w:w="658"/>
        <w:gridCol w:w="733"/>
        <w:gridCol w:w="732"/>
        <w:gridCol w:w="733"/>
        <w:gridCol w:w="732"/>
        <w:gridCol w:w="656"/>
        <w:gridCol w:w="656"/>
      </w:tblGrid>
      <w:tr w:rsidR="00B52DD2" w:rsidRPr="004A3C3F" w:rsidTr="00150C36">
        <w:trPr>
          <w:trHeight w:val="294"/>
        </w:trPr>
        <w:tc>
          <w:tcPr>
            <w:tcW w:w="1405" w:type="dxa"/>
            <w:tcBorders>
              <w:top w:val="single" w:sz="18"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b/>
                <w:bCs/>
                <w:sz w:val="22"/>
                <w:szCs w:val="22"/>
              </w:rPr>
            </w:pPr>
            <w:r w:rsidRPr="004A3C3F">
              <w:rPr>
                <w:rFonts w:ascii="Times New Roman" w:hAnsi="Times New Roman" w:cs="Times New Roman"/>
                <w:b/>
                <w:bCs/>
                <w:sz w:val="22"/>
                <w:szCs w:val="22"/>
              </w:rPr>
              <w:t>Lags</w:t>
            </w:r>
          </w:p>
        </w:tc>
        <w:tc>
          <w:tcPr>
            <w:tcW w:w="659" w:type="dxa"/>
            <w:tcBorders>
              <w:top w:val="single" w:sz="18"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b/>
                <w:bCs/>
                <w:sz w:val="22"/>
                <w:szCs w:val="22"/>
              </w:rPr>
            </w:pPr>
            <w:r w:rsidRPr="004A3C3F">
              <w:rPr>
                <w:rFonts w:ascii="Times New Roman" w:hAnsi="Times New Roman" w:cs="Times New Roman"/>
                <w:b/>
                <w:bCs/>
                <w:sz w:val="22"/>
                <w:szCs w:val="22"/>
              </w:rPr>
              <w:t>-5</w:t>
            </w:r>
          </w:p>
        </w:tc>
        <w:tc>
          <w:tcPr>
            <w:tcW w:w="657" w:type="dxa"/>
            <w:tcBorders>
              <w:top w:val="single" w:sz="18"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b/>
                <w:bCs/>
                <w:sz w:val="22"/>
                <w:szCs w:val="22"/>
              </w:rPr>
            </w:pPr>
            <w:r w:rsidRPr="004A3C3F">
              <w:rPr>
                <w:rFonts w:ascii="Times New Roman" w:hAnsi="Times New Roman" w:cs="Times New Roman"/>
                <w:b/>
                <w:bCs/>
                <w:sz w:val="22"/>
                <w:szCs w:val="22"/>
              </w:rPr>
              <w:t>-4</w:t>
            </w:r>
          </w:p>
        </w:tc>
        <w:tc>
          <w:tcPr>
            <w:tcW w:w="656" w:type="dxa"/>
            <w:tcBorders>
              <w:top w:val="single" w:sz="18"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b/>
                <w:bCs/>
                <w:sz w:val="22"/>
                <w:szCs w:val="22"/>
              </w:rPr>
            </w:pPr>
            <w:r w:rsidRPr="004A3C3F">
              <w:rPr>
                <w:rFonts w:ascii="Times New Roman" w:hAnsi="Times New Roman" w:cs="Times New Roman"/>
                <w:b/>
                <w:bCs/>
                <w:sz w:val="22"/>
                <w:szCs w:val="22"/>
              </w:rPr>
              <w:t>-3</w:t>
            </w:r>
          </w:p>
        </w:tc>
        <w:tc>
          <w:tcPr>
            <w:tcW w:w="656" w:type="dxa"/>
            <w:tcBorders>
              <w:top w:val="single" w:sz="18"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b/>
                <w:bCs/>
                <w:sz w:val="22"/>
                <w:szCs w:val="22"/>
              </w:rPr>
            </w:pPr>
            <w:r w:rsidRPr="004A3C3F">
              <w:rPr>
                <w:rFonts w:ascii="Times New Roman" w:hAnsi="Times New Roman" w:cs="Times New Roman"/>
                <w:b/>
                <w:bCs/>
                <w:sz w:val="22"/>
                <w:szCs w:val="22"/>
              </w:rPr>
              <w:t>-2</w:t>
            </w:r>
          </w:p>
        </w:tc>
        <w:tc>
          <w:tcPr>
            <w:tcW w:w="658" w:type="dxa"/>
            <w:tcBorders>
              <w:top w:val="single" w:sz="18"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b/>
                <w:bCs/>
                <w:sz w:val="22"/>
                <w:szCs w:val="22"/>
              </w:rPr>
            </w:pPr>
            <w:r w:rsidRPr="004A3C3F">
              <w:rPr>
                <w:rFonts w:ascii="Times New Roman" w:hAnsi="Times New Roman" w:cs="Times New Roman"/>
                <w:b/>
                <w:bCs/>
                <w:sz w:val="22"/>
                <w:szCs w:val="22"/>
              </w:rPr>
              <w:t>-1</w:t>
            </w:r>
          </w:p>
        </w:tc>
        <w:tc>
          <w:tcPr>
            <w:tcW w:w="733" w:type="dxa"/>
            <w:tcBorders>
              <w:top w:val="single" w:sz="18"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b/>
                <w:bCs/>
                <w:sz w:val="22"/>
                <w:szCs w:val="22"/>
              </w:rPr>
            </w:pPr>
            <w:r w:rsidRPr="004A3C3F">
              <w:rPr>
                <w:rFonts w:ascii="Times New Roman" w:hAnsi="Times New Roman" w:cs="Times New Roman"/>
                <w:b/>
                <w:bCs/>
                <w:sz w:val="22"/>
                <w:szCs w:val="22"/>
              </w:rPr>
              <w:t>0</w:t>
            </w:r>
          </w:p>
        </w:tc>
        <w:tc>
          <w:tcPr>
            <w:tcW w:w="732" w:type="dxa"/>
            <w:tcBorders>
              <w:top w:val="single" w:sz="18"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b/>
                <w:bCs/>
                <w:sz w:val="22"/>
                <w:szCs w:val="22"/>
              </w:rPr>
            </w:pPr>
            <w:r w:rsidRPr="004A3C3F">
              <w:rPr>
                <w:rFonts w:ascii="Times New Roman" w:hAnsi="Times New Roman" w:cs="Times New Roman"/>
                <w:b/>
                <w:bCs/>
                <w:sz w:val="22"/>
                <w:szCs w:val="22"/>
              </w:rPr>
              <w:t>1</w:t>
            </w:r>
          </w:p>
        </w:tc>
        <w:tc>
          <w:tcPr>
            <w:tcW w:w="733" w:type="dxa"/>
            <w:tcBorders>
              <w:top w:val="single" w:sz="18"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b/>
                <w:bCs/>
                <w:sz w:val="22"/>
                <w:szCs w:val="22"/>
              </w:rPr>
            </w:pPr>
            <w:r w:rsidRPr="004A3C3F">
              <w:rPr>
                <w:rFonts w:ascii="Times New Roman" w:hAnsi="Times New Roman" w:cs="Times New Roman"/>
                <w:b/>
                <w:bCs/>
                <w:sz w:val="22"/>
                <w:szCs w:val="22"/>
              </w:rPr>
              <w:t>2</w:t>
            </w:r>
          </w:p>
        </w:tc>
        <w:tc>
          <w:tcPr>
            <w:tcW w:w="732" w:type="dxa"/>
            <w:tcBorders>
              <w:top w:val="single" w:sz="18"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b/>
                <w:bCs/>
                <w:sz w:val="22"/>
                <w:szCs w:val="22"/>
              </w:rPr>
            </w:pPr>
            <w:r w:rsidRPr="004A3C3F">
              <w:rPr>
                <w:rFonts w:ascii="Times New Roman" w:hAnsi="Times New Roman" w:cs="Times New Roman"/>
                <w:b/>
                <w:bCs/>
                <w:sz w:val="22"/>
                <w:szCs w:val="22"/>
              </w:rPr>
              <w:t>3</w:t>
            </w:r>
          </w:p>
        </w:tc>
        <w:tc>
          <w:tcPr>
            <w:tcW w:w="656" w:type="dxa"/>
            <w:tcBorders>
              <w:top w:val="single" w:sz="18"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b/>
                <w:bCs/>
                <w:sz w:val="22"/>
                <w:szCs w:val="22"/>
              </w:rPr>
            </w:pPr>
            <w:r w:rsidRPr="004A3C3F">
              <w:rPr>
                <w:rFonts w:ascii="Times New Roman" w:hAnsi="Times New Roman" w:cs="Times New Roman"/>
                <w:b/>
                <w:bCs/>
                <w:sz w:val="22"/>
                <w:szCs w:val="22"/>
              </w:rPr>
              <w:t>4</w:t>
            </w:r>
          </w:p>
        </w:tc>
        <w:tc>
          <w:tcPr>
            <w:tcW w:w="656" w:type="dxa"/>
            <w:tcBorders>
              <w:top w:val="single" w:sz="18"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b/>
                <w:bCs/>
                <w:sz w:val="22"/>
                <w:szCs w:val="22"/>
              </w:rPr>
            </w:pPr>
            <w:r w:rsidRPr="004A3C3F">
              <w:rPr>
                <w:rFonts w:ascii="Times New Roman" w:hAnsi="Times New Roman" w:cs="Times New Roman"/>
                <w:b/>
                <w:bCs/>
                <w:sz w:val="22"/>
                <w:szCs w:val="22"/>
              </w:rPr>
              <w:t>5</w:t>
            </w:r>
          </w:p>
        </w:tc>
      </w:tr>
      <w:tr w:rsidR="00B52DD2" w:rsidRPr="004A3C3F" w:rsidTr="00150C36">
        <w:trPr>
          <w:trHeight w:val="279"/>
        </w:trPr>
        <w:tc>
          <w:tcPr>
            <w:tcW w:w="1405" w:type="dxa"/>
            <w:tcBorders>
              <w:top w:val="single" w:sz="12"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 xml:space="preserve">Trust in </w:t>
            </w:r>
            <w:r w:rsidRPr="004A3C3F">
              <w:rPr>
                <w:rFonts w:ascii="Times New Roman" w:hAnsi="Times New Roman" w:cs="Times New Roman"/>
                <w:i/>
                <w:iCs/>
                <w:sz w:val="20"/>
                <w:szCs w:val="20"/>
              </w:rPr>
              <w:t>DOE &amp; Onsite Storage</w:t>
            </w:r>
          </w:p>
        </w:tc>
        <w:tc>
          <w:tcPr>
            <w:tcW w:w="659" w:type="dxa"/>
            <w:tcBorders>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0.06</w:t>
            </w:r>
          </w:p>
        </w:tc>
        <w:tc>
          <w:tcPr>
            <w:tcW w:w="657" w:type="dxa"/>
            <w:tcBorders>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-0.03</w:t>
            </w:r>
          </w:p>
        </w:tc>
        <w:tc>
          <w:tcPr>
            <w:tcW w:w="656" w:type="dxa"/>
            <w:tcBorders>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-0.11</w:t>
            </w:r>
          </w:p>
        </w:tc>
        <w:tc>
          <w:tcPr>
            <w:tcW w:w="656" w:type="dxa"/>
            <w:tcBorders>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-0.34</w:t>
            </w:r>
          </w:p>
        </w:tc>
        <w:tc>
          <w:tcPr>
            <w:tcW w:w="658" w:type="dxa"/>
            <w:tcBorders>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-0.17</w:t>
            </w:r>
          </w:p>
        </w:tc>
        <w:tc>
          <w:tcPr>
            <w:tcW w:w="733" w:type="dxa"/>
            <w:tcBorders>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-0.24</w:t>
            </w:r>
          </w:p>
        </w:tc>
        <w:tc>
          <w:tcPr>
            <w:tcW w:w="732" w:type="dxa"/>
            <w:tcBorders>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0.55</w:t>
            </w:r>
          </w:p>
        </w:tc>
        <w:tc>
          <w:tcPr>
            <w:tcW w:w="733" w:type="dxa"/>
            <w:tcBorders>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0.28</w:t>
            </w:r>
          </w:p>
        </w:tc>
        <w:tc>
          <w:tcPr>
            <w:tcW w:w="732" w:type="dxa"/>
            <w:tcBorders>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0.64</w:t>
            </w:r>
          </w:p>
        </w:tc>
        <w:tc>
          <w:tcPr>
            <w:tcW w:w="656" w:type="dxa"/>
            <w:tcBorders>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-0.15</w:t>
            </w:r>
          </w:p>
        </w:tc>
        <w:tc>
          <w:tcPr>
            <w:tcW w:w="656" w:type="dxa"/>
            <w:tcBorders>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0.06</w:t>
            </w:r>
          </w:p>
        </w:tc>
      </w:tr>
      <w:tr w:rsidR="00B52DD2" w:rsidRPr="004A3C3F" w:rsidTr="00150C36">
        <w:trPr>
          <w:trHeight w:val="279"/>
        </w:trPr>
        <w:tc>
          <w:tcPr>
            <w:tcW w:w="1405"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 xml:space="preserve">Trust in </w:t>
            </w:r>
            <w:r w:rsidRPr="004A3C3F">
              <w:rPr>
                <w:rFonts w:ascii="Times New Roman" w:hAnsi="Times New Roman" w:cs="Times New Roman"/>
                <w:i/>
                <w:iCs/>
                <w:sz w:val="20"/>
                <w:szCs w:val="20"/>
              </w:rPr>
              <w:t>DOE &amp; Interim Storage</w:t>
            </w:r>
          </w:p>
        </w:tc>
        <w:tc>
          <w:tcPr>
            <w:tcW w:w="659"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0.00</w:t>
            </w:r>
          </w:p>
        </w:tc>
        <w:tc>
          <w:tcPr>
            <w:tcW w:w="657"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0.19</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0.37</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0.28</w:t>
            </w:r>
          </w:p>
        </w:tc>
        <w:tc>
          <w:tcPr>
            <w:tcW w:w="658"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-0.17</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-0.37</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-0.65</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-0.49</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-0.02</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0.50</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0.28</w:t>
            </w:r>
          </w:p>
        </w:tc>
      </w:tr>
      <w:tr w:rsidR="00B52DD2" w:rsidRPr="002C7EB2" w:rsidTr="00150C36">
        <w:trPr>
          <w:trHeight w:val="279"/>
        </w:trPr>
        <w:tc>
          <w:tcPr>
            <w:tcW w:w="1405"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color w:val="1F4E79" w:themeColor="accent5" w:themeShade="80"/>
                <w:sz w:val="20"/>
                <w:szCs w:val="20"/>
              </w:rPr>
            </w:pPr>
            <w:r w:rsidRPr="004A3C3F">
              <w:rPr>
                <w:rFonts w:ascii="Times New Roman" w:hAnsi="Times New Roman" w:cs="Times New Roman"/>
                <w:sz w:val="20"/>
                <w:szCs w:val="20"/>
              </w:rPr>
              <w:t xml:space="preserve">Trust in </w:t>
            </w:r>
            <w:r w:rsidRPr="004A3C3F">
              <w:rPr>
                <w:rFonts w:ascii="Times New Roman" w:hAnsi="Times New Roman" w:cs="Times New Roman"/>
                <w:i/>
                <w:iCs/>
                <w:sz w:val="20"/>
                <w:szCs w:val="20"/>
              </w:rPr>
              <w:t>DOE &amp; Deep Geologic Storage</w:t>
            </w:r>
          </w:p>
        </w:tc>
        <w:tc>
          <w:tcPr>
            <w:tcW w:w="659" w:type="dxa"/>
            <w:tcBorders>
              <w:top w:val="dashSmallGap" w:sz="6" w:space="0" w:color="000000"/>
              <w:bottom w:val="dashSmallGap" w:sz="6" w:space="0" w:color="000000"/>
            </w:tcBorders>
            <w:vAlign w:val="center"/>
          </w:tcPr>
          <w:p w:rsidR="00B52DD2" w:rsidRPr="002C7EB2" w:rsidRDefault="00B52DD2" w:rsidP="00150C36">
            <w:pPr>
              <w:spacing w:line="276" w:lineRule="auto"/>
              <w:jc w:val="center"/>
              <w:rPr>
                <w:rFonts w:ascii="Times New Roman" w:hAnsi="Times New Roman" w:cs="Times New Roman"/>
                <w:sz w:val="20"/>
                <w:szCs w:val="20"/>
              </w:rPr>
            </w:pPr>
            <w:r w:rsidRPr="002C7EB2">
              <w:rPr>
                <w:rFonts w:ascii="Times New Roman" w:hAnsi="Times New Roman" w:cs="Times New Roman"/>
                <w:sz w:val="20"/>
                <w:szCs w:val="20"/>
              </w:rPr>
              <w:t>0.11</w:t>
            </w:r>
          </w:p>
        </w:tc>
        <w:tc>
          <w:tcPr>
            <w:tcW w:w="657" w:type="dxa"/>
            <w:tcBorders>
              <w:top w:val="dashSmallGap" w:sz="6" w:space="0" w:color="000000"/>
              <w:bottom w:val="dashSmallGap" w:sz="6" w:space="0" w:color="000000"/>
            </w:tcBorders>
            <w:vAlign w:val="center"/>
          </w:tcPr>
          <w:p w:rsidR="00B52DD2" w:rsidRPr="002C7EB2" w:rsidRDefault="00B52DD2" w:rsidP="00150C36">
            <w:pPr>
              <w:spacing w:line="276" w:lineRule="auto"/>
              <w:jc w:val="center"/>
              <w:rPr>
                <w:rFonts w:ascii="Times New Roman" w:hAnsi="Times New Roman" w:cs="Times New Roman"/>
                <w:sz w:val="20"/>
                <w:szCs w:val="20"/>
              </w:rPr>
            </w:pPr>
            <w:r w:rsidRPr="002C7EB2">
              <w:rPr>
                <w:rFonts w:ascii="Times New Roman" w:hAnsi="Times New Roman" w:cs="Times New Roman"/>
                <w:sz w:val="20"/>
                <w:szCs w:val="20"/>
              </w:rPr>
              <w:t>-0.33</w:t>
            </w:r>
          </w:p>
        </w:tc>
        <w:tc>
          <w:tcPr>
            <w:tcW w:w="656" w:type="dxa"/>
            <w:tcBorders>
              <w:top w:val="dashSmallGap" w:sz="6" w:space="0" w:color="000000"/>
              <w:bottom w:val="dashSmallGap" w:sz="6" w:space="0" w:color="000000"/>
            </w:tcBorders>
            <w:vAlign w:val="center"/>
          </w:tcPr>
          <w:p w:rsidR="00B52DD2" w:rsidRPr="002C7EB2" w:rsidRDefault="00B52DD2" w:rsidP="00150C36">
            <w:pPr>
              <w:spacing w:line="276" w:lineRule="auto"/>
              <w:jc w:val="center"/>
              <w:rPr>
                <w:rFonts w:ascii="Times New Roman" w:hAnsi="Times New Roman" w:cs="Times New Roman"/>
                <w:sz w:val="20"/>
                <w:szCs w:val="20"/>
              </w:rPr>
            </w:pPr>
            <w:r w:rsidRPr="002C7EB2">
              <w:rPr>
                <w:rFonts w:ascii="Times New Roman" w:hAnsi="Times New Roman" w:cs="Times New Roman"/>
                <w:sz w:val="20"/>
                <w:szCs w:val="20"/>
              </w:rPr>
              <w:t>-0.25</w:t>
            </w:r>
          </w:p>
        </w:tc>
        <w:tc>
          <w:tcPr>
            <w:tcW w:w="656" w:type="dxa"/>
            <w:tcBorders>
              <w:top w:val="dashSmallGap" w:sz="6" w:space="0" w:color="000000"/>
              <w:bottom w:val="dashSmallGap" w:sz="6" w:space="0" w:color="000000"/>
            </w:tcBorders>
            <w:vAlign w:val="center"/>
          </w:tcPr>
          <w:p w:rsidR="00B52DD2" w:rsidRPr="002C7EB2" w:rsidRDefault="00B52DD2" w:rsidP="00150C36">
            <w:pPr>
              <w:spacing w:line="276" w:lineRule="auto"/>
              <w:jc w:val="center"/>
              <w:rPr>
                <w:rFonts w:ascii="Times New Roman" w:hAnsi="Times New Roman" w:cs="Times New Roman"/>
                <w:sz w:val="20"/>
                <w:szCs w:val="20"/>
              </w:rPr>
            </w:pPr>
            <w:r w:rsidRPr="002C7EB2">
              <w:rPr>
                <w:rFonts w:ascii="Times New Roman" w:hAnsi="Times New Roman" w:cs="Times New Roman"/>
                <w:sz w:val="20"/>
                <w:szCs w:val="20"/>
              </w:rPr>
              <w:t>-0.25</w:t>
            </w:r>
          </w:p>
        </w:tc>
        <w:tc>
          <w:tcPr>
            <w:tcW w:w="658" w:type="dxa"/>
            <w:tcBorders>
              <w:top w:val="dashSmallGap" w:sz="6" w:space="0" w:color="000000"/>
              <w:bottom w:val="dashSmallGap" w:sz="6" w:space="0" w:color="000000"/>
            </w:tcBorders>
            <w:vAlign w:val="center"/>
          </w:tcPr>
          <w:p w:rsidR="00B52DD2" w:rsidRPr="002C7EB2" w:rsidRDefault="00B52DD2" w:rsidP="00150C36">
            <w:pPr>
              <w:spacing w:line="276" w:lineRule="auto"/>
              <w:jc w:val="center"/>
              <w:rPr>
                <w:rFonts w:ascii="Times New Roman" w:hAnsi="Times New Roman" w:cs="Times New Roman"/>
                <w:sz w:val="20"/>
                <w:szCs w:val="20"/>
              </w:rPr>
            </w:pPr>
            <w:r w:rsidRPr="002C7EB2">
              <w:rPr>
                <w:rFonts w:ascii="Times New Roman" w:hAnsi="Times New Roman" w:cs="Times New Roman"/>
                <w:sz w:val="20"/>
                <w:szCs w:val="20"/>
              </w:rPr>
              <w:t>-0.14</w:t>
            </w:r>
          </w:p>
        </w:tc>
        <w:tc>
          <w:tcPr>
            <w:tcW w:w="733" w:type="dxa"/>
            <w:tcBorders>
              <w:top w:val="dashSmallGap" w:sz="6" w:space="0" w:color="000000"/>
              <w:bottom w:val="dashSmallGap" w:sz="6" w:space="0" w:color="000000"/>
            </w:tcBorders>
            <w:vAlign w:val="center"/>
          </w:tcPr>
          <w:p w:rsidR="00B52DD2" w:rsidRPr="00992FB7" w:rsidRDefault="00B52DD2" w:rsidP="00150C36">
            <w:pPr>
              <w:spacing w:line="276" w:lineRule="auto"/>
              <w:jc w:val="center"/>
              <w:rPr>
                <w:rFonts w:ascii="Times New Roman" w:hAnsi="Times New Roman" w:cs="Times New Roman"/>
                <w:b/>
                <w:bCs/>
                <w:sz w:val="20"/>
                <w:szCs w:val="20"/>
              </w:rPr>
            </w:pPr>
            <w:r w:rsidRPr="00992FB7">
              <w:rPr>
                <w:rFonts w:ascii="Times New Roman" w:hAnsi="Times New Roman" w:cs="Times New Roman"/>
                <w:b/>
                <w:bCs/>
                <w:sz w:val="20"/>
                <w:szCs w:val="20"/>
              </w:rPr>
              <w:t>0.72*</w:t>
            </w:r>
          </w:p>
        </w:tc>
        <w:tc>
          <w:tcPr>
            <w:tcW w:w="732" w:type="dxa"/>
            <w:tcBorders>
              <w:top w:val="dashSmallGap" w:sz="6" w:space="0" w:color="000000"/>
              <w:bottom w:val="dashSmallGap" w:sz="6" w:space="0" w:color="000000"/>
            </w:tcBorders>
            <w:vAlign w:val="center"/>
          </w:tcPr>
          <w:p w:rsidR="00B52DD2" w:rsidRPr="002C7EB2" w:rsidRDefault="00B52DD2" w:rsidP="00150C36">
            <w:pPr>
              <w:spacing w:line="276" w:lineRule="auto"/>
              <w:jc w:val="center"/>
              <w:rPr>
                <w:rFonts w:ascii="Times New Roman" w:hAnsi="Times New Roman" w:cs="Times New Roman"/>
                <w:sz w:val="20"/>
                <w:szCs w:val="20"/>
              </w:rPr>
            </w:pPr>
            <w:r w:rsidRPr="002C7EB2">
              <w:rPr>
                <w:rFonts w:ascii="Times New Roman" w:hAnsi="Times New Roman" w:cs="Times New Roman"/>
                <w:sz w:val="20"/>
                <w:szCs w:val="20"/>
              </w:rPr>
              <w:t>-0.14</w:t>
            </w:r>
          </w:p>
        </w:tc>
        <w:tc>
          <w:tcPr>
            <w:tcW w:w="733" w:type="dxa"/>
            <w:tcBorders>
              <w:top w:val="dashSmallGap" w:sz="6" w:space="0" w:color="000000"/>
              <w:bottom w:val="dashSmallGap" w:sz="6" w:space="0" w:color="000000"/>
            </w:tcBorders>
            <w:vAlign w:val="center"/>
          </w:tcPr>
          <w:p w:rsidR="00B52DD2" w:rsidRPr="002C7EB2" w:rsidRDefault="00B52DD2" w:rsidP="00150C36">
            <w:pPr>
              <w:spacing w:line="276" w:lineRule="auto"/>
              <w:jc w:val="center"/>
              <w:rPr>
                <w:rFonts w:ascii="Times New Roman" w:hAnsi="Times New Roman" w:cs="Times New Roman"/>
                <w:sz w:val="20"/>
                <w:szCs w:val="20"/>
              </w:rPr>
            </w:pPr>
            <w:r w:rsidRPr="002C7EB2">
              <w:rPr>
                <w:rFonts w:ascii="Times New Roman" w:hAnsi="Times New Roman" w:cs="Times New Roman"/>
                <w:sz w:val="20"/>
                <w:szCs w:val="20"/>
              </w:rPr>
              <w:t>-0.19</w:t>
            </w:r>
          </w:p>
        </w:tc>
        <w:tc>
          <w:tcPr>
            <w:tcW w:w="732" w:type="dxa"/>
            <w:tcBorders>
              <w:top w:val="dashSmallGap" w:sz="6" w:space="0" w:color="000000"/>
              <w:bottom w:val="dashSmallGap" w:sz="6" w:space="0" w:color="000000"/>
            </w:tcBorders>
            <w:vAlign w:val="center"/>
          </w:tcPr>
          <w:p w:rsidR="00B52DD2" w:rsidRPr="002C7EB2" w:rsidRDefault="00B52DD2" w:rsidP="00150C36">
            <w:pPr>
              <w:spacing w:line="276" w:lineRule="auto"/>
              <w:jc w:val="center"/>
              <w:rPr>
                <w:rFonts w:ascii="Times New Roman" w:hAnsi="Times New Roman" w:cs="Times New Roman"/>
                <w:sz w:val="20"/>
                <w:szCs w:val="20"/>
              </w:rPr>
            </w:pPr>
            <w:r w:rsidRPr="002C7EB2">
              <w:rPr>
                <w:rFonts w:ascii="Times New Roman" w:hAnsi="Times New Roman" w:cs="Times New Roman"/>
                <w:sz w:val="20"/>
                <w:szCs w:val="20"/>
              </w:rPr>
              <w:t>-0.20</w:t>
            </w:r>
          </w:p>
        </w:tc>
        <w:tc>
          <w:tcPr>
            <w:tcW w:w="656" w:type="dxa"/>
            <w:tcBorders>
              <w:top w:val="dashSmallGap" w:sz="6" w:space="0" w:color="000000"/>
              <w:bottom w:val="dashSmallGap" w:sz="6" w:space="0" w:color="000000"/>
            </w:tcBorders>
            <w:vAlign w:val="center"/>
          </w:tcPr>
          <w:p w:rsidR="00B52DD2" w:rsidRPr="002C7EB2" w:rsidRDefault="00B52DD2" w:rsidP="00150C36">
            <w:pPr>
              <w:spacing w:line="276" w:lineRule="auto"/>
              <w:jc w:val="center"/>
              <w:rPr>
                <w:rFonts w:ascii="Times New Roman" w:hAnsi="Times New Roman" w:cs="Times New Roman"/>
                <w:sz w:val="20"/>
                <w:szCs w:val="20"/>
              </w:rPr>
            </w:pPr>
            <w:r w:rsidRPr="002C7EB2">
              <w:rPr>
                <w:rFonts w:ascii="Times New Roman" w:hAnsi="Times New Roman" w:cs="Times New Roman"/>
                <w:sz w:val="20"/>
                <w:szCs w:val="20"/>
              </w:rPr>
              <w:t>0.21</w:t>
            </w:r>
          </w:p>
        </w:tc>
        <w:tc>
          <w:tcPr>
            <w:tcW w:w="656" w:type="dxa"/>
            <w:tcBorders>
              <w:top w:val="dashSmallGap" w:sz="6" w:space="0" w:color="000000"/>
              <w:bottom w:val="dashSmallGap" w:sz="6" w:space="0" w:color="000000"/>
            </w:tcBorders>
            <w:vAlign w:val="center"/>
          </w:tcPr>
          <w:p w:rsidR="00B52DD2" w:rsidRPr="002C7EB2" w:rsidRDefault="00B52DD2" w:rsidP="00150C36">
            <w:pPr>
              <w:spacing w:line="276" w:lineRule="auto"/>
              <w:jc w:val="center"/>
              <w:rPr>
                <w:rFonts w:ascii="Times New Roman" w:hAnsi="Times New Roman" w:cs="Times New Roman"/>
                <w:sz w:val="20"/>
                <w:szCs w:val="20"/>
              </w:rPr>
            </w:pPr>
            <w:r w:rsidRPr="002C7EB2">
              <w:rPr>
                <w:rFonts w:ascii="Times New Roman" w:hAnsi="Times New Roman" w:cs="Times New Roman"/>
                <w:sz w:val="20"/>
                <w:szCs w:val="20"/>
              </w:rPr>
              <w:t>0.20</w:t>
            </w:r>
          </w:p>
        </w:tc>
      </w:tr>
      <w:tr w:rsidR="00B52DD2" w:rsidRPr="004A3C3F" w:rsidTr="00150C36">
        <w:trPr>
          <w:trHeight w:val="279"/>
        </w:trPr>
        <w:tc>
          <w:tcPr>
            <w:tcW w:w="1405"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Trust in t</w:t>
            </w:r>
            <w:r w:rsidRPr="004A3C3F">
              <w:rPr>
                <w:rFonts w:ascii="Times New Roman" w:hAnsi="Times New Roman" w:cs="Times New Roman"/>
                <w:i/>
                <w:iCs/>
                <w:sz w:val="20"/>
                <w:szCs w:val="20"/>
              </w:rPr>
              <w:t>he National Labs &amp; Onsite Storage</w:t>
            </w:r>
          </w:p>
        </w:tc>
        <w:tc>
          <w:tcPr>
            <w:tcW w:w="659"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-0.30</w:t>
            </w:r>
          </w:p>
        </w:tc>
        <w:tc>
          <w:tcPr>
            <w:tcW w:w="657"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-0.24</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-0.01</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0.26</w:t>
            </w:r>
          </w:p>
        </w:tc>
        <w:tc>
          <w:tcPr>
            <w:tcW w:w="658"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0.45</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0.26</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0.25</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0.20</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0.15</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-0.23</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-0.24</w:t>
            </w:r>
          </w:p>
        </w:tc>
      </w:tr>
      <w:tr w:rsidR="00B52DD2" w:rsidRPr="004A3C3F" w:rsidTr="00150C36">
        <w:trPr>
          <w:trHeight w:val="279"/>
        </w:trPr>
        <w:tc>
          <w:tcPr>
            <w:tcW w:w="1405"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Trust in t</w:t>
            </w:r>
            <w:r w:rsidRPr="004A3C3F">
              <w:rPr>
                <w:rFonts w:ascii="Times New Roman" w:hAnsi="Times New Roman" w:cs="Times New Roman"/>
                <w:i/>
                <w:iCs/>
                <w:sz w:val="20"/>
                <w:szCs w:val="20"/>
              </w:rPr>
              <w:t>he National Labs &amp; Interim Storage</w:t>
            </w:r>
          </w:p>
        </w:tc>
        <w:tc>
          <w:tcPr>
            <w:tcW w:w="659"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-0.16</w:t>
            </w:r>
          </w:p>
        </w:tc>
        <w:tc>
          <w:tcPr>
            <w:tcW w:w="657"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-0.34</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0.14</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0.71</w:t>
            </w:r>
          </w:p>
        </w:tc>
        <w:tc>
          <w:tcPr>
            <w:tcW w:w="658"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0.10</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-0.67</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-0.22</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0.44</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0.25</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-0.13</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-0.12</w:t>
            </w:r>
          </w:p>
        </w:tc>
      </w:tr>
      <w:tr w:rsidR="00B52DD2" w:rsidRPr="004A3C3F" w:rsidTr="00150C36">
        <w:trPr>
          <w:trHeight w:val="279"/>
        </w:trPr>
        <w:tc>
          <w:tcPr>
            <w:tcW w:w="1405"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Trust in t</w:t>
            </w:r>
            <w:r w:rsidRPr="004A3C3F">
              <w:rPr>
                <w:rFonts w:ascii="Times New Roman" w:hAnsi="Times New Roman" w:cs="Times New Roman"/>
                <w:i/>
                <w:iCs/>
                <w:sz w:val="20"/>
                <w:szCs w:val="20"/>
              </w:rPr>
              <w:t>he National Labs &amp; Deep Geologic Storage</w:t>
            </w:r>
          </w:p>
        </w:tc>
        <w:tc>
          <w:tcPr>
            <w:tcW w:w="659"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-0.06</w:t>
            </w:r>
          </w:p>
        </w:tc>
        <w:tc>
          <w:tcPr>
            <w:tcW w:w="657"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-0.03</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-0.09</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-0.09</w:t>
            </w:r>
          </w:p>
        </w:tc>
        <w:tc>
          <w:tcPr>
            <w:tcW w:w="658"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-0.01</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-0.23</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-0.03</w:t>
            </w:r>
          </w:p>
        </w:tc>
        <w:tc>
          <w:tcPr>
            <w:tcW w:w="733" w:type="dxa"/>
            <w:tcBorders>
              <w:top w:val="dashSmallGap" w:sz="6" w:space="0" w:color="000000"/>
              <w:bottom w:val="dashSmallGap" w:sz="6" w:space="0" w:color="000000"/>
            </w:tcBorders>
            <w:vAlign w:val="center"/>
          </w:tcPr>
          <w:p w:rsidR="00B52DD2" w:rsidRPr="001D6EAB" w:rsidRDefault="00B52DD2" w:rsidP="00150C36">
            <w:pPr>
              <w:spacing w:line="276" w:lineRule="auto"/>
              <w:jc w:val="center"/>
              <w:rPr>
                <w:rFonts w:ascii="Times New Roman" w:hAnsi="Times New Roman" w:cs="Times New Roman"/>
                <w:b/>
                <w:bCs/>
                <w:sz w:val="20"/>
                <w:szCs w:val="20"/>
              </w:rPr>
            </w:pPr>
            <w:r w:rsidRPr="001D6EAB">
              <w:rPr>
                <w:rFonts w:ascii="Times New Roman" w:hAnsi="Times New Roman" w:cs="Times New Roman"/>
                <w:b/>
                <w:bCs/>
                <w:sz w:val="20"/>
                <w:szCs w:val="20"/>
              </w:rPr>
              <w:t>0.61*</w:t>
            </w:r>
          </w:p>
        </w:tc>
        <w:tc>
          <w:tcPr>
            <w:tcW w:w="732" w:type="dxa"/>
            <w:tcBorders>
              <w:top w:val="dashSmallGap" w:sz="6" w:space="0" w:color="000000"/>
              <w:bottom w:val="dashSmallGap" w:sz="6" w:space="0" w:color="000000"/>
            </w:tcBorders>
            <w:vAlign w:val="center"/>
          </w:tcPr>
          <w:p w:rsidR="00B52DD2" w:rsidRPr="001D6EAB" w:rsidRDefault="00B52DD2" w:rsidP="00150C36">
            <w:pPr>
              <w:spacing w:line="276" w:lineRule="auto"/>
              <w:jc w:val="center"/>
              <w:rPr>
                <w:rFonts w:ascii="Times New Roman" w:hAnsi="Times New Roman" w:cs="Times New Roman"/>
                <w:b/>
                <w:bCs/>
                <w:sz w:val="20"/>
                <w:szCs w:val="20"/>
              </w:rPr>
            </w:pPr>
            <w:r w:rsidRPr="001D6EAB">
              <w:rPr>
                <w:rFonts w:ascii="Times New Roman" w:hAnsi="Times New Roman" w:cs="Times New Roman"/>
                <w:b/>
                <w:bCs/>
                <w:sz w:val="20"/>
                <w:szCs w:val="20"/>
              </w:rPr>
              <w:t>0.65*</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0.10</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-0.15</w:t>
            </w:r>
          </w:p>
        </w:tc>
      </w:tr>
      <w:tr w:rsidR="00B52DD2" w:rsidRPr="004A3C3F" w:rsidTr="00150C36">
        <w:trPr>
          <w:trHeight w:val="279"/>
        </w:trPr>
        <w:tc>
          <w:tcPr>
            <w:tcW w:w="1405"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Trust in t</w:t>
            </w:r>
            <w:r w:rsidRPr="004A3C3F">
              <w:rPr>
                <w:rFonts w:ascii="Times New Roman" w:hAnsi="Times New Roman" w:cs="Times New Roman"/>
                <w:i/>
                <w:iCs/>
                <w:sz w:val="20"/>
                <w:szCs w:val="20"/>
              </w:rPr>
              <w:t>he EPA &amp; Onsite Storage</w:t>
            </w:r>
          </w:p>
        </w:tc>
        <w:tc>
          <w:tcPr>
            <w:tcW w:w="659"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-0.23</w:t>
            </w:r>
          </w:p>
        </w:tc>
        <w:tc>
          <w:tcPr>
            <w:tcW w:w="657"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-0.29</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-0.27</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-0.02</w:t>
            </w:r>
          </w:p>
        </w:tc>
        <w:tc>
          <w:tcPr>
            <w:tcW w:w="658"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0.29</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0.40</w:t>
            </w:r>
          </w:p>
        </w:tc>
        <w:tc>
          <w:tcPr>
            <w:tcW w:w="732" w:type="dxa"/>
            <w:tcBorders>
              <w:top w:val="dashSmallGap" w:sz="6" w:space="0" w:color="000000"/>
              <w:bottom w:val="dashSmallGap" w:sz="6" w:space="0" w:color="000000"/>
            </w:tcBorders>
            <w:vAlign w:val="center"/>
          </w:tcPr>
          <w:p w:rsidR="00B52DD2" w:rsidRPr="00B6638D" w:rsidRDefault="00B52DD2" w:rsidP="00150C36">
            <w:pPr>
              <w:spacing w:line="276" w:lineRule="auto"/>
              <w:jc w:val="center"/>
              <w:rPr>
                <w:rFonts w:ascii="Times New Roman" w:hAnsi="Times New Roman" w:cs="Times New Roman"/>
                <w:b/>
                <w:bCs/>
                <w:sz w:val="20"/>
                <w:szCs w:val="20"/>
              </w:rPr>
            </w:pPr>
            <w:r w:rsidRPr="00B6638D">
              <w:rPr>
                <w:rFonts w:ascii="Times New Roman" w:hAnsi="Times New Roman" w:cs="Times New Roman"/>
                <w:b/>
                <w:bCs/>
                <w:sz w:val="20"/>
                <w:szCs w:val="20"/>
              </w:rPr>
              <w:t>0.69*</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0.37</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0.26</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-0.25</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-0.16</w:t>
            </w:r>
          </w:p>
        </w:tc>
      </w:tr>
      <w:tr w:rsidR="00B52DD2" w:rsidRPr="004A3C3F" w:rsidTr="00150C36">
        <w:trPr>
          <w:trHeight w:val="279"/>
        </w:trPr>
        <w:tc>
          <w:tcPr>
            <w:tcW w:w="1405"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Trust in t</w:t>
            </w:r>
            <w:r w:rsidRPr="004A3C3F">
              <w:rPr>
                <w:rFonts w:ascii="Times New Roman" w:hAnsi="Times New Roman" w:cs="Times New Roman"/>
                <w:i/>
                <w:iCs/>
                <w:sz w:val="20"/>
                <w:szCs w:val="20"/>
              </w:rPr>
              <w:t>he EPA &amp; Interim Storage</w:t>
            </w:r>
          </w:p>
        </w:tc>
        <w:tc>
          <w:tcPr>
            <w:tcW w:w="659"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0.03</w:t>
            </w:r>
          </w:p>
        </w:tc>
        <w:tc>
          <w:tcPr>
            <w:tcW w:w="657"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0.22</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0.49</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0.18</w:t>
            </w:r>
          </w:p>
        </w:tc>
        <w:tc>
          <w:tcPr>
            <w:tcW w:w="658"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-0.66</w:t>
            </w:r>
          </w:p>
        </w:tc>
        <w:tc>
          <w:tcPr>
            <w:tcW w:w="733" w:type="dxa"/>
            <w:tcBorders>
              <w:top w:val="dashSmallGap" w:sz="6" w:space="0" w:color="000000"/>
              <w:bottom w:val="dashSmallGap" w:sz="6" w:space="0" w:color="000000"/>
            </w:tcBorders>
            <w:vAlign w:val="center"/>
          </w:tcPr>
          <w:p w:rsidR="00B52DD2" w:rsidRPr="00B6638D" w:rsidRDefault="00B52DD2" w:rsidP="00150C36">
            <w:pPr>
              <w:spacing w:line="276" w:lineRule="auto"/>
              <w:jc w:val="center"/>
              <w:rPr>
                <w:rFonts w:ascii="Times New Roman" w:hAnsi="Times New Roman" w:cs="Times New Roman"/>
                <w:b/>
                <w:bCs/>
                <w:sz w:val="20"/>
                <w:szCs w:val="20"/>
              </w:rPr>
            </w:pPr>
            <w:r w:rsidRPr="00B6638D">
              <w:rPr>
                <w:rFonts w:ascii="Times New Roman" w:hAnsi="Times New Roman" w:cs="Times New Roman"/>
                <w:b/>
                <w:bCs/>
                <w:sz w:val="20"/>
                <w:szCs w:val="20"/>
              </w:rPr>
              <w:t>-0.77*</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-0.15</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0.23</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0.12</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0.20</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0.09</w:t>
            </w:r>
          </w:p>
        </w:tc>
      </w:tr>
      <w:tr w:rsidR="00B52DD2" w:rsidRPr="004A3C3F" w:rsidTr="00150C36">
        <w:trPr>
          <w:trHeight w:val="279"/>
        </w:trPr>
        <w:tc>
          <w:tcPr>
            <w:tcW w:w="1405"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Trust in t</w:t>
            </w:r>
            <w:r w:rsidRPr="004A3C3F">
              <w:rPr>
                <w:rFonts w:ascii="Times New Roman" w:hAnsi="Times New Roman" w:cs="Times New Roman"/>
                <w:i/>
                <w:iCs/>
                <w:sz w:val="20"/>
                <w:szCs w:val="20"/>
              </w:rPr>
              <w:t>he EPA &amp; Deep Geologic Storage</w:t>
            </w:r>
          </w:p>
        </w:tc>
        <w:tc>
          <w:tcPr>
            <w:tcW w:w="659"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0.17</w:t>
            </w:r>
          </w:p>
        </w:tc>
        <w:tc>
          <w:tcPr>
            <w:tcW w:w="657"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0.18</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-0.17</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-0.19</w:t>
            </w:r>
          </w:p>
        </w:tc>
        <w:tc>
          <w:tcPr>
            <w:tcW w:w="658"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0.13</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-0.47</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-0.30</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-0.09</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-0.25</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-0.31</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0.23</w:t>
            </w:r>
          </w:p>
        </w:tc>
      </w:tr>
      <w:tr w:rsidR="00B52DD2" w:rsidRPr="004A3C3F" w:rsidTr="00150C36">
        <w:trPr>
          <w:trHeight w:val="279"/>
        </w:trPr>
        <w:tc>
          <w:tcPr>
            <w:tcW w:w="1405"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Trust in t</w:t>
            </w:r>
            <w:r w:rsidRPr="004A3C3F">
              <w:rPr>
                <w:rFonts w:ascii="Times New Roman" w:hAnsi="Times New Roman" w:cs="Times New Roman"/>
                <w:i/>
                <w:iCs/>
                <w:sz w:val="20"/>
                <w:szCs w:val="20"/>
              </w:rPr>
              <w:t>he NRC &amp; Onsite Storage</w:t>
            </w:r>
          </w:p>
        </w:tc>
        <w:tc>
          <w:tcPr>
            <w:tcW w:w="659"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-0.25</w:t>
            </w:r>
          </w:p>
        </w:tc>
        <w:tc>
          <w:tcPr>
            <w:tcW w:w="657"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-0.32</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-0.29</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-0.07</w:t>
            </w:r>
          </w:p>
        </w:tc>
        <w:tc>
          <w:tcPr>
            <w:tcW w:w="658"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0.27</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0.42</w:t>
            </w:r>
          </w:p>
        </w:tc>
        <w:tc>
          <w:tcPr>
            <w:tcW w:w="732" w:type="dxa"/>
            <w:tcBorders>
              <w:top w:val="dashSmallGap" w:sz="6" w:space="0" w:color="000000"/>
              <w:bottom w:val="dashSmallGap" w:sz="6" w:space="0" w:color="000000"/>
            </w:tcBorders>
            <w:vAlign w:val="center"/>
          </w:tcPr>
          <w:p w:rsidR="00B52DD2" w:rsidRPr="00B6638D" w:rsidRDefault="00B52DD2" w:rsidP="00150C36">
            <w:pPr>
              <w:spacing w:line="276" w:lineRule="auto"/>
              <w:jc w:val="center"/>
              <w:rPr>
                <w:rFonts w:ascii="Times New Roman" w:hAnsi="Times New Roman" w:cs="Times New Roman"/>
                <w:b/>
                <w:bCs/>
                <w:sz w:val="20"/>
                <w:szCs w:val="20"/>
              </w:rPr>
            </w:pPr>
            <w:r w:rsidRPr="00B6638D">
              <w:rPr>
                <w:rFonts w:ascii="Times New Roman" w:hAnsi="Times New Roman" w:cs="Times New Roman"/>
                <w:b/>
                <w:bCs/>
                <w:sz w:val="20"/>
                <w:szCs w:val="20"/>
              </w:rPr>
              <w:t>0.76*</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0.45</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0.35</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-0.21</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-0.21</w:t>
            </w:r>
          </w:p>
        </w:tc>
      </w:tr>
      <w:tr w:rsidR="00B52DD2" w:rsidRPr="004A3C3F" w:rsidTr="00150C36">
        <w:trPr>
          <w:trHeight w:val="279"/>
        </w:trPr>
        <w:tc>
          <w:tcPr>
            <w:tcW w:w="1405"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Trust in t</w:t>
            </w:r>
            <w:r w:rsidRPr="004A3C3F">
              <w:rPr>
                <w:rFonts w:ascii="Times New Roman" w:hAnsi="Times New Roman" w:cs="Times New Roman"/>
                <w:i/>
                <w:iCs/>
                <w:sz w:val="20"/>
                <w:szCs w:val="20"/>
              </w:rPr>
              <w:t>he NRC &amp; Interim Storage</w:t>
            </w:r>
          </w:p>
        </w:tc>
        <w:tc>
          <w:tcPr>
            <w:tcW w:w="659"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0.06</w:t>
            </w:r>
          </w:p>
        </w:tc>
        <w:tc>
          <w:tcPr>
            <w:tcW w:w="657"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0.31</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0.52</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0.14</w:t>
            </w:r>
          </w:p>
        </w:tc>
        <w:tc>
          <w:tcPr>
            <w:tcW w:w="658"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-0.66</w:t>
            </w:r>
          </w:p>
        </w:tc>
        <w:tc>
          <w:tcPr>
            <w:tcW w:w="733" w:type="dxa"/>
            <w:tcBorders>
              <w:top w:val="dashSmallGap" w:sz="6" w:space="0" w:color="000000"/>
              <w:bottom w:val="dashSmallGap" w:sz="6" w:space="0" w:color="000000"/>
            </w:tcBorders>
            <w:vAlign w:val="center"/>
          </w:tcPr>
          <w:p w:rsidR="00B52DD2" w:rsidRPr="00B6638D" w:rsidRDefault="00B52DD2" w:rsidP="00150C36">
            <w:pPr>
              <w:spacing w:line="276" w:lineRule="auto"/>
              <w:jc w:val="center"/>
              <w:rPr>
                <w:rFonts w:ascii="Times New Roman" w:hAnsi="Times New Roman" w:cs="Times New Roman"/>
                <w:b/>
                <w:bCs/>
                <w:sz w:val="20"/>
                <w:szCs w:val="20"/>
              </w:rPr>
            </w:pPr>
            <w:r w:rsidRPr="00B6638D">
              <w:rPr>
                <w:rFonts w:ascii="Times New Roman" w:hAnsi="Times New Roman" w:cs="Times New Roman"/>
                <w:b/>
                <w:bCs/>
                <w:sz w:val="20"/>
                <w:szCs w:val="20"/>
              </w:rPr>
              <w:t>-0.81*</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-0.32</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0.13</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0.21</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0.29</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0.13</w:t>
            </w:r>
          </w:p>
        </w:tc>
      </w:tr>
      <w:tr w:rsidR="00B52DD2" w:rsidRPr="004A3C3F" w:rsidTr="00150C36">
        <w:trPr>
          <w:trHeight w:val="279"/>
        </w:trPr>
        <w:tc>
          <w:tcPr>
            <w:tcW w:w="1405"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Trust in t</w:t>
            </w:r>
            <w:r w:rsidRPr="004A3C3F">
              <w:rPr>
                <w:rFonts w:ascii="Times New Roman" w:hAnsi="Times New Roman" w:cs="Times New Roman"/>
                <w:i/>
                <w:iCs/>
                <w:sz w:val="20"/>
                <w:szCs w:val="20"/>
              </w:rPr>
              <w:t>he NRC &amp; Deep Geologic Storage</w:t>
            </w:r>
          </w:p>
        </w:tc>
        <w:tc>
          <w:tcPr>
            <w:tcW w:w="659"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0.19</w:t>
            </w:r>
          </w:p>
        </w:tc>
        <w:tc>
          <w:tcPr>
            <w:tcW w:w="657"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0.15</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-0.11</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-0.18</w:t>
            </w:r>
          </w:p>
        </w:tc>
        <w:tc>
          <w:tcPr>
            <w:tcW w:w="658"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0.06</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-0.46</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-0.30</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-0.15</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-0.31</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-0.28</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0.15</w:t>
            </w:r>
          </w:p>
        </w:tc>
      </w:tr>
      <w:tr w:rsidR="00B52DD2" w:rsidRPr="004A3C3F" w:rsidTr="00150C36">
        <w:trPr>
          <w:trHeight w:val="279"/>
        </w:trPr>
        <w:tc>
          <w:tcPr>
            <w:tcW w:w="1405"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lastRenderedPageBreak/>
              <w:t>Trust in t</w:t>
            </w:r>
            <w:r w:rsidRPr="004A3C3F">
              <w:rPr>
                <w:rFonts w:ascii="Times New Roman" w:hAnsi="Times New Roman" w:cs="Times New Roman"/>
                <w:i/>
                <w:iCs/>
                <w:sz w:val="20"/>
                <w:szCs w:val="20"/>
              </w:rPr>
              <w:t>he State Regulators &amp; Onsite Storage</w:t>
            </w:r>
          </w:p>
        </w:tc>
        <w:tc>
          <w:tcPr>
            <w:tcW w:w="659"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0.27</w:t>
            </w:r>
          </w:p>
        </w:tc>
        <w:tc>
          <w:tcPr>
            <w:tcW w:w="657"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0.08</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0.12</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-0.41</w:t>
            </w:r>
          </w:p>
        </w:tc>
        <w:tc>
          <w:tcPr>
            <w:tcW w:w="658"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-0.05</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-0.56</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0.25</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-0.14</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0.60</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-0.21</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0.04</w:t>
            </w:r>
          </w:p>
        </w:tc>
      </w:tr>
      <w:tr w:rsidR="00B52DD2" w:rsidRPr="004A3C3F" w:rsidTr="00150C36">
        <w:trPr>
          <w:trHeight w:val="279"/>
        </w:trPr>
        <w:tc>
          <w:tcPr>
            <w:tcW w:w="1405"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Trust in t</w:t>
            </w:r>
            <w:r w:rsidRPr="004A3C3F">
              <w:rPr>
                <w:rFonts w:ascii="Times New Roman" w:hAnsi="Times New Roman" w:cs="Times New Roman"/>
                <w:i/>
                <w:iCs/>
                <w:sz w:val="20"/>
                <w:szCs w:val="20"/>
              </w:rPr>
              <w:t>he State Regulators &amp; Interim Storage</w:t>
            </w:r>
          </w:p>
        </w:tc>
        <w:tc>
          <w:tcPr>
            <w:tcW w:w="659"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-0.06</w:t>
            </w:r>
          </w:p>
        </w:tc>
        <w:tc>
          <w:tcPr>
            <w:tcW w:w="657"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0.14</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0.36</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0.30</w:t>
            </w:r>
          </w:p>
        </w:tc>
        <w:tc>
          <w:tcPr>
            <w:tcW w:w="658"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-0.18</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-0.30</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-0.52</w:t>
            </w:r>
          </w:p>
        </w:tc>
        <w:tc>
          <w:tcPr>
            <w:tcW w:w="733"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-0.48</w:t>
            </w:r>
          </w:p>
        </w:tc>
        <w:tc>
          <w:tcPr>
            <w:tcW w:w="732"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-0.05</w:t>
            </w:r>
          </w:p>
        </w:tc>
        <w:tc>
          <w:tcPr>
            <w:tcW w:w="656" w:type="dxa"/>
            <w:tcBorders>
              <w:top w:val="dashSmallGap" w:sz="6" w:space="0" w:color="000000"/>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0.49</w:t>
            </w:r>
          </w:p>
        </w:tc>
        <w:tc>
          <w:tcPr>
            <w:tcW w:w="656" w:type="dxa"/>
            <w:tcBorders>
              <w:bottom w:val="dashSmallGap" w:sz="6"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0.29</w:t>
            </w:r>
          </w:p>
        </w:tc>
      </w:tr>
      <w:tr w:rsidR="00B52DD2" w:rsidRPr="004A3C3F" w:rsidTr="00150C36">
        <w:trPr>
          <w:trHeight w:val="279"/>
        </w:trPr>
        <w:tc>
          <w:tcPr>
            <w:tcW w:w="1405" w:type="dxa"/>
            <w:tcBorders>
              <w:top w:val="dashSmallGap" w:sz="6"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Trust in t</w:t>
            </w:r>
            <w:r w:rsidRPr="004A3C3F">
              <w:rPr>
                <w:rFonts w:ascii="Times New Roman" w:hAnsi="Times New Roman" w:cs="Times New Roman"/>
                <w:i/>
                <w:iCs/>
                <w:sz w:val="20"/>
                <w:szCs w:val="20"/>
              </w:rPr>
              <w:t>he State Regulators &amp; Deep Geologic Storage</w:t>
            </w:r>
          </w:p>
        </w:tc>
        <w:tc>
          <w:tcPr>
            <w:tcW w:w="659" w:type="dxa"/>
            <w:tcBorders>
              <w:top w:val="dashSmallGap" w:sz="6"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0.41</w:t>
            </w:r>
          </w:p>
        </w:tc>
        <w:tc>
          <w:tcPr>
            <w:tcW w:w="657" w:type="dxa"/>
            <w:tcBorders>
              <w:top w:val="dashSmallGap" w:sz="6"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0.01</w:t>
            </w:r>
          </w:p>
        </w:tc>
        <w:tc>
          <w:tcPr>
            <w:tcW w:w="656" w:type="dxa"/>
            <w:tcBorders>
              <w:top w:val="dashSmallGap" w:sz="6"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-0.02</w:t>
            </w:r>
          </w:p>
        </w:tc>
        <w:tc>
          <w:tcPr>
            <w:tcW w:w="656" w:type="dxa"/>
            <w:tcBorders>
              <w:top w:val="dashSmallGap" w:sz="6"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-0.26</w:t>
            </w:r>
          </w:p>
        </w:tc>
        <w:tc>
          <w:tcPr>
            <w:tcW w:w="658" w:type="dxa"/>
            <w:tcBorders>
              <w:top w:val="dashSmallGap" w:sz="6"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-0.05</w:t>
            </w:r>
          </w:p>
        </w:tc>
        <w:tc>
          <w:tcPr>
            <w:tcW w:w="733" w:type="dxa"/>
            <w:tcBorders>
              <w:top w:val="dashSmallGap" w:sz="6" w:space="0" w:color="000000"/>
              <w:bottom w:val="single" w:sz="12" w:space="0" w:color="000000"/>
            </w:tcBorders>
            <w:vAlign w:val="center"/>
          </w:tcPr>
          <w:p w:rsidR="00B52DD2" w:rsidRPr="002D5A35" w:rsidRDefault="00B52DD2" w:rsidP="00150C36">
            <w:pPr>
              <w:spacing w:line="276" w:lineRule="auto"/>
              <w:jc w:val="center"/>
              <w:rPr>
                <w:rFonts w:ascii="Times New Roman" w:hAnsi="Times New Roman" w:cs="Times New Roman"/>
                <w:i/>
                <w:iCs/>
                <w:sz w:val="20"/>
                <w:szCs w:val="20"/>
              </w:rPr>
            </w:pPr>
            <w:r w:rsidRPr="002D5A35">
              <w:rPr>
                <w:rFonts w:ascii="Times New Roman" w:hAnsi="Times New Roman" w:cs="Times New Roman"/>
                <w:i/>
                <w:iCs/>
                <w:sz w:val="20"/>
                <w:szCs w:val="20"/>
              </w:rPr>
              <w:t>-0.76</w:t>
            </w:r>
          </w:p>
        </w:tc>
        <w:tc>
          <w:tcPr>
            <w:tcW w:w="732" w:type="dxa"/>
            <w:tcBorders>
              <w:top w:val="dashSmallGap" w:sz="6" w:space="0" w:color="000000"/>
              <w:bottom w:val="single" w:sz="12" w:space="0" w:color="000000"/>
            </w:tcBorders>
            <w:vAlign w:val="center"/>
          </w:tcPr>
          <w:p w:rsidR="00B52DD2" w:rsidRPr="002D5A35" w:rsidRDefault="00B52DD2" w:rsidP="00150C36">
            <w:pPr>
              <w:spacing w:line="276" w:lineRule="auto"/>
              <w:jc w:val="center"/>
              <w:rPr>
                <w:rFonts w:ascii="Times New Roman" w:hAnsi="Times New Roman" w:cs="Times New Roman"/>
                <w:sz w:val="20"/>
                <w:szCs w:val="20"/>
              </w:rPr>
            </w:pPr>
            <w:r w:rsidRPr="002D5A35">
              <w:rPr>
                <w:rFonts w:ascii="Times New Roman" w:hAnsi="Times New Roman" w:cs="Times New Roman"/>
                <w:sz w:val="20"/>
                <w:szCs w:val="20"/>
              </w:rPr>
              <w:t>0.35</w:t>
            </w:r>
          </w:p>
        </w:tc>
        <w:tc>
          <w:tcPr>
            <w:tcW w:w="733" w:type="dxa"/>
            <w:tcBorders>
              <w:top w:val="dashSmallGap" w:sz="6"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0.07</w:t>
            </w:r>
          </w:p>
        </w:tc>
        <w:tc>
          <w:tcPr>
            <w:tcW w:w="732" w:type="dxa"/>
            <w:tcBorders>
              <w:top w:val="dashSmallGap" w:sz="6"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0.09</w:t>
            </w:r>
          </w:p>
        </w:tc>
        <w:tc>
          <w:tcPr>
            <w:tcW w:w="656" w:type="dxa"/>
            <w:tcBorders>
              <w:top w:val="dashSmallGap" w:sz="6"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0.08</w:t>
            </w:r>
          </w:p>
        </w:tc>
        <w:tc>
          <w:tcPr>
            <w:tcW w:w="656" w:type="dxa"/>
            <w:tcBorders>
              <w:top w:val="dashSmallGap" w:sz="6" w:space="0" w:color="000000"/>
              <w:bottom w:val="single" w:sz="12" w:space="0" w:color="000000"/>
            </w:tcBorders>
            <w:vAlign w:val="center"/>
          </w:tcPr>
          <w:p w:rsidR="00B52DD2" w:rsidRPr="004A3C3F" w:rsidRDefault="00B52DD2" w:rsidP="00150C36">
            <w:pPr>
              <w:spacing w:line="276" w:lineRule="auto"/>
              <w:jc w:val="center"/>
              <w:rPr>
                <w:rFonts w:ascii="Times New Roman" w:hAnsi="Times New Roman" w:cs="Times New Roman"/>
                <w:sz w:val="20"/>
                <w:szCs w:val="20"/>
              </w:rPr>
            </w:pPr>
            <w:r w:rsidRPr="004A3C3F">
              <w:rPr>
                <w:rFonts w:ascii="Times New Roman" w:hAnsi="Times New Roman" w:cs="Times New Roman"/>
                <w:sz w:val="20"/>
                <w:szCs w:val="20"/>
              </w:rPr>
              <w:t>0.08</w:t>
            </w:r>
          </w:p>
        </w:tc>
      </w:tr>
    </w:tbl>
    <w:p w:rsidR="00B52DD2" w:rsidRPr="005E5DD9" w:rsidRDefault="00B52DD2" w:rsidP="00B52DD2">
      <w:pPr>
        <w:rPr>
          <w:rFonts w:ascii="Times New Roman" w:hAnsi="Times New Roman" w:cs="Times New Roman"/>
          <w:sz w:val="22"/>
          <w:szCs w:val="22"/>
        </w:rPr>
      </w:pPr>
      <w:r w:rsidRPr="00FC40B8">
        <w:rPr>
          <w:rFonts w:ascii="Times New Roman" w:hAnsi="Times New Roman" w:cs="Times New Roman"/>
          <w:sz w:val="20"/>
          <w:szCs w:val="20"/>
        </w:rPr>
        <w:t>Note:</w:t>
      </w:r>
      <w:r>
        <w:rPr>
          <w:rFonts w:ascii="Times New Roman" w:hAnsi="Times New Roman" w:cs="Times New Roman"/>
          <w:sz w:val="20"/>
          <w:szCs w:val="20"/>
        </w:rPr>
        <w:t xml:space="preserve"> The *denotes a significantly strong correlation at a given lag period.</w:t>
      </w:r>
    </w:p>
    <w:p w:rsidR="00B52DD2" w:rsidRDefault="00B52DD2" w:rsidP="00B52DD2">
      <w:pPr>
        <w:rPr>
          <w:rFonts w:ascii="Times New Roman" w:hAnsi="Times New Roman" w:cs="Times New Roman"/>
        </w:rPr>
      </w:pPr>
    </w:p>
    <w:p w:rsidR="00B52DD2" w:rsidRDefault="00B52DD2" w:rsidP="00B52DD2">
      <w:pPr>
        <w:rPr>
          <w:rFonts w:ascii="Times New Roman" w:hAnsi="Times New Roman" w:cs="Times New Roman"/>
        </w:rPr>
      </w:pPr>
      <w:r>
        <w:rPr>
          <w:rFonts w:ascii="Times New Roman" w:hAnsi="Times New Roman" w:cs="Times New Roman"/>
        </w:rPr>
        <w:br w:type="page"/>
      </w:r>
    </w:p>
    <w:p w:rsidR="00B52DD2" w:rsidRDefault="00B52DD2" w:rsidP="00B52DD2">
      <w:pPr>
        <w:rPr>
          <w:rFonts w:ascii="Times New Roman" w:hAnsi="Times New Roman" w:cs="Times New Roman"/>
        </w:rPr>
      </w:pPr>
      <w:r w:rsidRPr="0052595D">
        <w:rPr>
          <w:rFonts w:ascii="Times New Roman" w:hAnsi="Times New Roman" w:cs="Times New Roman"/>
          <w:b/>
          <w:bCs/>
        </w:rPr>
        <w:lastRenderedPageBreak/>
        <w:t>Table 3-C3.</w:t>
      </w:r>
      <w:r>
        <w:rPr>
          <w:rFonts w:ascii="Times New Roman" w:hAnsi="Times New Roman" w:cs="Times New Roman"/>
        </w:rPr>
        <w:t xml:space="preserve"> </w:t>
      </w:r>
      <w:r w:rsidRPr="009164F0">
        <w:rPr>
          <w:rFonts w:ascii="Times New Roman" w:hAnsi="Times New Roman" w:cs="Times New Roman"/>
        </w:rPr>
        <w:t xml:space="preserve">Correlations by lag between Series of </w:t>
      </w:r>
      <w:r>
        <w:rPr>
          <w:rFonts w:ascii="Times New Roman" w:hAnsi="Times New Roman" w:cs="Times New Roman"/>
        </w:rPr>
        <w:t>Fraction of Correct Knowledge</w:t>
      </w:r>
      <w:r w:rsidRPr="009164F0">
        <w:rPr>
          <w:rFonts w:ascii="Times New Roman" w:hAnsi="Times New Roman" w:cs="Times New Roman"/>
        </w:rPr>
        <w:t xml:space="preserve"> </w:t>
      </w:r>
      <w:r>
        <w:rPr>
          <w:rFonts w:ascii="Times New Roman" w:hAnsi="Times New Roman" w:cs="Times New Roman"/>
        </w:rPr>
        <w:t xml:space="preserve">Response </w:t>
      </w:r>
      <w:r w:rsidRPr="009164F0">
        <w:rPr>
          <w:rFonts w:ascii="Times New Roman" w:hAnsi="Times New Roman" w:cs="Times New Roman"/>
        </w:rPr>
        <w:t>and SNF Preferences</w:t>
      </w:r>
    </w:p>
    <w:p w:rsidR="00B52DD2" w:rsidRDefault="00B52DD2" w:rsidP="00B52DD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5"/>
        <w:gridCol w:w="704"/>
        <w:gridCol w:w="701"/>
        <w:gridCol w:w="701"/>
        <w:gridCol w:w="700"/>
        <w:gridCol w:w="703"/>
        <w:gridCol w:w="703"/>
        <w:gridCol w:w="700"/>
        <w:gridCol w:w="703"/>
        <w:gridCol w:w="700"/>
        <w:gridCol w:w="700"/>
        <w:gridCol w:w="700"/>
      </w:tblGrid>
      <w:tr w:rsidR="00B52DD2" w:rsidRPr="00606F31" w:rsidTr="00150C36">
        <w:trPr>
          <w:trHeight w:val="414"/>
        </w:trPr>
        <w:tc>
          <w:tcPr>
            <w:tcW w:w="2027" w:type="dxa"/>
            <w:tcBorders>
              <w:top w:val="single" w:sz="12" w:space="0" w:color="000000"/>
              <w:bottom w:val="single" w:sz="12" w:space="0" w:color="000000"/>
            </w:tcBorders>
          </w:tcPr>
          <w:p w:rsidR="00B52DD2" w:rsidRPr="00606F31" w:rsidRDefault="00B52DD2" w:rsidP="00150C36">
            <w:pPr>
              <w:jc w:val="right"/>
              <w:rPr>
                <w:rFonts w:ascii="Times New Roman" w:hAnsi="Times New Roman" w:cs="Times New Roman"/>
                <w:sz w:val="22"/>
                <w:szCs w:val="22"/>
              </w:rPr>
            </w:pPr>
            <w:r w:rsidRPr="00606F31">
              <w:rPr>
                <w:rFonts w:ascii="Times New Roman" w:hAnsi="Times New Roman" w:cs="Times New Roman"/>
                <w:sz w:val="22"/>
                <w:szCs w:val="22"/>
              </w:rPr>
              <w:t>Lag</w:t>
            </w:r>
          </w:p>
        </w:tc>
        <w:tc>
          <w:tcPr>
            <w:tcW w:w="807" w:type="dxa"/>
            <w:tcBorders>
              <w:top w:val="single" w:sz="12" w:space="0" w:color="000000"/>
              <w:bottom w:val="single" w:sz="12" w:space="0" w:color="000000"/>
            </w:tcBorders>
            <w:vAlign w:val="center"/>
          </w:tcPr>
          <w:p w:rsidR="00B52DD2" w:rsidRPr="00606F31" w:rsidRDefault="00B52DD2" w:rsidP="00150C36">
            <w:pPr>
              <w:jc w:val="center"/>
              <w:rPr>
                <w:rFonts w:ascii="Times New Roman" w:hAnsi="Times New Roman" w:cs="Times New Roman"/>
                <w:sz w:val="22"/>
                <w:szCs w:val="22"/>
              </w:rPr>
            </w:pPr>
            <w:r w:rsidRPr="00606F31">
              <w:rPr>
                <w:rFonts w:ascii="Times New Roman" w:hAnsi="Times New Roman" w:cs="Times New Roman"/>
                <w:sz w:val="22"/>
                <w:szCs w:val="22"/>
              </w:rPr>
              <w:t>-5</w:t>
            </w:r>
          </w:p>
        </w:tc>
        <w:tc>
          <w:tcPr>
            <w:tcW w:w="802" w:type="dxa"/>
            <w:tcBorders>
              <w:top w:val="single" w:sz="12" w:space="0" w:color="000000"/>
              <w:bottom w:val="single" w:sz="12" w:space="0" w:color="000000"/>
            </w:tcBorders>
            <w:vAlign w:val="center"/>
          </w:tcPr>
          <w:p w:rsidR="00B52DD2" w:rsidRPr="00606F31" w:rsidRDefault="00B52DD2" w:rsidP="00150C36">
            <w:pPr>
              <w:jc w:val="center"/>
              <w:rPr>
                <w:rFonts w:ascii="Times New Roman" w:hAnsi="Times New Roman" w:cs="Times New Roman"/>
                <w:sz w:val="22"/>
                <w:szCs w:val="22"/>
              </w:rPr>
            </w:pPr>
            <w:r w:rsidRPr="00606F31">
              <w:rPr>
                <w:rFonts w:ascii="Times New Roman" w:hAnsi="Times New Roman" w:cs="Times New Roman"/>
                <w:sz w:val="22"/>
                <w:szCs w:val="22"/>
              </w:rPr>
              <w:t>-4</w:t>
            </w:r>
          </w:p>
        </w:tc>
        <w:tc>
          <w:tcPr>
            <w:tcW w:w="802" w:type="dxa"/>
            <w:tcBorders>
              <w:top w:val="single" w:sz="12" w:space="0" w:color="000000"/>
              <w:bottom w:val="single" w:sz="12" w:space="0" w:color="000000"/>
            </w:tcBorders>
            <w:vAlign w:val="center"/>
          </w:tcPr>
          <w:p w:rsidR="00B52DD2" w:rsidRPr="00606F31" w:rsidRDefault="00B52DD2" w:rsidP="00150C36">
            <w:pPr>
              <w:jc w:val="center"/>
              <w:rPr>
                <w:rFonts w:ascii="Times New Roman" w:hAnsi="Times New Roman" w:cs="Times New Roman"/>
                <w:sz w:val="22"/>
                <w:szCs w:val="22"/>
              </w:rPr>
            </w:pPr>
            <w:r w:rsidRPr="00606F31">
              <w:rPr>
                <w:rFonts w:ascii="Times New Roman" w:hAnsi="Times New Roman" w:cs="Times New Roman"/>
                <w:sz w:val="22"/>
                <w:szCs w:val="22"/>
              </w:rPr>
              <w:t>-3</w:t>
            </w:r>
          </w:p>
        </w:tc>
        <w:tc>
          <w:tcPr>
            <w:tcW w:w="802" w:type="dxa"/>
            <w:tcBorders>
              <w:top w:val="single" w:sz="12" w:space="0" w:color="000000"/>
              <w:bottom w:val="single" w:sz="12" w:space="0" w:color="000000"/>
            </w:tcBorders>
            <w:vAlign w:val="center"/>
          </w:tcPr>
          <w:p w:rsidR="00B52DD2" w:rsidRPr="00606F31" w:rsidRDefault="00B52DD2" w:rsidP="00150C36">
            <w:pPr>
              <w:jc w:val="center"/>
              <w:rPr>
                <w:rFonts w:ascii="Times New Roman" w:hAnsi="Times New Roman" w:cs="Times New Roman"/>
                <w:sz w:val="22"/>
                <w:szCs w:val="22"/>
              </w:rPr>
            </w:pPr>
            <w:r w:rsidRPr="00606F31">
              <w:rPr>
                <w:rFonts w:ascii="Times New Roman" w:hAnsi="Times New Roman" w:cs="Times New Roman"/>
                <w:sz w:val="22"/>
                <w:szCs w:val="22"/>
              </w:rPr>
              <w:t>-2</w:t>
            </w:r>
          </w:p>
        </w:tc>
        <w:tc>
          <w:tcPr>
            <w:tcW w:w="807" w:type="dxa"/>
            <w:tcBorders>
              <w:top w:val="single" w:sz="12" w:space="0" w:color="000000"/>
              <w:bottom w:val="single" w:sz="12" w:space="0" w:color="000000"/>
            </w:tcBorders>
            <w:vAlign w:val="center"/>
          </w:tcPr>
          <w:p w:rsidR="00B52DD2" w:rsidRPr="00606F31" w:rsidRDefault="00B52DD2" w:rsidP="00150C36">
            <w:pPr>
              <w:jc w:val="center"/>
              <w:rPr>
                <w:rFonts w:ascii="Times New Roman" w:hAnsi="Times New Roman" w:cs="Times New Roman"/>
                <w:sz w:val="22"/>
                <w:szCs w:val="22"/>
              </w:rPr>
            </w:pPr>
            <w:r w:rsidRPr="00606F31">
              <w:rPr>
                <w:rFonts w:ascii="Times New Roman" w:hAnsi="Times New Roman" w:cs="Times New Roman"/>
                <w:sz w:val="22"/>
                <w:szCs w:val="22"/>
              </w:rPr>
              <w:t>-1</w:t>
            </w:r>
          </w:p>
        </w:tc>
        <w:tc>
          <w:tcPr>
            <w:tcW w:w="807" w:type="dxa"/>
            <w:tcBorders>
              <w:top w:val="single" w:sz="12" w:space="0" w:color="000000"/>
              <w:bottom w:val="single" w:sz="12" w:space="0" w:color="000000"/>
            </w:tcBorders>
            <w:vAlign w:val="center"/>
          </w:tcPr>
          <w:p w:rsidR="00B52DD2" w:rsidRPr="00606F31" w:rsidRDefault="00B52DD2" w:rsidP="00150C36">
            <w:pPr>
              <w:jc w:val="center"/>
              <w:rPr>
                <w:rFonts w:ascii="Times New Roman" w:hAnsi="Times New Roman" w:cs="Times New Roman"/>
                <w:sz w:val="22"/>
                <w:szCs w:val="22"/>
              </w:rPr>
            </w:pPr>
            <w:r w:rsidRPr="00606F31">
              <w:rPr>
                <w:rFonts w:ascii="Times New Roman" w:hAnsi="Times New Roman" w:cs="Times New Roman"/>
                <w:sz w:val="22"/>
                <w:szCs w:val="22"/>
              </w:rPr>
              <w:t>0</w:t>
            </w:r>
          </w:p>
        </w:tc>
        <w:tc>
          <w:tcPr>
            <w:tcW w:w="802" w:type="dxa"/>
            <w:tcBorders>
              <w:top w:val="single" w:sz="12" w:space="0" w:color="000000"/>
              <w:bottom w:val="single" w:sz="12" w:space="0" w:color="000000"/>
            </w:tcBorders>
            <w:vAlign w:val="center"/>
          </w:tcPr>
          <w:p w:rsidR="00B52DD2" w:rsidRPr="00606F31" w:rsidRDefault="00B52DD2" w:rsidP="00150C36">
            <w:pPr>
              <w:jc w:val="center"/>
              <w:rPr>
                <w:rFonts w:ascii="Times New Roman" w:hAnsi="Times New Roman" w:cs="Times New Roman"/>
                <w:sz w:val="22"/>
                <w:szCs w:val="22"/>
              </w:rPr>
            </w:pPr>
            <w:r w:rsidRPr="00606F31">
              <w:rPr>
                <w:rFonts w:ascii="Times New Roman" w:hAnsi="Times New Roman" w:cs="Times New Roman"/>
                <w:sz w:val="22"/>
                <w:szCs w:val="22"/>
              </w:rPr>
              <w:t>1</w:t>
            </w:r>
          </w:p>
        </w:tc>
        <w:tc>
          <w:tcPr>
            <w:tcW w:w="807" w:type="dxa"/>
            <w:tcBorders>
              <w:top w:val="single" w:sz="12" w:space="0" w:color="000000"/>
              <w:bottom w:val="single" w:sz="12" w:space="0" w:color="000000"/>
            </w:tcBorders>
            <w:vAlign w:val="center"/>
          </w:tcPr>
          <w:p w:rsidR="00B52DD2" w:rsidRPr="00606F31" w:rsidRDefault="00B52DD2" w:rsidP="00150C36">
            <w:pPr>
              <w:jc w:val="center"/>
              <w:rPr>
                <w:rFonts w:ascii="Times New Roman" w:hAnsi="Times New Roman" w:cs="Times New Roman"/>
                <w:sz w:val="22"/>
                <w:szCs w:val="22"/>
              </w:rPr>
            </w:pPr>
            <w:r w:rsidRPr="00606F31">
              <w:rPr>
                <w:rFonts w:ascii="Times New Roman" w:hAnsi="Times New Roman" w:cs="Times New Roman"/>
                <w:sz w:val="22"/>
                <w:szCs w:val="22"/>
              </w:rPr>
              <w:t>2</w:t>
            </w:r>
          </w:p>
        </w:tc>
        <w:tc>
          <w:tcPr>
            <w:tcW w:w="802" w:type="dxa"/>
            <w:tcBorders>
              <w:top w:val="single" w:sz="12" w:space="0" w:color="000000"/>
              <w:bottom w:val="single" w:sz="12" w:space="0" w:color="000000"/>
            </w:tcBorders>
            <w:vAlign w:val="center"/>
          </w:tcPr>
          <w:p w:rsidR="00B52DD2" w:rsidRPr="00606F31" w:rsidRDefault="00B52DD2" w:rsidP="00150C36">
            <w:pPr>
              <w:jc w:val="center"/>
              <w:rPr>
                <w:rFonts w:ascii="Times New Roman" w:hAnsi="Times New Roman" w:cs="Times New Roman"/>
                <w:sz w:val="22"/>
                <w:szCs w:val="22"/>
              </w:rPr>
            </w:pPr>
            <w:r w:rsidRPr="00606F31">
              <w:rPr>
                <w:rFonts w:ascii="Times New Roman" w:hAnsi="Times New Roman" w:cs="Times New Roman"/>
                <w:sz w:val="22"/>
                <w:szCs w:val="22"/>
              </w:rPr>
              <w:t>3</w:t>
            </w:r>
          </w:p>
        </w:tc>
        <w:tc>
          <w:tcPr>
            <w:tcW w:w="802" w:type="dxa"/>
            <w:tcBorders>
              <w:top w:val="single" w:sz="12" w:space="0" w:color="000000"/>
              <w:bottom w:val="single" w:sz="12" w:space="0" w:color="000000"/>
            </w:tcBorders>
            <w:vAlign w:val="center"/>
          </w:tcPr>
          <w:p w:rsidR="00B52DD2" w:rsidRPr="00606F31" w:rsidRDefault="00B52DD2" w:rsidP="00150C36">
            <w:pPr>
              <w:jc w:val="center"/>
              <w:rPr>
                <w:rFonts w:ascii="Times New Roman" w:hAnsi="Times New Roman" w:cs="Times New Roman"/>
                <w:sz w:val="22"/>
                <w:szCs w:val="22"/>
              </w:rPr>
            </w:pPr>
            <w:r w:rsidRPr="00606F31">
              <w:rPr>
                <w:rFonts w:ascii="Times New Roman" w:hAnsi="Times New Roman" w:cs="Times New Roman"/>
                <w:sz w:val="22"/>
                <w:szCs w:val="22"/>
              </w:rPr>
              <w:t>4</w:t>
            </w:r>
          </w:p>
        </w:tc>
        <w:tc>
          <w:tcPr>
            <w:tcW w:w="802" w:type="dxa"/>
            <w:tcBorders>
              <w:top w:val="single" w:sz="12" w:space="0" w:color="000000"/>
              <w:bottom w:val="single" w:sz="12" w:space="0" w:color="000000"/>
            </w:tcBorders>
            <w:vAlign w:val="center"/>
          </w:tcPr>
          <w:p w:rsidR="00B52DD2" w:rsidRPr="00606F31" w:rsidRDefault="00B52DD2" w:rsidP="00150C36">
            <w:pPr>
              <w:jc w:val="center"/>
              <w:rPr>
                <w:rFonts w:ascii="Times New Roman" w:hAnsi="Times New Roman" w:cs="Times New Roman"/>
                <w:sz w:val="22"/>
                <w:szCs w:val="22"/>
              </w:rPr>
            </w:pPr>
            <w:r w:rsidRPr="00606F31">
              <w:rPr>
                <w:rFonts w:ascii="Times New Roman" w:hAnsi="Times New Roman" w:cs="Times New Roman"/>
                <w:sz w:val="22"/>
                <w:szCs w:val="22"/>
              </w:rPr>
              <w:t>5</w:t>
            </w:r>
          </w:p>
        </w:tc>
      </w:tr>
      <w:tr w:rsidR="00B52DD2" w:rsidRPr="00606F31" w:rsidTr="00150C36">
        <w:trPr>
          <w:trHeight w:val="393"/>
        </w:trPr>
        <w:tc>
          <w:tcPr>
            <w:tcW w:w="2027" w:type="dxa"/>
            <w:tcBorders>
              <w:top w:val="single" w:sz="12" w:space="0" w:color="000000"/>
              <w:bottom w:val="dashSmallGap" w:sz="4" w:space="0" w:color="000000"/>
            </w:tcBorders>
            <w:vAlign w:val="center"/>
          </w:tcPr>
          <w:p w:rsidR="00B52DD2" w:rsidRPr="00102E9A" w:rsidRDefault="00B52DD2" w:rsidP="00150C36">
            <w:pPr>
              <w:spacing w:line="360" w:lineRule="auto"/>
              <w:jc w:val="center"/>
              <w:rPr>
                <w:rFonts w:ascii="Times New Roman" w:hAnsi="Times New Roman" w:cs="Times New Roman"/>
                <w:sz w:val="20"/>
                <w:szCs w:val="20"/>
              </w:rPr>
            </w:pPr>
            <w:r w:rsidRPr="00102E9A">
              <w:rPr>
                <w:rFonts w:ascii="Times New Roman" w:hAnsi="Times New Roman" w:cs="Times New Roman"/>
                <w:sz w:val="20"/>
                <w:szCs w:val="20"/>
              </w:rPr>
              <w:t>Current Knowledge &amp; Deep Geologic Storage</w:t>
            </w:r>
          </w:p>
        </w:tc>
        <w:tc>
          <w:tcPr>
            <w:tcW w:w="807" w:type="dxa"/>
            <w:tcBorders>
              <w:top w:val="single" w:sz="12" w:space="0" w:color="000000"/>
              <w:bottom w:val="dashSmallGap" w:sz="4"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0.19</w:t>
            </w:r>
          </w:p>
        </w:tc>
        <w:tc>
          <w:tcPr>
            <w:tcW w:w="802" w:type="dxa"/>
            <w:tcBorders>
              <w:top w:val="single" w:sz="12" w:space="0" w:color="000000"/>
              <w:bottom w:val="dashSmallGap" w:sz="4"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0.09</w:t>
            </w:r>
          </w:p>
        </w:tc>
        <w:tc>
          <w:tcPr>
            <w:tcW w:w="802" w:type="dxa"/>
            <w:tcBorders>
              <w:top w:val="single" w:sz="12" w:space="0" w:color="000000"/>
              <w:bottom w:val="dashSmallGap" w:sz="4"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0.04</w:t>
            </w:r>
          </w:p>
        </w:tc>
        <w:tc>
          <w:tcPr>
            <w:tcW w:w="802" w:type="dxa"/>
            <w:tcBorders>
              <w:top w:val="single" w:sz="12" w:space="0" w:color="000000"/>
              <w:bottom w:val="dashSmallGap" w:sz="4"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-0.01</w:t>
            </w:r>
          </w:p>
        </w:tc>
        <w:tc>
          <w:tcPr>
            <w:tcW w:w="807" w:type="dxa"/>
            <w:tcBorders>
              <w:top w:val="single" w:sz="12" w:space="0" w:color="000000"/>
              <w:bottom w:val="dashSmallGap" w:sz="4" w:space="0" w:color="000000"/>
            </w:tcBorders>
            <w:vAlign w:val="center"/>
          </w:tcPr>
          <w:p w:rsidR="00B52DD2" w:rsidRPr="002D5A35" w:rsidRDefault="00B52DD2" w:rsidP="00150C36">
            <w:pPr>
              <w:jc w:val="center"/>
              <w:rPr>
                <w:rFonts w:ascii="Times New Roman" w:hAnsi="Times New Roman" w:cs="Times New Roman"/>
                <w:sz w:val="20"/>
                <w:szCs w:val="20"/>
              </w:rPr>
            </w:pPr>
            <w:r w:rsidRPr="002D5A35">
              <w:rPr>
                <w:rFonts w:ascii="Times New Roman" w:hAnsi="Times New Roman" w:cs="Times New Roman"/>
                <w:sz w:val="20"/>
                <w:szCs w:val="20"/>
              </w:rPr>
              <w:t>0.11</w:t>
            </w:r>
          </w:p>
        </w:tc>
        <w:tc>
          <w:tcPr>
            <w:tcW w:w="807" w:type="dxa"/>
            <w:tcBorders>
              <w:top w:val="single" w:sz="12" w:space="0" w:color="000000"/>
              <w:bottom w:val="dashSmallGap" w:sz="4" w:space="0" w:color="000000"/>
            </w:tcBorders>
            <w:vAlign w:val="center"/>
          </w:tcPr>
          <w:p w:rsidR="00B52DD2" w:rsidRPr="002D5A35" w:rsidRDefault="00B52DD2" w:rsidP="00150C36">
            <w:pPr>
              <w:jc w:val="center"/>
              <w:rPr>
                <w:rFonts w:ascii="Times New Roman" w:hAnsi="Times New Roman" w:cs="Times New Roman"/>
                <w:sz w:val="20"/>
                <w:szCs w:val="20"/>
              </w:rPr>
            </w:pPr>
            <w:r w:rsidRPr="002D5A35">
              <w:rPr>
                <w:rFonts w:ascii="Times New Roman" w:hAnsi="Times New Roman" w:cs="Times New Roman"/>
                <w:sz w:val="20"/>
                <w:szCs w:val="20"/>
              </w:rPr>
              <w:t>0.29</w:t>
            </w:r>
          </w:p>
        </w:tc>
        <w:tc>
          <w:tcPr>
            <w:tcW w:w="802" w:type="dxa"/>
            <w:tcBorders>
              <w:top w:val="single" w:sz="12" w:space="0" w:color="000000"/>
              <w:bottom w:val="dashSmallGap" w:sz="4" w:space="0" w:color="000000"/>
            </w:tcBorders>
            <w:vAlign w:val="center"/>
          </w:tcPr>
          <w:p w:rsidR="00B52DD2" w:rsidRPr="002D5A35" w:rsidRDefault="00B52DD2" w:rsidP="00150C36">
            <w:pPr>
              <w:jc w:val="center"/>
              <w:rPr>
                <w:rFonts w:ascii="Times New Roman" w:hAnsi="Times New Roman" w:cs="Times New Roman"/>
                <w:sz w:val="20"/>
                <w:szCs w:val="20"/>
              </w:rPr>
            </w:pPr>
            <w:r w:rsidRPr="002D5A35">
              <w:rPr>
                <w:rFonts w:ascii="Times New Roman" w:hAnsi="Times New Roman" w:cs="Times New Roman"/>
                <w:sz w:val="20"/>
                <w:szCs w:val="20"/>
              </w:rPr>
              <w:t>-0.19</w:t>
            </w:r>
          </w:p>
        </w:tc>
        <w:tc>
          <w:tcPr>
            <w:tcW w:w="807" w:type="dxa"/>
            <w:tcBorders>
              <w:top w:val="single" w:sz="12" w:space="0" w:color="000000"/>
              <w:bottom w:val="dashSmallGap" w:sz="4" w:space="0" w:color="000000"/>
            </w:tcBorders>
            <w:vAlign w:val="center"/>
          </w:tcPr>
          <w:p w:rsidR="00B52DD2" w:rsidRPr="002D5A35" w:rsidRDefault="00B52DD2" w:rsidP="00150C36">
            <w:pPr>
              <w:spacing w:line="276" w:lineRule="auto"/>
              <w:jc w:val="center"/>
              <w:rPr>
                <w:rFonts w:ascii="Times New Roman" w:hAnsi="Times New Roman" w:cs="Times New Roman"/>
                <w:i/>
                <w:iCs/>
                <w:sz w:val="20"/>
                <w:szCs w:val="20"/>
              </w:rPr>
            </w:pPr>
            <w:r w:rsidRPr="002D5A35">
              <w:rPr>
                <w:rFonts w:ascii="Times New Roman" w:hAnsi="Times New Roman" w:cs="Times New Roman"/>
                <w:i/>
                <w:iCs/>
                <w:sz w:val="20"/>
                <w:szCs w:val="20"/>
              </w:rPr>
              <w:t>-0.62</w:t>
            </w:r>
          </w:p>
        </w:tc>
        <w:tc>
          <w:tcPr>
            <w:tcW w:w="802" w:type="dxa"/>
            <w:tcBorders>
              <w:top w:val="single" w:sz="12" w:space="0" w:color="000000"/>
              <w:bottom w:val="dashSmallGap" w:sz="4" w:space="0" w:color="000000"/>
            </w:tcBorders>
            <w:vAlign w:val="center"/>
          </w:tcPr>
          <w:p w:rsidR="00B52DD2" w:rsidRPr="002D5A35" w:rsidRDefault="00B52DD2" w:rsidP="00150C36">
            <w:pPr>
              <w:spacing w:line="276" w:lineRule="auto"/>
              <w:jc w:val="center"/>
              <w:rPr>
                <w:rFonts w:ascii="Times New Roman" w:hAnsi="Times New Roman" w:cs="Times New Roman"/>
                <w:i/>
                <w:iCs/>
                <w:sz w:val="20"/>
                <w:szCs w:val="20"/>
              </w:rPr>
            </w:pPr>
            <w:r w:rsidRPr="002D5A35">
              <w:rPr>
                <w:rFonts w:ascii="Times New Roman" w:hAnsi="Times New Roman" w:cs="Times New Roman"/>
                <w:i/>
                <w:iCs/>
                <w:sz w:val="20"/>
                <w:szCs w:val="20"/>
              </w:rPr>
              <w:t>-0.65</w:t>
            </w:r>
          </w:p>
        </w:tc>
        <w:tc>
          <w:tcPr>
            <w:tcW w:w="802" w:type="dxa"/>
            <w:tcBorders>
              <w:top w:val="single" w:sz="12" w:space="0" w:color="000000"/>
              <w:bottom w:val="dashSmallGap" w:sz="4"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-0.17</w:t>
            </w:r>
          </w:p>
        </w:tc>
        <w:tc>
          <w:tcPr>
            <w:tcW w:w="802" w:type="dxa"/>
            <w:tcBorders>
              <w:top w:val="single" w:sz="12" w:space="0" w:color="000000"/>
              <w:bottom w:val="dashSmallGap" w:sz="4"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0.31</w:t>
            </w:r>
          </w:p>
        </w:tc>
      </w:tr>
      <w:tr w:rsidR="00B52DD2" w:rsidRPr="00606F31" w:rsidTr="00150C36">
        <w:trPr>
          <w:trHeight w:val="393"/>
        </w:trPr>
        <w:tc>
          <w:tcPr>
            <w:tcW w:w="2027" w:type="dxa"/>
            <w:tcBorders>
              <w:top w:val="dashSmallGap" w:sz="4" w:space="0" w:color="000000"/>
              <w:bottom w:val="dashSmallGap" w:sz="4" w:space="0" w:color="000000"/>
            </w:tcBorders>
            <w:vAlign w:val="center"/>
          </w:tcPr>
          <w:p w:rsidR="00B52DD2" w:rsidRPr="00102E9A" w:rsidRDefault="00B52DD2" w:rsidP="00150C36">
            <w:pPr>
              <w:spacing w:line="360" w:lineRule="auto"/>
              <w:jc w:val="center"/>
              <w:rPr>
                <w:rFonts w:ascii="Times New Roman" w:hAnsi="Times New Roman" w:cs="Times New Roman"/>
                <w:sz w:val="20"/>
                <w:szCs w:val="20"/>
              </w:rPr>
            </w:pPr>
            <w:r w:rsidRPr="00102E9A">
              <w:rPr>
                <w:rFonts w:ascii="Times New Roman" w:hAnsi="Times New Roman" w:cs="Times New Roman"/>
                <w:sz w:val="20"/>
                <w:szCs w:val="20"/>
              </w:rPr>
              <w:t>Current Knowledge &amp; Onsite Storage</w:t>
            </w:r>
          </w:p>
        </w:tc>
        <w:tc>
          <w:tcPr>
            <w:tcW w:w="807" w:type="dxa"/>
            <w:tcBorders>
              <w:top w:val="dashSmallGap" w:sz="4" w:space="0" w:color="000000"/>
              <w:bottom w:val="dashSmallGap" w:sz="4"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0.49</w:t>
            </w:r>
          </w:p>
        </w:tc>
        <w:tc>
          <w:tcPr>
            <w:tcW w:w="802" w:type="dxa"/>
            <w:tcBorders>
              <w:top w:val="dashSmallGap" w:sz="4" w:space="0" w:color="000000"/>
              <w:bottom w:val="dashSmallGap" w:sz="4"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0.26</w:t>
            </w:r>
          </w:p>
        </w:tc>
        <w:tc>
          <w:tcPr>
            <w:tcW w:w="802" w:type="dxa"/>
            <w:tcBorders>
              <w:top w:val="dashSmallGap" w:sz="4" w:space="0" w:color="000000"/>
              <w:bottom w:val="dashSmallGap" w:sz="4"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0.04</w:t>
            </w:r>
          </w:p>
        </w:tc>
        <w:tc>
          <w:tcPr>
            <w:tcW w:w="802" w:type="dxa"/>
            <w:tcBorders>
              <w:top w:val="dashSmallGap" w:sz="4" w:space="0" w:color="000000"/>
              <w:bottom w:val="dashSmallGap" w:sz="4"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-0.59</w:t>
            </w:r>
          </w:p>
        </w:tc>
        <w:tc>
          <w:tcPr>
            <w:tcW w:w="807" w:type="dxa"/>
            <w:tcBorders>
              <w:top w:val="dashSmallGap" w:sz="4" w:space="0" w:color="000000"/>
              <w:bottom w:val="dashSmallGap" w:sz="4" w:space="0" w:color="000000"/>
            </w:tcBorders>
            <w:vAlign w:val="center"/>
          </w:tcPr>
          <w:p w:rsidR="00B52DD2" w:rsidRPr="002D5A35" w:rsidRDefault="00B52DD2" w:rsidP="00150C36">
            <w:pPr>
              <w:jc w:val="center"/>
              <w:rPr>
                <w:rFonts w:ascii="Times New Roman" w:hAnsi="Times New Roman" w:cs="Times New Roman"/>
                <w:sz w:val="20"/>
                <w:szCs w:val="20"/>
              </w:rPr>
            </w:pPr>
            <w:r w:rsidRPr="002D5A35">
              <w:rPr>
                <w:rFonts w:ascii="Times New Roman" w:hAnsi="Times New Roman" w:cs="Times New Roman"/>
                <w:sz w:val="20"/>
                <w:szCs w:val="20"/>
              </w:rPr>
              <w:t>-0.59</w:t>
            </w:r>
          </w:p>
        </w:tc>
        <w:tc>
          <w:tcPr>
            <w:tcW w:w="807" w:type="dxa"/>
            <w:tcBorders>
              <w:top w:val="dashSmallGap" w:sz="4" w:space="0" w:color="000000"/>
              <w:bottom w:val="dashSmallGap" w:sz="4" w:space="0" w:color="000000"/>
            </w:tcBorders>
            <w:vAlign w:val="center"/>
          </w:tcPr>
          <w:p w:rsidR="00B52DD2" w:rsidRPr="002D5A35" w:rsidRDefault="00B52DD2" w:rsidP="00150C36">
            <w:pPr>
              <w:jc w:val="center"/>
              <w:rPr>
                <w:rFonts w:ascii="Times New Roman" w:hAnsi="Times New Roman" w:cs="Times New Roman"/>
                <w:sz w:val="20"/>
                <w:szCs w:val="20"/>
              </w:rPr>
            </w:pPr>
            <w:r w:rsidRPr="002D5A35">
              <w:rPr>
                <w:rFonts w:ascii="Times New Roman" w:hAnsi="Times New Roman" w:cs="Times New Roman"/>
                <w:sz w:val="20"/>
                <w:szCs w:val="20"/>
              </w:rPr>
              <w:t>-0.59</w:t>
            </w:r>
          </w:p>
        </w:tc>
        <w:tc>
          <w:tcPr>
            <w:tcW w:w="802" w:type="dxa"/>
            <w:tcBorders>
              <w:top w:val="dashSmallGap" w:sz="4" w:space="0" w:color="000000"/>
              <w:bottom w:val="dashSmallGap" w:sz="4" w:space="0" w:color="000000"/>
            </w:tcBorders>
            <w:vAlign w:val="center"/>
          </w:tcPr>
          <w:p w:rsidR="00B52DD2" w:rsidRPr="002D5A35" w:rsidRDefault="00B52DD2" w:rsidP="00150C36">
            <w:pPr>
              <w:jc w:val="center"/>
              <w:rPr>
                <w:rFonts w:ascii="Times New Roman" w:hAnsi="Times New Roman" w:cs="Times New Roman"/>
                <w:sz w:val="20"/>
                <w:szCs w:val="20"/>
              </w:rPr>
            </w:pPr>
            <w:r w:rsidRPr="002D5A35">
              <w:rPr>
                <w:rFonts w:ascii="Times New Roman" w:hAnsi="Times New Roman" w:cs="Times New Roman"/>
                <w:sz w:val="20"/>
                <w:szCs w:val="20"/>
              </w:rPr>
              <w:t>-0.11</w:t>
            </w:r>
          </w:p>
        </w:tc>
        <w:tc>
          <w:tcPr>
            <w:tcW w:w="807" w:type="dxa"/>
            <w:tcBorders>
              <w:top w:val="dashSmallGap" w:sz="4" w:space="0" w:color="000000"/>
              <w:bottom w:val="dashSmallGap" w:sz="4" w:space="0" w:color="000000"/>
            </w:tcBorders>
            <w:vAlign w:val="center"/>
          </w:tcPr>
          <w:p w:rsidR="00B52DD2" w:rsidRPr="002D5A35" w:rsidRDefault="00B52DD2" w:rsidP="00150C36">
            <w:pPr>
              <w:jc w:val="center"/>
              <w:rPr>
                <w:rFonts w:ascii="Times New Roman" w:hAnsi="Times New Roman" w:cs="Times New Roman"/>
                <w:sz w:val="20"/>
                <w:szCs w:val="20"/>
              </w:rPr>
            </w:pPr>
            <w:r w:rsidRPr="002D5A35">
              <w:rPr>
                <w:rFonts w:ascii="Times New Roman" w:hAnsi="Times New Roman" w:cs="Times New Roman"/>
                <w:sz w:val="20"/>
                <w:szCs w:val="20"/>
              </w:rPr>
              <w:t>-0.05</w:t>
            </w:r>
          </w:p>
        </w:tc>
        <w:tc>
          <w:tcPr>
            <w:tcW w:w="802" w:type="dxa"/>
            <w:tcBorders>
              <w:top w:val="dashSmallGap" w:sz="4" w:space="0" w:color="000000"/>
              <w:bottom w:val="dashSmallGap" w:sz="4" w:space="0" w:color="000000"/>
            </w:tcBorders>
            <w:vAlign w:val="center"/>
          </w:tcPr>
          <w:p w:rsidR="00B52DD2" w:rsidRPr="002D5A35" w:rsidRDefault="00B52DD2" w:rsidP="00150C36">
            <w:pPr>
              <w:jc w:val="center"/>
              <w:rPr>
                <w:rFonts w:ascii="Times New Roman" w:hAnsi="Times New Roman" w:cs="Times New Roman"/>
                <w:sz w:val="20"/>
                <w:szCs w:val="20"/>
              </w:rPr>
            </w:pPr>
            <w:r w:rsidRPr="002D5A35">
              <w:rPr>
                <w:rFonts w:ascii="Times New Roman" w:hAnsi="Times New Roman" w:cs="Times New Roman"/>
                <w:sz w:val="20"/>
                <w:szCs w:val="20"/>
              </w:rPr>
              <w:t>0.11</w:t>
            </w:r>
          </w:p>
        </w:tc>
        <w:tc>
          <w:tcPr>
            <w:tcW w:w="802" w:type="dxa"/>
            <w:tcBorders>
              <w:top w:val="dashSmallGap" w:sz="4" w:space="0" w:color="000000"/>
              <w:bottom w:val="dashSmallGap" w:sz="4"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0.09</w:t>
            </w:r>
          </w:p>
        </w:tc>
        <w:tc>
          <w:tcPr>
            <w:tcW w:w="802" w:type="dxa"/>
            <w:tcBorders>
              <w:top w:val="dashSmallGap" w:sz="4" w:space="0" w:color="000000"/>
              <w:bottom w:val="dashSmallGap" w:sz="4"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0.18</w:t>
            </w:r>
          </w:p>
        </w:tc>
      </w:tr>
      <w:tr w:rsidR="00B52DD2" w:rsidRPr="00606F31" w:rsidTr="00150C36">
        <w:trPr>
          <w:trHeight w:val="393"/>
        </w:trPr>
        <w:tc>
          <w:tcPr>
            <w:tcW w:w="2027" w:type="dxa"/>
            <w:tcBorders>
              <w:top w:val="dashSmallGap" w:sz="4" w:space="0" w:color="000000"/>
              <w:bottom w:val="single" w:sz="12" w:space="0" w:color="000000"/>
            </w:tcBorders>
            <w:vAlign w:val="center"/>
          </w:tcPr>
          <w:p w:rsidR="00B52DD2" w:rsidRPr="00102E9A" w:rsidRDefault="00B52DD2" w:rsidP="00150C36">
            <w:pPr>
              <w:spacing w:line="360" w:lineRule="auto"/>
              <w:jc w:val="center"/>
              <w:rPr>
                <w:rFonts w:ascii="Times New Roman" w:hAnsi="Times New Roman" w:cs="Times New Roman"/>
                <w:sz w:val="20"/>
                <w:szCs w:val="20"/>
              </w:rPr>
            </w:pPr>
            <w:r w:rsidRPr="00102E9A">
              <w:rPr>
                <w:rFonts w:ascii="Times New Roman" w:hAnsi="Times New Roman" w:cs="Times New Roman"/>
                <w:sz w:val="20"/>
                <w:szCs w:val="20"/>
              </w:rPr>
              <w:t>Current Knowledge &amp; Interim Storage</w:t>
            </w:r>
          </w:p>
        </w:tc>
        <w:tc>
          <w:tcPr>
            <w:tcW w:w="807" w:type="dxa"/>
            <w:tcBorders>
              <w:top w:val="dashSmallGap" w:sz="4" w:space="0" w:color="000000"/>
              <w:bottom w:val="single" w:sz="12"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-0.29</w:t>
            </w:r>
          </w:p>
        </w:tc>
        <w:tc>
          <w:tcPr>
            <w:tcW w:w="802" w:type="dxa"/>
            <w:tcBorders>
              <w:top w:val="dashSmallGap" w:sz="4" w:space="0" w:color="000000"/>
              <w:bottom w:val="single" w:sz="12"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-0.20</w:t>
            </w:r>
          </w:p>
        </w:tc>
        <w:tc>
          <w:tcPr>
            <w:tcW w:w="802" w:type="dxa"/>
            <w:tcBorders>
              <w:top w:val="dashSmallGap" w:sz="4" w:space="0" w:color="000000"/>
              <w:bottom w:val="single" w:sz="12"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0.42</w:t>
            </w:r>
          </w:p>
        </w:tc>
        <w:tc>
          <w:tcPr>
            <w:tcW w:w="802" w:type="dxa"/>
            <w:tcBorders>
              <w:top w:val="dashSmallGap" w:sz="4" w:space="0" w:color="000000"/>
              <w:bottom w:val="single" w:sz="12"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0.74</w:t>
            </w:r>
          </w:p>
        </w:tc>
        <w:tc>
          <w:tcPr>
            <w:tcW w:w="807" w:type="dxa"/>
            <w:tcBorders>
              <w:top w:val="dashSmallGap" w:sz="4" w:space="0" w:color="000000"/>
              <w:bottom w:val="single" w:sz="12" w:space="0" w:color="000000"/>
            </w:tcBorders>
            <w:vAlign w:val="center"/>
          </w:tcPr>
          <w:p w:rsidR="00B52DD2" w:rsidRPr="002D5A35" w:rsidRDefault="00B52DD2" w:rsidP="00150C36">
            <w:pPr>
              <w:jc w:val="center"/>
              <w:rPr>
                <w:rFonts w:ascii="Times New Roman" w:hAnsi="Times New Roman" w:cs="Times New Roman"/>
                <w:sz w:val="20"/>
                <w:szCs w:val="20"/>
              </w:rPr>
            </w:pPr>
            <w:r w:rsidRPr="002D5A35">
              <w:rPr>
                <w:rFonts w:ascii="Times New Roman" w:hAnsi="Times New Roman" w:cs="Times New Roman"/>
                <w:sz w:val="20"/>
                <w:szCs w:val="20"/>
              </w:rPr>
              <w:t>-0.11</w:t>
            </w:r>
          </w:p>
        </w:tc>
        <w:tc>
          <w:tcPr>
            <w:tcW w:w="807" w:type="dxa"/>
            <w:tcBorders>
              <w:top w:val="dashSmallGap" w:sz="4" w:space="0" w:color="000000"/>
              <w:bottom w:val="single" w:sz="12" w:space="0" w:color="000000"/>
            </w:tcBorders>
            <w:vAlign w:val="center"/>
          </w:tcPr>
          <w:p w:rsidR="00B52DD2" w:rsidRPr="002D5A35" w:rsidRDefault="00B52DD2" w:rsidP="00150C36">
            <w:pPr>
              <w:spacing w:line="276" w:lineRule="auto"/>
              <w:jc w:val="center"/>
              <w:rPr>
                <w:rFonts w:ascii="Times New Roman" w:hAnsi="Times New Roman" w:cs="Times New Roman"/>
                <w:i/>
                <w:iCs/>
                <w:sz w:val="20"/>
                <w:szCs w:val="20"/>
              </w:rPr>
            </w:pPr>
            <w:r w:rsidRPr="002D5A35">
              <w:rPr>
                <w:rFonts w:ascii="Times New Roman" w:hAnsi="Times New Roman" w:cs="Times New Roman"/>
                <w:i/>
                <w:iCs/>
                <w:sz w:val="20"/>
                <w:szCs w:val="20"/>
              </w:rPr>
              <w:t>-0.60</w:t>
            </w:r>
          </w:p>
        </w:tc>
        <w:tc>
          <w:tcPr>
            <w:tcW w:w="802" w:type="dxa"/>
            <w:tcBorders>
              <w:top w:val="dashSmallGap" w:sz="4" w:space="0" w:color="000000"/>
              <w:bottom w:val="single" w:sz="12" w:space="0" w:color="000000"/>
            </w:tcBorders>
            <w:vAlign w:val="center"/>
          </w:tcPr>
          <w:p w:rsidR="00B52DD2" w:rsidRPr="002D5A35" w:rsidRDefault="00B52DD2" w:rsidP="00150C36">
            <w:pPr>
              <w:jc w:val="center"/>
              <w:rPr>
                <w:rFonts w:ascii="Times New Roman" w:hAnsi="Times New Roman" w:cs="Times New Roman"/>
                <w:sz w:val="20"/>
                <w:szCs w:val="20"/>
              </w:rPr>
            </w:pPr>
            <w:r w:rsidRPr="002D5A35">
              <w:rPr>
                <w:rFonts w:ascii="Times New Roman" w:hAnsi="Times New Roman" w:cs="Times New Roman"/>
                <w:sz w:val="20"/>
                <w:szCs w:val="20"/>
              </w:rPr>
              <w:t>-0.40</w:t>
            </w:r>
          </w:p>
        </w:tc>
        <w:tc>
          <w:tcPr>
            <w:tcW w:w="807" w:type="dxa"/>
            <w:tcBorders>
              <w:top w:val="dashSmallGap" w:sz="4" w:space="0" w:color="000000"/>
              <w:bottom w:val="single" w:sz="12" w:space="0" w:color="000000"/>
            </w:tcBorders>
            <w:vAlign w:val="center"/>
          </w:tcPr>
          <w:p w:rsidR="00B52DD2" w:rsidRPr="002D5A35" w:rsidRDefault="00B52DD2" w:rsidP="00150C36">
            <w:pPr>
              <w:jc w:val="center"/>
              <w:rPr>
                <w:rFonts w:ascii="Times New Roman" w:hAnsi="Times New Roman" w:cs="Times New Roman"/>
                <w:sz w:val="20"/>
                <w:szCs w:val="20"/>
              </w:rPr>
            </w:pPr>
            <w:r w:rsidRPr="002D5A35">
              <w:rPr>
                <w:rFonts w:ascii="Times New Roman" w:hAnsi="Times New Roman" w:cs="Times New Roman"/>
                <w:sz w:val="20"/>
                <w:szCs w:val="20"/>
              </w:rPr>
              <w:t>0.06</w:t>
            </w:r>
          </w:p>
        </w:tc>
        <w:tc>
          <w:tcPr>
            <w:tcW w:w="802" w:type="dxa"/>
            <w:tcBorders>
              <w:top w:val="dashSmallGap" w:sz="4" w:space="0" w:color="000000"/>
              <w:bottom w:val="single" w:sz="12" w:space="0" w:color="000000"/>
            </w:tcBorders>
            <w:vAlign w:val="center"/>
          </w:tcPr>
          <w:p w:rsidR="00B52DD2" w:rsidRPr="002D5A35" w:rsidRDefault="00B52DD2" w:rsidP="00150C36">
            <w:pPr>
              <w:jc w:val="center"/>
              <w:rPr>
                <w:rFonts w:ascii="Times New Roman" w:hAnsi="Times New Roman" w:cs="Times New Roman"/>
                <w:sz w:val="20"/>
                <w:szCs w:val="20"/>
              </w:rPr>
            </w:pPr>
            <w:r w:rsidRPr="002D5A35">
              <w:rPr>
                <w:rFonts w:ascii="Times New Roman" w:hAnsi="Times New Roman" w:cs="Times New Roman"/>
                <w:sz w:val="20"/>
                <w:szCs w:val="20"/>
              </w:rPr>
              <w:t>0.19</w:t>
            </w:r>
          </w:p>
        </w:tc>
        <w:tc>
          <w:tcPr>
            <w:tcW w:w="802" w:type="dxa"/>
            <w:tcBorders>
              <w:top w:val="dashSmallGap" w:sz="4" w:space="0" w:color="000000"/>
              <w:bottom w:val="single" w:sz="12"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0.10</w:t>
            </w:r>
          </w:p>
        </w:tc>
        <w:tc>
          <w:tcPr>
            <w:tcW w:w="802" w:type="dxa"/>
            <w:tcBorders>
              <w:top w:val="dashSmallGap" w:sz="4" w:space="0" w:color="000000"/>
              <w:bottom w:val="single" w:sz="12" w:space="0" w:color="000000"/>
            </w:tcBorders>
            <w:vAlign w:val="center"/>
          </w:tcPr>
          <w:p w:rsidR="00B52DD2" w:rsidRPr="00102E9A" w:rsidRDefault="00B52DD2" w:rsidP="00150C36">
            <w:pPr>
              <w:jc w:val="center"/>
              <w:rPr>
                <w:rFonts w:ascii="Times New Roman" w:hAnsi="Times New Roman" w:cs="Times New Roman"/>
                <w:sz w:val="20"/>
                <w:szCs w:val="20"/>
              </w:rPr>
            </w:pPr>
            <w:r w:rsidRPr="00102E9A">
              <w:rPr>
                <w:rFonts w:ascii="Times New Roman" w:hAnsi="Times New Roman" w:cs="Times New Roman"/>
                <w:sz w:val="20"/>
                <w:szCs w:val="20"/>
              </w:rPr>
              <w:t>0.02</w:t>
            </w:r>
          </w:p>
        </w:tc>
      </w:tr>
    </w:tbl>
    <w:p w:rsidR="00B52DD2" w:rsidRPr="003F4BC8" w:rsidRDefault="00B52DD2" w:rsidP="00B52DD2">
      <w:pPr>
        <w:rPr>
          <w:rFonts w:ascii="Times New Roman" w:hAnsi="Times New Roman" w:cs="Times New Roman"/>
        </w:rPr>
      </w:pPr>
    </w:p>
    <w:p w:rsidR="00B52DD2" w:rsidRPr="005F4438" w:rsidRDefault="00B52DD2" w:rsidP="00B52DD2">
      <w:pPr>
        <w:rPr>
          <w:rFonts w:ascii="Times New Roman" w:hAnsi="Times New Roman" w:cs="Times New Roman"/>
          <w:b/>
          <w:bCs/>
        </w:rPr>
      </w:pPr>
      <w:r>
        <w:rPr>
          <w:rFonts w:ascii="Times New Roman" w:hAnsi="Times New Roman" w:cs="Times New Roman"/>
        </w:rPr>
        <w:br w:type="page"/>
      </w:r>
    </w:p>
    <w:p w:rsidR="00B52DD2" w:rsidRPr="003F4BC8" w:rsidRDefault="00B52DD2" w:rsidP="00B52DD2">
      <w:pPr>
        <w:rPr>
          <w:rFonts w:ascii="Times New Roman" w:hAnsi="Times New Roman" w:cs="Times New Roman"/>
        </w:rPr>
      </w:pPr>
    </w:p>
    <w:p w:rsidR="00B52DD2" w:rsidRPr="004D7554" w:rsidRDefault="00B52DD2" w:rsidP="00B52DD2">
      <w:pPr>
        <w:spacing w:line="480" w:lineRule="auto"/>
        <w:outlineLvl w:val="0"/>
        <w:rPr>
          <w:rFonts w:ascii="Times New Roman" w:hAnsi="Times New Roman" w:cs="Times New Roman"/>
          <w:b/>
          <w:sz w:val="36"/>
          <w:szCs w:val="36"/>
        </w:rPr>
      </w:pPr>
      <w:r w:rsidRPr="004D7554">
        <w:rPr>
          <w:rFonts w:ascii="Times New Roman" w:hAnsi="Times New Roman" w:cs="Times New Roman"/>
          <w:b/>
          <w:sz w:val="36"/>
          <w:szCs w:val="36"/>
        </w:rPr>
        <w:t>Chapter 4. Can Local Policy Concerns of NYMBYism Reshape Partisan and Ideological Landscape in the State of Nevada?</w:t>
      </w:r>
    </w:p>
    <w:p w:rsidR="00B52DD2" w:rsidRPr="003F4BC8" w:rsidRDefault="00B52DD2" w:rsidP="00B52DD2">
      <w:pPr>
        <w:spacing w:line="480" w:lineRule="auto"/>
        <w:jc w:val="center"/>
        <w:outlineLvl w:val="0"/>
        <w:rPr>
          <w:rFonts w:ascii="Times New Roman" w:hAnsi="Times New Roman" w:cs="Times New Roman"/>
          <w:bCs/>
        </w:rPr>
      </w:pPr>
    </w:p>
    <w:p w:rsidR="00B52DD2" w:rsidRPr="003F4BC8" w:rsidRDefault="00B52DD2" w:rsidP="00B52DD2">
      <w:pPr>
        <w:spacing w:line="480" w:lineRule="auto"/>
        <w:jc w:val="center"/>
        <w:outlineLvl w:val="0"/>
        <w:rPr>
          <w:rFonts w:ascii="Times New Roman" w:hAnsi="Times New Roman" w:cs="Times New Roman"/>
          <w:b/>
        </w:rPr>
      </w:pPr>
      <w:r w:rsidRPr="003F4BC8">
        <w:rPr>
          <w:rFonts w:ascii="Times New Roman" w:hAnsi="Times New Roman" w:cs="Times New Roman"/>
          <w:b/>
        </w:rPr>
        <w:t>Abstract</w:t>
      </w:r>
    </w:p>
    <w:p w:rsidR="00B52DD2" w:rsidRPr="00C12A26" w:rsidRDefault="00B52DD2" w:rsidP="00B52DD2">
      <w:pPr>
        <w:spacing w:line="480" w:lineRule="auto"/>
        <w:ind w:firstLine="720"/>
        <w:jc w:val="both"/>
        <w:rPr>
          <w:rFonts w:ascii="Times New Roman" w:hAnsi="Times New Roman" w:cs="Times New Roman"/>
        </w:rPr>
      </w:pPr>
      <w:r w:rsidRPr="00C12A26">
        <w:rPr>
          <w:rFonts w:ascii="Times New Roman" w:hAnsi="Times New Roman" w:cs="Times New Roman"/>
        </w:rPr>
        <w:t xml:space="preserve">The purpose of this chapter is to investigate whether uniquely shaped local policy issues associated with NIMBYism shape partisan and ideological dispositions among local public. By utilizing voting behavior and election turnout data for presidential general elections from 1970s to 2016 for 17 counties in Nevada I estimate the effect of the Nuclear Waste Policy Act of 1982 and as amended in 1987 on reshaping the local political landscape in a difference-in-differences design. My main finding is that the enactment of NWPA is associated with 7 percentage point increase in the propensity of residents of the counties most affected by the NWPA to vote Republican (and a comparable decrease in Democratic vote). </w:t>
      </w:r>
      <w:r>
        <w:rPr>
          <w:rFonts w:ascii="Times New Roman" w:hAnsi="Times New Roman" w:cs="Times New Roman"/>
        </w:rPr>
        <w:t>While</w:t>
      </w:r>
      <w:r w:rsidRPr="00C12A26">
        <w:rPr>
          <w:rFonts w:ascii="Times New Roman" w:hAnsi="Times New Roman" w:cs="Times New Roman"/>
        </w:rPr>
        <w:t xml:space="preserve"> </w:t>
      </w:r>
      <w:r>
        <w:rPr>
          <w:rFonts w:ascii="Times New Roman" w:hAnsi="Times New Roman" w:cs="Times New Roman"/>
        </w:rPr>
        <w:t xml:space="preserve">the </w:t>
      </w:r>
      <w:r w:rsidRPr="00C12A26">
        <w:rPr>
          <w:rFonts w:ascii="Times New Roman" w:hAnsi="Times New Roman" w:cs="Times New Roman"/>
        </w:rPr>
        <w:t>findings imply that locally shaped policy dispositions in the long run feedback into politics and reshape local ideological and partisan landscape</w:t>
      </w:r>
      <w:r>
        <w:rPr>
          <w:rFonts w:ascii="Times New Roman" w:hAnsi="Times New Roman" w:cs="Times New Roman"/>
        </w:rPr>
        <w:t>, the discovered shift is in the opposite direction supporting partisan identification rather than issue identification hypothesis.</w:t>
      </w:r>
    </w:p>
    <w:p w:rsidR="00B52DD2" w:rsidRPr="003F4BC8" w:rsidRDefault="00B52DD2" w:rsidP="00B52DD2">
      <w:pPr>
        <w:spacing w:line="480" w:lineRule="auto"/>
        <w:jc w:val="center"/>
        <w:outlineLvl w:val="0"/>
        <w:rPr>
          <w:rFonts w:ascii="Times New Roman" w:hAnsi="Times New Roman" w:cs="Times New Roman"/>
          <w:b/>
        </w:rPr>
      </w:pPr>
    </w:p>
    <w:p w:rsidR="00B52DD2" w:rsidRPr="003F4BC8" w:rsidRDefault="00B52DD2" w:rsidP="00B52DD2">
      <w:pPr>
        <w:spacing w:line="480" w:lineRule="auto"/>
        <w:jc w:val="center"/>
        <w:outlineLvl w:val="0"/>
        <w:rPr>
          <w:rFonts w:ascii="Times New Roman" w:hAnsi="Times New Roman" w:cs="Times New Roman"/>
          <w:b/>
        </w:rPr>
      </w:pPr>
      <w:r w:rsidRPr="003F4BC8">
        <w:rPr>
          <w:rFonts w:ascii="Times New Roman" w:hAnsi="Times New Roman" w:cs="Times New Roman"/>
          <w:b/>
        </w:rPr>
        <w:t>Introduction</w:t>
      </w:r>
    </w:p>
    <w:p w:rsidR="00B52DD2" w:rsidRPr="00735732" w:rsidRDefault="00B52DD2" w:rsidP="00B52DD2">
      <w:pPr>
        <w:pStyle w:val="p1"/>
        <w:spacing w:line="480" w:lineRule="auto"/>
        <w:ind w:firstLine="720"/>
        <w:jc w:val="both"/>
        <w:rPr>
          <w:rFonts w:ascii="Times New Roman" w:hAnsi="Times New Roman"/>
          <w:color w:val="auto"/>
          <w:sz w:val="24"/>
          <w:szCs w:val="24"/>
        </w:rPr>
      </w:pPr>
      <w:r w:rsidRPr="00735732">
        <w:rPr>
          <w:rFonts w:ascii="Times New Roman" w:hAnsi="Times New Roman"/>
          <w:color w:val="auto"/>
          <w:sz w:val="24"/>
          <w:szCs w:val="24"/>
        </w:rPr>
        <w:t>Public policy scholars have traditionally been concerned about the role of individual values, attitudes and beliefs in shaping policy preferences among mass public</w:t>
      </w:r>
      <w:r>
        <w:rPr>
          <w:rFonts w:ascii="Times New Roman" w:hAnsi="Times New Roman"/>
          <w:color w:val="auto"/>
          <w:sz w:val="24"/>
          <w:szCs w:val="24"/>
        </w:rPr>
        <w:t xml:space="preserve"> (</w:t>
      </w:r>
      <w:r w:rsidRPr="00735732">
        <w:rPr>
          <w:rFonts w:ascii="Times New Roman" w:hAnsi="Times New Roman"/>
          <w:color w:val="auto"/>
          <w:sz w:val="24"/>
          <w:szCs w:val="24"/>
        </w:rPr>
        <w:t>Allport 1937</w:t>
      </w:r>
      <w:r>
        <w:rPr>
          <w:rFonts w:ascii="Times New Roman" w:hAnsi="Times New Roman"/>
          <w:color w:val="auto"/>
          <w:sz w:val="24"/>
          <w:szCs w:val="24"/>
        </w:rPr>
        <w:t xml:space="preserve">, </w:t>
      </w:r>
      <w:r w:rsidRPr="00735732">
        <w:rPr>
          <w:rFonts w:ascii="Times New Roman" w:hAnsi="Times New Roman"/>
          <w:color w:val="auto"/>
          <w:sz w:val="24"/>
          <w:szCs w:val="24"/>
        </w:rPr>
        <w:t>Converse 1964</w:t>
      </w:r>
      <w:r>
        <w:rPr>
          <w:rFonts w:ascii="Times New Roman" w:hAnsi="Times New Roman"/>
          <w:color w:val="auto"/>
          <w:sz w:val="24"/>
          <w:szCs w:val="24"/>
        </w:rPr>
        <w:t xml:space="preserve">; </w:t>
      </w:r>
      <w:r w:rsidRPr="00735732">
        <w:rPr>
          <w:rFonts w:ascii="Times New Roman" w:hAnsi="Times New Roman"/>
          <w:color w:val="auto"/>
          <w:sz w:val="24"/>
          <w:szCs w:val="24"/>
        </w:rPr>
        <w:t>Conover and Feldman 1984a</w:t>
      </w:r>
      <w:r>
        <w:rPr>
          <w:rFonts w:ascii="Times New Roman" w:hAnsi="Times New Roman"/>
          <w:color w:val="auto"/>
          <w:sz w:val="24"/>
          <w:szCs w:val="24"/>
        </w:rPr>
        <w:t xml:space="preserve">; </w:t>
      </w:r>
      <w:r w:rsidRPr="00361E8F">
        <w:rPr>
          <w:rFonts w:ascii="Times New Roman" w:hAnsi="Times New Roman"/>
          <w:color w:val="auto"/>
          <w:sz w:val="24"/>
          <w:szCs w:val="24"/>
        </w:rPr>
        <w:t xml:space="preserve">Zaller 1992; </w:t>
      </w:r>
      <w:r w:rsidRPr="003F4BC8">
        <w:rPr>
          <w:sz w:val="24"/>
          <w:szCs w:val="24"/>
        </w:rPr>
        <w:t>Herron</w:t>
      </w:r>
      <w:r>
        <w:rPr>
          <w:color w:val="222222"/>
          <w:sz w:val="24"/>
          <w:szCs w:val="24"/>
          <w:shd w:val="clear" w:color="auto" w:fill="FFFFFF"/>
        </w:rPr>
        <w:t xml:space="preserve"> and</w:t>
      </w:r>
      <w:r w:rsidRPr="003F4BC8">
        <w:rPr>
          <w:color w:val="222222"/>
          <w:sz w:val="24"/>
          <w:szCs w:val="24"/>
          <w:shd w:val="clear" w:color="auto" w:fill="FFFFFF"/>
        </w:rPr>
        <w:t xml:space="preserve"> Jenkins-Smith</w:t>
      </w:r>
      <w:r>
        <w:rPr>
          <w:color w:val="222222"/>
          <w:sz w:val="24"/>
          <w:szCs w:val="24"/>
          <w:shd w:val="clear" w:color="auto" w:fill="FFFFFF"/>
        </w:rPr>
        <w:t xml:space="preserve"> </w:t>
      </w:r>
      <w:r w:rsidRPr="003F4BC8">
        <w:rPr>
          <w:color w:val="222222"/>
          <w:sz w:val="24"/>
          <w:szCs w:val="24"/>
          <w:shd w:val="clear" w:color="auto" w:fill="FFFFFF"/>
        </w:rPr>
        <w:t>2006</w:t>
      </w:r>
      <w:r>
        <w:rPr>
          <w:color w:val="222222"/>
          <w:sz w:val="24"/>
          <w:szCs w:val="24"/>
          <w:shd w:val="clear" w:color="auto" w:fill="FFFFFF"/>
        </w:rPr>
        <w:t xml:space="preserve">; </w:t>
      </w:r>
      <w:r w:rsidRPr="008C73CE">
        <w:rPr>
          <w:rFonts w:ascii="Times New Roman" w:hAnsi="Times New Roman"/>
          <w:color w:val="auto"/>
          <w:sz w:val="24"/>
          <w:szCs w:val="24"/>
        </w:rPr>
        <w:lastRenderedPageBreak/>
        <w:t>Swedlow</w:t>
      </w:r>
      <w:r>
        <w:rPr>
          <w:rFonts w:ascii="Times New Roman" w:hAnsi="Times New Roman"/>
          <w:color w:val="auto"/>
          <w:sz w:val="24"/>
          <w:szCs w:val="24"/>
        </w:rPr>
        <w:t xml:space="preserve"> and</w:t>
      </w:r>
      <w:r w:rsidRPr="008C73CE">
        <w:rPr>
          <w:rFonts w:ascii="Times New Roman" w:hAnsi="Times New Roman"/>
          <w:color w:val="auto"/>
          <w:sz w:val="24"/>
          <w:szCs w:val="24"/>
        </w:rPr>
        <w:t xml:space="preserve"> Wyckoff</w:t>
      </w:r>
      <w:r>
        <w:rPr>
          <w:rFonts w:ascii="Times New Roman" w:hAnsi="Times New Roman"/>
          <w:color w:val="auto"/>
          <w:sz w:val="24"/>
          <w:szCs w:val="24"/>
        </w:rPr>
        <w:t xml:space="preserve"> </w:t>
      </w:r>
      <w:r w:rsidRPr="008C73CE">
        <w:rPr>
          <w:rFonts w:ascii="Times New Roman" w:hAnsi="Times New Roman"/>
          <w:color w:val="auto"/>
          <w:sz w:val="24"/>
          <w:szCs w:val="24"/>
        </w:rPr>
        <w:t>2009</w:t>
      </w:r>
      <w:r>
        <w:rPr>
          <w:rFonts w:ascii="Times New Roman" w:hAnsi="Times New Roman"/>
          <w:color w:val="auto"/>
          <w:sz w:val="24"/>
          <w:szCs w:val="24"/>
        </w:rPr>
        <w:t xml:space="preserve">; </w:t>
      </w:r>
      <w:r w:rsidRPr="00361E8F">
        <w:rPr>
          <w:rFonts w:ascii="Times New Roman" w:hAnsi="Times New Roman"/>
          <w:color w:val="auto"/>
          <w:sz w:val="24"/>
          <w:szCs w:val="24"/>
        </w:rPr>
        <w:t>Page</w:t>
      </w:r>
      <w:r>
        <w:rPr>
          <w:rFonts w:ascii="Times New Roman" w:hAnsi="Times New Roman"/>
          <w:color w:val="auto"/>
          <w:sz w:val="24"/>
          <w:szCs w:val="24"/>
        </w:rPr>
        <w:t xml:space="preserve"> </w:t>
      </w:r>
      <w:r w:rsidRPr="00361E8F">
        <w:rPr>
          <w:rFonts w:ascii="Times New Roman" w:hAnsi="Times New Roman"/>
          <w:color w:val="auto"/>
          <w:sz w:val="24"/>
          <w:szCs w:val="24"/>
        </w:rPr>
        <w:t>&amp; Shapiro</w:t>
      </w:r>
      <w:r>
        <w:rPr>
          <w:rFonts w:ascii="Times New Roman" w:hAnsi="Times New Roman"/>
          <w:color w:val="auto"/>
          <w:sz w:val="24"/>
          <w:szCs w:val="24"/>
        </w:rPr>
        <w:t xml:space="preserve"> </w:t>
      </w:r>
      <w:r w:rsidRPr="00361E8F">
        <w:rPr>
          <w:rFonts w:ascii="Times New Roman" w:hAnsi="Times New Roman"/>
          <w:color w:val="auto"/>
          <w:sz w:val="24"/>
          <w:szCs w:val="24"/>
        </w:rPr>
        <w:t>2010</w:t>
      </w:r>
      <w:r>
        <w:rPr>
          <w:rFonts w:ascii="Times New Roman" w:hAnsi="Times New Roman"/>
          <w:color w:val="auto"/>
          <w:sz w:val="24"/>
          <w:szCs w:val="24"/>
        </w:rPr>
        <w:t>;</w:t>
      </w:r>
      <w:r>
        <w:rPr>
          <w:rFonts w:ascii="Times New Roman" w:eastAsia="Times New Roman" w:hAnsi="Times New Roman"/>
          <w:color w:val="222222"/>
          <w:shd w:val="clear" w:color="auto" w:fill="FFFFFF"/>
        </w:rPr>
        <w:t xml:space="preserve"> </w:t>
      </w:r>
      <w:r w:rsidRPr="008C73CE">
        <w:rPr>
          <w:rFonts w:ascii="Times New Roman" w:hAnsi="Times New Roman"/>
          <w:color w:val="auto"/>
          <w:sz w:val="24"/>
          <w:szCs w:val="24"/>
        </w:rPr>
        <w:t>Ripberger et al 2014)</w:t>
      </w:r>
      <w:r w:rsidRPr="00735732">
        <w:rPr>
          <w:rFonts w:ascii="Times New Roman" w:hAnsi="Times New Roman"/>
          <w:color w:val="auto"/>
          <w:sz w:val="24"/>
          <w:szCs w:val="24"/>
        </w:rPr>
        <w:t xml:space="preserve">. Such demographic characteristics as age, gender, income and education influence public policy perceptions on a broad set of political issues (Downs 1957; Campbell et al. </w:t>
      </w:r>
      <w:hyperlink r:id="rId25" w:anchor="pops12055-bib-0010" w:history="1">
        <w:r w:rsidRPr="00735732">
          <w:rPr>
            <w:rFonts w:ascii="Times New Roman" w:hAnsi="Times New Roman"/>
            <w:color w:val="auto"/>
            <w:sz w:val="24"/>
            <w:szCs w:val="24"/>
          </w:rPr>
          <w:t>1960</w:t>
        </w:r>
      </w:hyperlink>
      <w:r w:rsidRPr="00735732">
        <w:rPr>
          <w:rFonts w:ascii="Times New Roman" w:hAnsi="Times New Roman"/>
          <w:color w:val="auto"/>
          <w:sz w:val="24"/>
          <w:szCs w:val="24"/>
        </w:rPr>
        <w:t xml:space="preserve">; Finucane et al. 2000, Handmer and Proudley 2007). </w:t>
      </w:r>
      <w:r>
        <w:rPr>
          <w:rFonts w:ascii="Times New Roman" w:hAnsi="Times New Roman"/>
          <w:color w:val="auto"/>
          <w:sz w:val="24"/>
          <w:szCs w:val="24"/>
        </w:rPr>
        <w:t>The literature on p</w:t>
      </w:r>
      <w:r w:rsidRPr="00735732">
        <w:rPr>
          <w:rFonts w:ascii="Times New Roman" w:hAnsi="Times New Roman"/>
          <w:color w:val="auto"/>
          <w:sz w:val="24"/>
          <w:szCs w:val="24"/>
        </w:rPr>
        <w:t xml:space="preserve">olitical polarization claims that American public opinion </w:t>
      </w:r>
      <w:r>
        <w:rPr>
          <w:rFonts w:ascii="Times New Roman" w:hAnsi="Times New Roman"/>
          <w:color w:val="auto"/>
          <w:sz w:val="24"/>
          <w:szCs w:val="24"/>
        </w:rPr>
        <w:t>merely</w:t>
      </w:r>
      <w:r w:rsidRPr="00735732">
        <w:rPr>
          <w:rFonts w:ascii="Times New Roman" w:hAnsi="Times New Roman"/>
          <w:color w:val="auto"/>
          <w:sz w:val="24"/>
          <w:szCs w:val="24"/>
        </w:rPr>
        <w:t xml:space="preserve"> been polarized on such policy issues as government spending, assistance to the poor, gay adoption, abortion rights, and other sensitive policy issues (Abramowitz and Saunders 2008; DiMaggio and Bryson 1996; McCarty, Poole, and Rosenthal 2006; Fiorina, Abrams, and Pope 2005). Political ideology and partisanship have provided </w:t>
      </w:r>
      <w:r w:rsidRPr="00A065B2">
        <w:rPr>
          <w:rFonts w:ascii="Times New Roman" w:hAnsi="Times New Roman"/>
          <w:color w:val="auto"/>
          <w:sz w:val="24"/>
          <w:szCs w:val="24"/>
        </w:rPr>
        <w:t>complementary</w:t>
      </w:r>
      <w:r w:rsidRPr="00735732">
        <w:rPr>
          <w:rFonts w:ascii="Times New Roman" w:hAnsi="Times New Roman"/>
          <w:color w:val="auto"/>
          <w:sz w:val="24"/>
          <w:szCs w:val="24"/>
        </w:rPr>
        <w:t xml:space="preserve"> explanations in explaining individual differences in policy preferences and beliefs (Allport 1937; </w:t>
      </w:r>
      <w:r w:rsidRPr="003F4BC8">
        <w:rPr>
          <w:rFonts w:ascii="Times New Roman" w:hAnsi="Times New Roman"/>
          <w:color w:val="auto"/>
          <w:sz w:val="24"/>
          <w:szCs w:val="24"/>
        </w:rPr>
        <w:t>Downs 1957</w:t>
      </w:r>
      <w:r>
        <w:rPr>
          <w:rFonts w:ascii="Times New Roman" w:hAnsi="Times New Roman"/>
          <w:color w:val="auto"/>
          <w:sz w:val="24"/>
          <w:szCs w:val="24"/>
        </w:rPr>
        <w:t xml:space="preserve">; </w:t>
      </w:r>
      <w:r w:rsidRPr="00735732">
        <w:rPr>
          <w:rFonts w:ascii="Times New Roman" w:hAnsi="Times New Roman"/>
          <w:color w:val="auto"/>
          <w:sz w:val="24"/>
          <w:szCs w:val="24"/>
        </w:rPr>
        <w:t>Converse 1964; Conover and Feldman 1984a; 1984b; Baldassarri and Gelman 2008; Zaller 1992).</w:t>
      </w:r>
    </w:p>
    <w:p w:rsidR="00B52DD2" w:rsidRPr="003F4BC8" w:rsidRDefault="00B52DD2" w:rsidP="00B52DD2">
      <w:pPr>
        <w:pStyle w:val="p1"/>
        <w:spacing w:line="480" w:lineRule="auto"/>
        <w:ind w:firstLine="720"/>
        <w:jc w:val="both"/>
        <w:rPr>
          <w:rFonts w:ascii="Times New Roman" w:hAnsi="Times New Roman"/>
          <w:color w:val="auto"/>
          <w:sz w:val="24"/>
          <w:szCs w:val="24"/>
        </w:rPr>
      </w:pPr>
      <w:r w:rsidRPr="00735732">
        <w:rPr>
          <w:rFonts w:ascii="Times New Roman" w:hAnsi="Times New Roman"/>
          <w:color w:val="auto"/>
          <w:sz w:val="24"/>
          <w:szCs w:val="24"/>
        </w:rPr>
        <w:t xml:space="preserve">These explanations have been particularly important for describing individual differences in nuclear energy policy preferences (Back 2013; Bickerstaff et al 2008; Butler and Pidgeon 2011). Nuclear policy </w:t>
      </w:r>
      <w:r>
        <w:rPr>
          <w:rFonts w:ascii="Times New Roman" w:hAnsi="Times New Roman"/>
          <w:color w:val="auto"/>
          <w:sz w:val="24"/>
          <w:szCs w:val="24"/>
        </w:rPr>
        <w:t xml:space="preserve">was not a partisan polarizing issue in the early days. However, the situation changed after the Three Mile Island accident in 1979. As a result environmental groups shifted positions to oppose it or to become aligned with the Democratic party that also contested nuclear energy. Thus, over time this policy area as well became one the </w:t>
      </w:r>
      <w:r w:rsidRPr="00735732">
        <w:rPr>
          <w:rFonts w:ascii="Times New Roman" w:hAnsi="Times New Roman"/>
          <w:color w:val="auto"/>
          <w:sz w:val="24"/>
          <w:szCs w:val="24"/>
        </w:rPr>
        <w:t>polarizing policy issues on which political parties and politicians are more likely to take extreme ideological positions (Clemmer et al 2018; Cotton 2015; Darst and Dawson 2010</w:t>
      </w:r>
      <w:r>
        <w:rPr>
          <w:rFonts w:ascii="Times New Roman" w:hAnsi="Times New Roman"/>
          <w:color w:val="auto"/>
          <w:sz w:val="24"/>
          <w:szCs w:val="24"/>
        </w:rPr>
        <w:t xml:space="preserve">, </w:t>
      </w:r>
      <w:r w:rsidRPr="00AC4484">
        <w:rPr>
          <w:rFonts w:ascii="Times New Roman" w:hAnsi="Times New Roman"/>
          <w:color w:val="auto"/>
          <w:sz w:val="24"/>
          <w:szCs w:val="24"/>
        </w:rPr>
        <w:t>Kraft 2013</w:t>
      </w:r>
      <w:r w:rsidRPr="00735732">
        <w:rPr>
          <w:rFonts w:ascii="Times New Roman" w:hAnsi="Times New Roman"/>
          <w:color w:val="auto"/>
          <w:sz w:val="24"/>
          <w:szCs w:val="24"/>
        </w:rPr>
        <w:t xml:space="preserve">). </w:t>
      </w:r>
      <w:r>
        <w:rPr>
          <w:rFonts w:ascii="Times New Roman" w:hAnsi="Times New Roman"/>
          <w:color w:val="auto"/>
          <w:sz w:val="24"/>
          <w:szCs w:val="24"/>
        </w:rPr>
        <w:t>In line with this, p</w:t>
      </w:r>
      <w:r w:rsidRPr="00735732">
        <w:rPr>
          <w:rFonts w:ascii="Times New Roman" w:hAnsi="Times New Roman"/>
          <w:color w:val="auto"/>
          <w:sz w:val="24"/>
          <w:szCs w:val="24"/>
        </w:rPr>
        <w:t xml:space="preserve">revious research has established that individuals with Republican party affiliation are more supportive of nuclear energy use than those with Democratic party affiliation (Rothman and Lichter 1987; Conover and Feldman 1981). </w:t>
      </w:r>
      <w:r w:rsidRPr="003F4BC8">
        <w:rPr>
          <w:rFonts w:ascii="Times New Roman" w:hAnsi="Times New Roman"/>
          <w:color w:val="auto"/>
          <w:sz w:val="24"/>
          <w:szCs w:val="24"/>
        </w:rPr>
        <w:t>Likewise, individuals with conservative political ideology are more supportive of nuclear energy use than those individuals with liberal ideological leaning (Rothman and Lichter 1987; Conover and Feldman 1984a; Ripberger et al. 2012).</w:t>
      </w:r>
    </w:p>
    <w:p w:rsidR="00B52DD2" w:rsidRDefault="00B52DD2" w:rsidP="00B52DD2">
      <w:pPr>
        <w:pStyle w:val="p1"/>
        <w:spacing w:line="480" w:lineRule="auto"/>
        <w:ind w:firstLine="720"/>
        <w:jc w:val="both"/>
        <w:rPr>
          <w:rFonts w:ascii="Times New Roman" w:hAnsi="Times New Roman"/>
          <w:color w:val="auto"/>
          <w:sz w:val="24"/>
          <w:szCs w:val="24"/>
        </w:rPr>
      </w:pPr>
      <w:r w:rsidRPr="003F4BC8">
        <w:rPr>
          <w:rFonts w:ascii="Times New Roman" w:hAnsi="Times New Roman"/>
          <w:color w:val="auto"/>
          <w:sz w:val="24"/>
          <w:szCs w:val="24"/>
        </w:rPr>
        <w:lastRenderedPageBreak/>
        <w:t>While mainstream public behavior research claims that American mass public opinion is strongly related to partisanship and polarized attitudes</w:t>
      </w:r>
      <w:r>
        <w:rPr>
          <w:rFonts w:ascii="Times New Roman" w:hAnsi="Times New Roman"/>
          <w:color w:val="auto"/>
          <w:sz w:val="24"/>
          <w:szCs w:val="24"/>
        </w:rPr>
        <w:t>,</w:t>
      </w:r>
      <w:r w:rsidRPr="003F4BC8">
        <w:rPr>
          <w:rFonts w:ascii="Times New Roman" w:hAnsi="Times New Roman"/>
          <w:color w:val="auto"/>
          <w:sz w:val="24"/>
          <w:szCs w:val="24"/>
        </w:rPr>
        <w:t xml:space="preserve"> and is enhanced by communications from the elites on a wide range of issues</w:t>
      </w:r>
      <w:r>
        <w:rPr>
          <w:rFonts w:ascii="Times New Roman" w:hAnsi="Times New Roman"/>
          <w:color w:val="auto"/>
          <w:sz w:val="24"/>
          <w:szCs w:val="24"/>
        </w:rPr>
        <w:t>,</w:t>
      </w:r>
      <w:r w:rsidRPr="003F4BC8">
        <w:rPr>
          <w:rFonts w:ascii="Times New Roman" w:hAnsi="Times New Roman"/>
          <w:color w:val="auto"/>
          <w:sz w:val="24"/>
          <w:szCs w:val="24"/>
        </w:rPr>
        <w:t xml:space="preserve"> there are some scholars who argue that the causal arrow points </w:t>
      </w:r>
      <w:r>
        <w:rPr>
          <w:rFonts w:ascii="Times New Roman" w:hAnsi="Times New Roman"/>
          <w:color w:val="auto"/>
          <w:sz w:val="24"/>
          <w:szCs w:val="24"/>
        </w:rPr>
        <w:t>in</w:t>
      </w:r>
      <w:r w:rsidRPr="003F4BC8">
        <w:rPr>
          <w:rFonts w:ascii="Times New Roman" w:hAnsi="Times New Roman"/>
          <w:color w:val="auto"/>
          <w:sz w:val="24"/>
          <w:szCs w:val="24"/>
        </w:rPr>
        <w:t xml:space="preserve"> the opposite direction (Abramowitz and Saunders 2008; Broockman and Butler 2017; Baldassarri and Gelman 2008; DiMaggio et al. 1996; Levendusky 2009). </w:t>
      </w:r>
      <w:r>
        <w:rPr>
          <w:rFonts w:ascii="Times New Roman" w:hAnsi="Times New Roman"/>
          <w:color w:val="auto"/>
          <w:sz w:val="24"/>
          <w:szCs w:val="24"/>
        </w:rPr>
        <w:t>Some studies have found evidence to support the claim that voters’ issue positions affect their vote intention for the party that holds similar positions on salient issues at the time of election (</w:t>
      </w:r>
      <w:r w:rsidRPr="00211A59">
        <w:rPr>
          <w:rFonts w:ascii="Times New Roman" w:hAnsi="Times New Roman"/>
          <w:color w:val="auto"/>
          <w:sz w:val="24"/>
          <w:szCs w:val="24"/>
        </w:rPr>
        <w:t xml:space="preserve">Ansolabehere, Rodden, </w:t>
      </w:r>
      <w:r>
        <w:rPr>
          <w:rFonts w:ascii="Times New Roman" w:hAnsi="Times New Roman"/>
          <w:color w:val="auto"/>
          <w:sz w:val="24"/>
          <w:szCs w:val="24"/>
        </w:rPr>
        <w:t>and</w:t>
      </w:r>
      <w:r w:rsidRPr="00211A59">
        <w:rPr>
          <w:rFonts w:ascii="Times New Roman" w:hAnsi="Times New Roman"/>
          <w:color w:val="auto"/>
          <w:sz w:val="24"/>
          <w:szCs w:val="24"/>
        </w:rPr>
        <w:t xml:space="preserve"> Snyder</w:t>
      </w:r>
      <w:r>
        <w:rPr>
          <w:rFonts w:ascii="Times New Roman" w:hAnsi="Times New Roman"/>
          <w:color w:val="auto"/>
          <w:sz w:val="24"/>
          <w:szCs w:val="24"/>
        </w:rPr>
        <w:t xml:space="preserve"> </w:t>
      </w:r>
      <w:r w:rsidRPr="00211A59">
        <w:rPr>
          <w:rFonts w:ascii="Times New Roman" w:hAnsi="Times New Roman"/>
          <w:color w:val="auto"/>
          <w:sz w:val="24"/>
          <w:szCs w:val="24"/>
        </w:rPr>
        <w:t>2008</w:t>
      </w:r>
      <w:r>
        <w:rPr>
          <w:rFonts w:ascii="Times New Roman" w:hAnsi="Times New Roman"/>
          <w:color w:val="auto"/>
          <w:sz w:val="24"/>
          <w:szCs w:val="24"/>
        </w:rPr>
        <w:t xml:space="preserve">; </w:t>
      </w:r>
      <w:r w:rsidRPr="00F43BB3">
        <w:rPr>
          <w:rFonts w:ascii="Times New Roman" w:hAnsi="Times New Roman"/>
          <w:color w:val="auto"/>
          <w:sz w:val="24"/>
          <w:szCs w:val="24"/>
        </w:rPr>
        <w:t>Broockman</w:t>
      </w:r>
      <w:r>
        <w:rPr>
          <w:rFonts w:ascii="Times New Roman" w:hAnsi="Times New Roman"/>
          <w:color w:val="auto"/>
          <w:sz w:val="24"/>
          <w:szCs w:val="24"/>
        </w:rPr>
        <w:t xml:space="preserve"> and </w:t>
      </w:r>
      <w:r w:rsidRPr="00F43BB3">
        <w:rPr>
          <w:rFonts w:ascii="Times New Roman" w:hAnsi="Times New Roman"/>
          <w:color w:val="auto"/>
          <w:sz w:val="24"/>
          <w:szCs w:val="24"/>
        </w:rPr>
        <w:t>Butler</w:t>
      </w:r>
      <w:r>
        <w:rPr>
          <w:rFonts w:ascii="Times New Roman" w:hAnsi="Times New Roman"/>
          <w:color w:val="auto"/>
          <w:sz w:val="24"/>
          <w:szCs w:val="24"/>
        </w:rPr>
        <w:t xml:space="preserve"> </w:t>
      </w:r>
      <w:r w:rsidRPr="00F43BB3">
        <w:rPr>
          <w:rFonts w:ascii="Times New Roman" w:hAnsi="Times New Roman"/>
          <w:color w:val="auto"/>
          <w:sz w:val="24"/>
          <w:szCs w:val="24"/>
        </w:rPr>
        <w:t>2017</w:t>
      </w:r>
      <w:r>
        <w:rPr>
          <w:rFonts w:ascii="Times New Roman" w:hAnsi="Times New Roman"/>
          <w:color w:val="auto"/>
          <w:sz w:val="24"/>
          <w:szCs w:val="24"/>
        </w:rPr>
        <w:t>). My focus is on whether positions on nuclear siting issues – which can become highly salient to voters in communities near prospective sites – can lead voters to shift their patterns of partisan support. Unfortunately, prior research testing the capacity of nuclear policy disputes  to affect the public’s partisan choices has been shallow, largely because the salience of nuclear policy issues has been viewed as transient and associated with major nuclear accidents (</w:t>
      </w:r>
      <w:r w:rsidRPr="002D3C9D">
        <w:rPr>
          <w:rFonts w:ascii="Times New Roman" w:hAnsi="Times New Roman"/>
          <w:color w:val="auto"/>
          <w:sz w:val="24"/>
          <w:szCs w:val="24"/>
        </w:rPr>
        <w:t>Van der Brug</w:t>
      </w:r>
      <w:r>
        <w:rPr>
          <w:rFonts w:ascii="Times New Roman" w:hAnsi="Times New Roman"/>
          <w:color w:val="auto"/>
          <w:sz w:val="24"/>
          <w:szCs w:val="24"/>
        </w:rPr>
        <w:t xml:space="preserve"> </w:t>
      </w:r>
      <w:r w:rsidRPr="002D3C9D">
        <w:rPr>
          <w:rFonts w:ascii="Times New Roman" w:hAnsi="Times New Roman"/>
          <w:color w:val="auto"/>
          <w:sz w:val="24"/>
          <w:szCs w:val="24"/>
        </w:rPr>
        <w:t>2001</w:t>
      </w:r>
      <w:r>
        <w:rPr>
          <w:rFonts w:ascii="Times New Roman" w:hAnsi="Times New Roman"/>
          <w:color w:val="auto"/>
          <w:sz w:val="24"/>
          <w:szCs w:val="24"/>
        </w:rPr>
        <w:t xml:space="preserve">; </w:t>
      </w:r>
      <w:r w:rsidRPr="002D3C9D">
        <w:rPr>
          <w:rFonts w:ascii="Times New Roman" w:hAnsi="Times New Roman"/>
          <w:color w:val="222222"/>
          <w:sz w:val="24"/>
          <w:szCs w:val="24"/>
          <w:shd w:val="clear" w:color="auto" w:fill="FFFFFF"/>
        </w:rPr>
        <w:t>Latré</w:t>
      </w:r>
      <w:r>
        <w:rPr>
          <w:rFonts w:ascii="Times New Roman" w:hAnsi="Times New Roman"/>
          <w:color w:val="222222"/>
          <w:sz w:val="24"/>
          <w:szCs w:val="24"/>
          <w:shd w:val="clear" w:color="auto" w:fill="FFFFFF"/>
        </w:rPr>
        <w:t xml:space="preserve"> et al. 2019</w:t>
      </w:r>
      <w:r w:rsidRPr="002D3C9D">
        <w:rPr>
          <w:rFonts w:ascii="Times New Roman" w:hAnsi="Times New Roman"/>
          <w:color w:val="auto"/>
          <w:sz w:val="24"/>
          <w:szCs w:val="24"/>
        </w:rPr>
        <w:t>).</w:t>
      </w:r>
    </w:p>
    <w:p w:rsidR="00B52DD2" w:rsidRPr="003F4BC8" w:rsidRDefault="00B52DD2" w:rsidP="00B52DD2">
      <w:pPr>
        <w:pStyle w:val="p1"/>
        <w:spacing w:line="480" w:lineRule="auto"/>
        <w:ind w:firstLine="720"/>
        <w:jc w:val="both"/>
        <w:rPr>
          <w:rFonts w:ascii="Times New Roman" w:hAnsi="Times New Roman"/>
          <w:color w:val="auto"/>
          <w:sz w:val="24"/>
          <w:szCs w:val="24"/>
        </w:rPr>
      </w:pPr>
      <w:r w:rsidRPr="00735732">
        <w:rPr>
          <w:rFonts w:ascii="Times New Roman" w:hAnsi="Times New Roman"/>
          <w:color w:val="auto"/>
          <w:sz w:val="24"/>
          <w:szCs w:val="24"/>
        </w:rPr>
        <w:t xml:space="preserve">Building </w:t>
      </w:r>
      <w:r>
        <w:rPr>
          <w:rFonts w:ascii="Times New Roman" w:hAnsi="Times New Roman"/>
          <w:color w:val="auto"/>
          <w:sz w:val="24"/>
          <w:szCs w:val="24"/>
        </w:rPr>
        <w:t xml:space="preserve">on this literature, in this chapter I inquire whether support or opposition to nuclear waste siting policy in potentially impacted communities has the </w:t>
      </w:r>
      <w:r w:rsidRPr="00735732">
        <w:rPr>
          <w:rFonts w:ascii="Times New Roman" w:hAnsi="Times New Roman"/>
          <w:color w:val="auto"/>
          <w:sz w:val="24"/>
          <w:szCs w:val="24"/>
        </w:rPr>
        <w:t xml:space="preserve">potential to affect </w:t>
      </w:r>
      <w:r>
        <w:rPr>
          <w:rFonts w:ascii="Times New Roman" w:hAnsi="Times New Roman"/>
          <w:color w:val="auto"/>
          <w:sz w:val="24"/>
          <w:szCs w:val="24"/>
        </w:rPr>
        <w:t xml:space="preserve">pubic </w:t>
      </w:r>
      <w:r w:rsidRPr="00735732">
        <w:rPr>
          <w:rFonts w:ascii="Times New Roman" w:hAnsi="Times New Roman"/>
          <w:color w:val="auto"/>
          <w:sz w:val="24"/>
          <w:szCs w:val="24"/>
        </w:rPr>
        <w:t>partisan</w:t>
      </w:r>
      <w:r>
        <w:rPr>
          <w:rFonts w:ascii="Times New Roman" w:hAnsi="Times New Roman"/>
          <w:color w:val="auto"/>
          <w:sz w:val="24"/>
          <w:szCs w:val="24"/>
        </w:rPr>
        <w:t xml:space="preserve"> </w:t>
      </w:r>
      <w:r w:rsidRPr="00735732">
        <w:rPr>
          <w:rFonts w:ascii="Times New Roman" w:hAnsi="Times New Roman"/>
          <w:color w:val="auto"/>
          <w:sz w:val="24"/>
          <w:szCs w:val="24"/>
        </w:rPr>
        <w:t>and</w:t>
      </w:r>
      <w:r>
        <w:rPr>
          <w:rFonts w:ascii="Times New Roman" w:hAnsi="Times New Roman"/>
          <w:color w:val="auto"/>
          <w:sz w:val="24"/>
          <w:szCs w:val="24"/>
        </w:rPr>
        <w:t xml:space="preserve"> even ideological choices. I leverage longitudinal voting behavior data from the state of Nevada to</w:t>
      </w:r>
      <w:r w:rsidRPr="00735732">
        <w:rPr>
          <w:rFonts w:ascii="Times New Roman" w:hAnsi="Times New Roman"/>
          <w:color w:val="auto"/>
          <w:sz w:val="24"/>
          <w:szCs w:val="24"/>
        </w:rPr>
        <w:t xml:space="preserve"> </w:t>
      </w:r>
      <w:r>
        <w:rPr>
          <w:rFonts w:ascii="Times New Roman" w:hAnsi="Times New Roman"/>
          <w:color w:val="auto"/>
          <w:sz w:val="24"/>
          <w:szCs w:val="24"/>
        </w:rPr>
        <w:t xml:space="preserve">assess the effect of the enactment of </w:t>
      </w:r>
      <w:r w:rsidRPr="0012289A">
        <w:rPr>
          <w:rFonts w:ascii="Times New Roman" w:hAnsi="Times New Roman"/>
          <w:color w:val="auto"/>
          <w:sz w:val="24"/>
          <w:szCs w:val="24"/>
        </w:rPr>
        <w:t xml:space="preserve">Nuclear Waste Policy Act </w:t>
      </w:r>
      <w:r>
        <w:rPr>
          <w:rFonts w:ascii="Times New Roman" w:hAnsi="Times New Roman"/>
          <w:color w:val="auto"/>
          <w:sz w:val="24"/>
          <w:szCs w:val="24"/>
        </w:rPr>
        <w:t xml:space="preserve">of 1982, and as amended in 1987 </w:t>
      </w:r>
      <w:r w:rsidRPr="0012289A">
        <w:rPr>
          <w:rFonts w:ascii="Times New Roman" w:hAnsi="Times New Roman"/>
          <w:color w:val="auto"/>
          <w:sz w:val="24"/>
          <w:szCs w:val="24"/>
        </w:rPr>
        <w:t>(hereafter NWPA)</w:t>
      </w:r>
      <w:r>
        <w:rPr>
          <w:rFonts w:ascii="Times New Roman" w:hAnsi="Times New Roman"/>
          <w:color w:val="auto"/>
          <w:sz w:val="24"/>
          <w:szCs w:val="24"/>
        </w:rPr>
        <w:t>, on partisan choices as well as on the pattern of election turnout rates. As described in a section of this chapter, t</w:t>
      </w:r>
      <w:r w:rsidRPr="00870CB5">
        <w:rPr>
          <w:rFonts w:ascii="Times New Roman" w:hAnsi="Times New Roman"/>
          <w:color w:val="auto"/>
          <w:sz w:val="24"/>
          <w:szCs w:val="24"/>
        </w:rPr>
        <w:t xml:space="preserve">his policy context provides </w:t>
      </w:r>
      <w:r>
        <w:rPr>
          <w:rFonts w:ascii="Times New Roman" w:hAnsi="Times New Roman"/>
          <w:color w:val="auto"/>
          <w:sz w:val="24"/>
          <w:szCs w:val="24"/>
        </w:rPr>
        <w:t>an</w:t>
      </w:r>
      <w:r w:rsidRPr="00870CB5">
        <w:rPr>
          <w:rFonts w:ascii="Times New Roman" w:hAnsi="Times New Roman"/>
          <w:color w:val="auto"/>
          <w:sz w:val="24"/>
          <w:szCs w:val="24"/>
        </w:rPr>
        <w:t xml:space="preserve"> ideal venue for this analysis, in which I aim to address the following research </w:t>
      </w:r>
      <w:r w:rsidRPr="003F4BC8">
        <w:rPr>
          <w:rFonts w:ascii="Times New Roman" w:hAnsi="Times New Roman"/>
          <w:color w:val="auto"/>
          <w:sz w:val="24"/>
          <w:szCs w:val="24"/>
        </w:rPr>
        <w:t>questions:</w:t>
      </w:r>
    </w:p>
    <w:p w:rsidR="00B52DD2" w:rsidRPr="00DD4525" w:rsidRDefault="00B52DD2" w:rsidP="00B52DD2">
      <w:pPr>
        <w:pStyle w:val="ListParagraph"/>
        <w:numPr>
          <w:ilvl w:val="0"/>
          <w:numId w:val="8"/>
        </w:numPr>
        <w:spacing w:line="480" w:lineRule="auto"/>
        <w:rPr>
          <w:rFonts w:ascii="Times New Roman" w:eastAsia="Garamond" w:hAnsi="Times New Roman" w:cs="Times New Roman"/>
        </w:rPr>
      </w:pPr>
      <w:r w:rsidRPr="00DD4525">
        <w:rPr>
          <w:rFonts w:ascii="Times New Roman" w:hAnsi="Times New Roman" w:cs="Times New Roman"/>
        </w:rPr>
        <w:t xml:space="preserve">Does </w:t>
      </w:r>
      <w:r>
        <w:rPr>
          <w:rFonts w:ascii="Times New Roman" w:hAnsi="Times New Roman" w:cs="Times New Roman"/>
        </w:rPr>
        <w:t>a</w:t>
      </w:r>
      <w:r w:rsidRPr="00DD4525">
        <w:rPr>
          <w:rFonts w:ascii="Times New Roman" w:hAnsi="Times New Roman" w:cs="Times New Roman"/>
        </w:rPr>
        <w:t xml:space="preserve"> policy issue </w:t>
      </w:r>
      <w:r>
        <w:rPr>
          <w:rFonts w:ascii="Times New Roman" w:hAnsi="Times New Roman" w:cs="Times New Roman"/>
        </w:rPr>
        <w:t xml:space="preserve">such </w:t>
      </w:r>
      <w:r w:rsidRPr="00DD4525">
        <w:rPr>
          <w:rFonts w:ascii="Times New Roman" w:hAnsi="Times New Roman" w:cs="Times New Roman"/>
        </w:rPr>
        <w:t xml:space="preserve">as </w:t>
      </w:r>
      <w:r>
        <w:rPr>
          <w:rFonts w:ascii="Times New Roman" w:hAnsi="Times New Roman" w:cs="Times New Roman"/>
        </w:rPr>
        <w:t xml:space="preserve">the decision to site a </w:t>
      </w:r>
      <w:r w:rsidRPr="00DD4525">
        <w:rPr>
          <w:rFonts w:ascii="Times New Roman" w:hAnsi="Times New Roman" w:cs="Times New Roman"/>
        </w:rPr>
        <w:t xml:space="preserve">nuclear waste </w:t>
      </w:r>
      <w:r>
        <w:rPr>
          <w:rFonts w:ascii="Times New Roman" w:hAnsi="Times New Roman" w:cs="Times New Roman"/>
        </w:rPr>
        <w:t xml:space="preserve">facility </w:t>
      </w:r>
      <w:r w:rsidRPr="00DD4525">
        <w:rPr>
          <w:rFonts w:ascii="Times New Roman" w:hAnsi="Times New Roman" w:cs="Times New Roman"/>
        </w:rPr>
        <w:t xml:space="preserve">have the potential </w:t>
      </w:r>
      <w:r>
        <w:rPr>
          <w:rFonts w:ascii="Times New Roman" w:hAnsi="Times New Roman" w:cs="Times New Roman"/>
        </w:rPr>
        <w:t>to reshape</w:t>
      </w:r>
      <w:r w:rsidRPr="00DD4525">
        <w:rPr>
          <w:rFonts w:ascii="Times New Roman" w:hAnsi="Times New Roman" w:cs="Times New Roman"/>
        </w:rPr>
        <w:t xml:space="preserve"> local partisan and ideological positions?</w:t>
      </w:r>
    </w:p>
    <w:p w:rsidR="00B52DD2" w:rsidRPr="00DD4525" w:rsidRDefault="00B52DD2" w:rsidP="00B52DD2">
      <w:pPr>
        <w:pStyle w:val="ListParagraph"/>
        <w:numPr>
          <w:ilvl w:val="0"/>
          <w:numId w:val="8"/>
        </w:numPr>
        <w:spacing w:line="480" w:lineRule="auto"/>
        <w:rPr>
          <w:rFonts w:ascii="Times New Roman" w:eastAsia="Garamond" w:hAnsi="Times New Roman" w:cs="Times New Roman"/>
        </w:rPr>
      </w:pPr>
      <w:r w:rsidRPr="00DD4525">
        <w:rPr>
          <w:rFonts w:ascii="Times New Roman" w:hAnsi="Times New Roman" w:cs="Times New Roman"/>
        </w:rPr>
        <w:lastRenderedPageBreak/>
        <w:t xml:space="preserve">Do local policy concerns have the potential </w:t>
      </w:r>
      <w:r>
        <w:rPr>
          <w:rFonts w:ascii="Times New Roman" w:hAnsi="Times New Roman" w:cs="Times New Roman"/>
        </w:rPr>
        <w:t>to affect</w:t>
      </w:r>
      <w:r w:rsidRPr="00DD4525">
        <w:rPr>
          <w:rFonts w:ascii="Times New Roman" w:hAnsi="Times New Roman" w:cs="Times New Roman"/>
        </w:rPr>
        <w:t xml:space="preserve"> levels of political participation and make people become politically more engaged?</w:t>
      </w:r>
    </w:p>
    <w:p w:rsidR="00B52DD2" w:rsidRPr="003F4BC8" w:rsidRDefault="00B52DD2" w:rsidP="00B52DD2">
      <w:pPr>
        <w:pStyle w:val="p1"/>
        <w:spacing w:line="480" w:lineRule="auto"/>
        <w:ind w:firstLine="432"/>
        <w:jc w:val="both"/>
        <w:rPr>
          <w:rFonts w:ascii="Times New Roman" w:hAnsi="Times New Roman"/>
          <w:color w:val="auto"/>
          <w:sz w:val="24"/>
          <w:szCs w:val="24"/>
        </w:rPr>
      </w:pPr>
      <w:r w:rsidRPr="003F4BC8">
        <w:rPr>
          <w:rFonts w:ascii="Times New Roman" w:hAnsi="Times New Roman"/>
          <w:color w:val="auto"/>
          <w:sz w:val="24"/>
          <w:szCs w:val="24"/>
        </w:rPr>
        <w:t xml:space="preserve">In the next section, I provide a review of the literature on voting behavior and election turnout as well as policy feedback theory. I further introduce </w:t>
      </w:r>
      <w:r w:rsidRPr="003F4BC8">
        <w:rPr>
          <w:rFonts w:ascii="Times New Roman" w:hAnsi="Times New Roman"/>
          <w:sz w:val="24"/>
          <w:szCs w:val="24"/>
        </w:rPr>
        <w:t>the theoretical expectations for the effect of NWPA on</w:t>
      </w:r>
      <w:r w:rsidRPr="003F4BC8">
        <w:rPr>
          <w:rFonts w:ascii="Times New Roman" w:hAnsi="Times New Roman"/>
          <w:color w:val="auto"/>
          <w:sz w:val="24"/>
          <w:szCs w:val="24"/>
        </w:rPr>
        <w:t xml:space="preserve"> voting behavior and participation across time in the state of Nevada. After presenting the policy context in more detail, I describe the unique panel dataset underlying this analysis and detail the empirical approach. Finally, I present the findings of the empirical analysis and its implications for public policy theory and practice.</w:t>
      </w:r>
    </w:p>
    <w:p w:rsidR="00B52DD2" w:rsidRPr="003F4BC8" w:rsidRDefault="00B52DD2" w:rsidP="00B52DD2">
      <w:pPr>
        <w:spacing w:line="480" w:lineRule="auto"/>
        <w:ind w:firstLine="720"/>
        <w:jc w:val="center"/>
        <w:rPr>
          <w:rFonts w:ascii="Times New Roman" w:hAnsi="Times New Roman" w:cs="Times New Roman"/>
          <w:b/>
          <w:bCs/>
        </w:rPr>
      </w:pPr>
    </w:p>
    <w:p w:rsidR="00B52DD2" w:rsidRPr="003F4BC8" w:rsidRDefault="00B52DD2" w:rsidP="00B52DD2">
      <w:pPr>
        <w:spacing w:line="480" w:lineRule="auto"/>
        <w:ind w:firstLine="720"/>
        <w:jc w:val="center"/>
        <w:rPr>
          <w:rFonts w:ascii="Times New Roman" w:hAnsi="Times New Roman" w:cs="Times New Roman"/>
          <w:b/>
          <w:bCs/>
        </w:rPr>
      </w:pPr>
      <w:r w:rsidRPr="003F4BC8">
        <w:rPr>
          <w:rFonts w:ascii="Times New Roman" w:hAnsi="Times New Roman" w:cs="Times New Roman"/>
          <w:b/>
          <w:bCs/>
        </w:rPr>
        <w:t>Theoretical Expectations</w:t>
      </w:r>
    </w:p>
    <w:p w:rsidR="00B52DD2" w:rsidRDefault="00B52DD2" w:rsidP="00B52DD2">
      <w:pPr>
        <w:pStyle w:val="p1"/>
        <w:spacing w:line="480" w:lineRule="auto"/>
        <w:ind w:firstLine="432"/>
        <w:jc w:val="both"/>
        <w:rPr>
          <w:rFonts w:ascii="Times New Roman" w:hAnsi="Times New Roman"/>
          <w:color w:val="auto"/>
          <w:sz w:val="24"/>
          <w:szCs w:val="24"/>
        </w:rPr>
      </w:pPr>
      <w:r>
        <w:rPr>
          <w:rFonts w:ascii="Times New Roman" w:hAnsi="Times New Roman"/>
          <w:color w:val="auto"/>
          <w:sz w:val="24"/>
          <w:szCs w:val="24"/>
        </w:rPr>
        <w:t xml:space="preserve">To answer the research questions raised here, I leverage the political science </w:t>
      </w:r>
      <w:r w:rsidRPr="00451CF4">
        <w:rPr>
          <w:rFonts w:ascii="Times New Roman" w:hAnsi="Times New Roman"/>
          <w:color w:val="auto"/>
          <w:sz w:val="24"/>
          <w:szCs w:val="24"/>
        </w:rPr>
        <w:t xml:space="preserve">literature </w:t>
      </w:r>
      <w:r>
        <w:rPr>
          <w:rFonts w:ascii="Times New Roman" w:hAnsi="Times New Roman"/>
          <w:color w:val="auto"/>
          <w:sz w:val="24"/>
          <w:szCs w:val="24"/>
        </w:rPr>
        <w:t>on voting behavior and election turnout with the policy feedback theory to test hypotheses about the likely impact of policies on politics in a local context. Voting behavior literature examines the impact of sociological and psychological characteristics of citizens on their preferences and participation in elections (</w:t>
      </w:r>
      <w:r w:rsidRPr="00E569C8">
        <w:rPr>
          <w:rFonts w:ascii="Times New Roman" w:hAnsi="Times New Roman"/>
          <w:color w:val="auto"/>
          <w:sz w:val="24"/>
          <w:szCs w:val="24"/>
        </w:rPr>
        <w:t>Eldersveld</w:t>
      </w:r>
      <w:r>
        <w:rPr>
          <w:rFonts w:ascii="Times New Roman" w:hAnsi="Times New Roman"/>
          <w:color w:val="auto"/>
          <w:sz w:val="24"/>
          <w:szCs w:val="24"/>
        </w:rPr>
        <w:t xml:space="preserve"> </w:t>
      </w:r>
      <w:r w:rsidRPr="00E569C8">
        <w:rPr>
          <w:rFonts w:ascii="Times New Roman" w:hAnsi="Times New Roman"/>
          <w:color w:val="auto"/>
          <w:sz w:val="24"/>
          <w:szCs w:val="24"/>
        </w:rPr>
        <w:t>1951</w:t>
      </w:r>
      <w:r>
        <w:rPr>
          <w:rFonts w:ascii="Times New Roman" w:hAnsi="Times New Roman"/>
          <w:color w:val="auto"/>
          <w:sz w:val="24"/>
          <w:szCs w:val="24"/>
        </w:rPr>
        <w:t xml:space="preserve">; </w:t>
      </w:r>
      <w:r w:rsidRPr="00C455DB">
        <w:rPr>
          <w:rFonts w:ascii="Times New Roman" w:hAnsi="Times New Roman"/>
          <w:color w:val="auto"/>
          <w:sz w:val="24"/>
          <w:szCs w:val="24"/>
        </w:rPr>
        <w:t>Balogun</w:t>
      </w:r>
      <w:r>
        <w:rPr>
          <w:rFonts w:ascii="Times New Roman" w:hAnsi="Times New Roman"/>
          <w:color w:val="auto"/>
          <w:sz w:val="24"/>
          <w:szCs w:val="24"/>
        </w:rPr>
        <w:t xml:space="preserve"> and </w:t>
      </w:r>
      <w:r w:rsidRPr="00C455DB">
        <w:rPr>
          <w:rFonts w:ascii="Times New Roman" w:hAnsi="Times New Roman"/>
          <w:color w:val="auto"/>
          <w:sz w:val="24"/>
          <w:szCs w:val="24"/>
        </w:rPr>
        <w:t>Olapegb</w:t>
      </w:r>
      <w:r>
        <w:rPr>
          <w:rFonts w:ascii="Times New Roman" w:hAnsi="Times New Roman"/>
          <w:color w:val="auto"/>
          <w:sz w:val="24"/>
          <w:szCs w:val="24"/>
        </w:rPr>
        <w:t xml:space="preserve"> </w:t>
      </w:r>
      <w:r w:rsidRPr="00C455DB">
        <w:rPr>
          <w:rFonts w:ascii="Times New Roman" w:hAnsi="Times New Roman"/>
          <w:color w:val="auto"/>
          <w:sz w:val="24"/>
          <w:szCs w:val="24"/>
        </w:rPr>
        <w:t>2007</w:t>
      </w:r>
      <w:r>
        <w:rPr>
          <w:rFonts w:ascii="Times New Roman" w:hAnsi="Times New Roman"/>
          <w:color w:val="auto"/>
          <w:sz w:val="24"/>
          <w:szCs w:val="24"/>
        </w:rPr>
        <w:t>), largely omitting discussion of locally-salient issues in driving partisanship and participation.</w:t>
      </w:r>
    </w:p>
    <w:p w:rsidR="00B52DD2" w:rsidRPr="003F4BC8" w:rsidRDefault="00B52DD2" w:rsidP="00B52DD2">
      <w:pPr>
        <w:pStyle w:val="p1"/>
        <w:spacing w:line="480" w:lineRule="auto"/>
        <w:ind w:firstLine="432"/>
        <w:jc w:val="both"/>
        <w:rPr>
          <w:rFonts w:ascii="Times New Roman" w:hAnsi="Times New Roman"/>
          <w:color w:val="auto"/>
          <w:sz w:val="24"/>
          <w:szCs w:val="24"/>
        </w:rPr>
      </w:pPr>
      <w:r w:rsidRPr="003F4BC8">
        <w:rPr>
          <w:rFonts w:ascii="Times New Roman" w:hAnsi="Times New Roman"/>
          <w:color w:val="auto"/>
          <w:sz w:val="24"/>
          <w:szCs w:val="24"/>
        </w:rPr>
        <w:t>The early theories of voting behavior claim that voters are influenced by party identification, issue orientation or candidate orientation (</w:t>
      </w:r>
      <w:r w:rsidRPr="003F4BC8">
        <w:rPr>
          <w:rFonts w:ascii="Times New Roman" w:hAnsi="Times New Roman"/>
          <w:color w:val="222222"/>
          <w:sz w:val="24"/>
          <w:szCs w:val="24"/>
          <w:shd w:val="clear" w:color="auto" w:fill="FFFFFF"/>
        </w:rPr>
        <w:t xml:space="preserve">Lazarsfeld </w:t>
      </w:r>
      <w:r w:rsidRPr="003F4BC8">
        <w:rPr>
          <w:rFonts w:ascii="Times New Roman" w:hAnsi="Times New Roman"/>
          <w:color w:val="auto"/>
          <w:sz w:val="24"/>
          <w:szCs w:val="24"/>
        </w:rPr>
        <w:t xml:space="preserve">et al. 1944; Campbell et al. 1960; Lipset and Rokkan 1967). The party identification theory of the Michigan school claims that people </w:t>
      </w:r>
      <w:r>
        <w:rPr>
          <w:rFonts w:ascii="Times New Roman" w:hAnsi="Times New Roman"/>
          <w:color w:val="auto"/>
          <w:sz w:val="24"/>
          <w:szCs w:val="24"/>
        </w:rPr>
        <w:t xml:space="preserve">tend to </w:t>
      </w:r>
      <w:r w:rsidRPr="003F4BC8">
        <w:rPr>
          <w:rFonts w:ascii="Times New Roman" w:hAnsi="Times New Roman"/>
          <w:color w:val="auto"/>
          <w:sz w:val="24"/>
          <w:szCs w:val="24"/>
        </w:rPr>
        <w:t>stay loyal to a specific party that they were socialized to from their early years</w:t>
      </w:r>
      <w:r>
        <w:rPr>
          <w:rFonts w:ascii="Times New Roman" w:hAnsi="Times New Roman"/>
          <w:color w:val="auto"/>
          <w:sz w:val="24"/>
          <w:szCs w:val="24"/>
        </w:rPr>
        <w:t>,</w:t>
      </w:r>
      <w:r w:rsidRPr="003F4BC8">
        <w:rPr>
          <w:rFonts w:ascii="Times New Roman" w:hAnsi="Times New Roman"/>
          <w:color w:val="auto"/>
          <w:sz w:val="24"/>
          <w:szCs w:val="24"/>
        </w:rPr>
        <w:t xml:space="preserve"> and are likely to vote for all of their candidates in any election (Berelson, Lazarsfeld, and McPhee 1954; Lazarsfeld et al. 1944; Eldersveld 1951). A competing theory to party identification is candidate orientation that claims specific candidate’s image or personality has the potential to swing voters in any </w:t>
      </w:r>
      <w:r w:rsidRPr="003F4BC8">
        <w:rPr>
          <w:rFonts w:ascii="Times New Roman" w:hAnsi="Times New Roman"/>
          <w:color w:val="auto"/>
          <w:sz w:val="24"/>
          <w:szCs w:val="24"/>
        </w:rPr>
        <w:lastRenderedPageBreak/>
        <w:t>specific election (Rosenberg et al. 1986; Hayes 2009). Alternatively, scholars from the Columbia school of voting research found that voting behavior is instead impacted by high interest in given issues as opposed to partisanship (Key 1966; Nie, Petrocik and Verba 1999). Scholars have found that such salient issues as civil rights, war, scandals or economy have historically swayed voters (Nie, Petrocik and Verba 1999). Issue salience is also influential for non-voting voters. While voter turnout varies from election to election, on average voter turnout is higher during elections for statewide offices and the presidency (U.S. Census 2012). Voter turnout also increases due to issue salience or other effects that reinforce voter’s positions and preferences (</w:t>
      </w:r>
      <w:r w:rsidRPr="003F4BC8">
        <w:rPr>
          <w:rFonts w:ascii="Times New Roman" w:hAnsi="Times New Roman"/>
          <w:color w:val="222222"/>
          <w:sz w:val="24"/>
          <w:szCs w:val="24"/>
          <w:shd w:val="clear" w:color="auto" w:fill="FFFFFF"/>
        </w:rPr>
        <w:t xml:space="preserve">Fiorina 1981). Nuclear energy policy has been a salient issue mostly during </w:t>
      </w:r>
      <w:r w:rsidRPr="003F4BC8">
        <w:rPr>
          <w:rFonts w:ascii="Times New Roman" w:hAnsi="Times New Roman"/>
          <w:color w:val="auto"/>
          <w:sz w:val="24"/>
          <w:szCs w:val="24"/>
        </w:rPr>
        <w:t>major nuclear accidents (</w:t>
      </w:r>
      <w:r w:rsidRPr="003F4BC8">
        <w:rPr>
          <w:rFonts w:ascii="Times New Roman" w:hAnsi="Times New Roman"/>
          <w:color w:val="auto"/>
          <w:sz w:val="24"/>
          <w:szCs w:val="24"/>
          <w:shd w:val="clear" w:color="auto" w:fill="FFFFFF"/>
        </w:rPr>
        <w:t>Latré et al. 2019</w:t>
      </w:r>
      <w:r w:rsidRPr="003F4BC8">
        <w:rPr>
          <w:rFonts w:ascii="Times New Roman" w:hAnsi="Times New Roman"/>
          <w:color w:val="auto"/>
          <w:sz w:val="24"/>
          <w:szCs w:val="24"/>
        </w:rPr>
        <w:t>). After the Chernobyl accident European voting behavior has changed based on issue identification (Van der Brug 2001). Therefore, the contribution of this study is particularly important as it tests whether a highly contested local nuclear waste siting issue has impacted voting behavior and election turnout in a quasi-experimental design.</w:t>
      </w:r>
    </w:p>
    <w:p w:rsidR="00B52DD2" w:rsidRPr="003F4BC8" w:rsidRDefault="00B52DD2" w:rsidP="00B52DD2">
      <w:pPr>
        <w:pStyle w:val="p1"/>
        <w:spacing w:line="480" w:lineRule="auto"/>
        <w:ind w:firstLine="432"/>
        <w:jc w:val="both"/>
        <w:rPr>
          <w:rFonts w:ascii="Times New Roman" w:hAnsi="Times New Roman"/>
          <w:color w:val="auto"/>
          <w:sz w:val="24"/>
          <w:szCs w:val="24"/>
        </w:rPr>
      </w:pPr>
      <w:r w:rsidRPr="003F4BC8">
        <w:rPr>
          <w:rFonts w:ascii="Times New Roman" w:hAnsi="Times New Roman"/>
          <w:color w:val="auto"/>
          <w:sz w:val="24"/>
          <w:szCs w:val="24"/>
        </w:rPr>
        <w:t xml:space="preserve">In addition to party identification, candidate and issue voting, political ideology is another determinant for voting behavior. Levendusky (2009) found that due to polarizing issues political ideology had a significant effect in reconstructing individual’s long term commitments to political parties. Sorting of liberal and conservative ideologies with specific parties reshaped American partisan landscape in the 1970s. This reconfiguration eliminated each major party having both liberal and conservative faction to sorting liberal ideology with Democratic party and conservative ideology with the Republicans (Levendusky 2009). In parallel with this sorting, voter’s long-term impressions on party’s policy records have gradually created issue ownership (Petrocik 1996) and trait ownership (Hayes 2005) between the two parties in the U.S. In that regard the evidence has shown that individuals with Republican party affiliation and conservative political ideology are </w:t>
      </w:r>
      <w:r w:rsidRPr="003F4BC8">
        <w:rPr>
          <w:rFonts w:ascii="Times New Roman" w:hAnsi="Times New Roman"/>
          <w:color w:val="auto"/>
          <w:sz w:val="24"/>
          <w:szCs w:val="24"/>
        </w:rPr>
        <w:lastRenderedPageBreak/>
        <w:t>more supportive of nuclear energy use than those with Democratic party affiliation and liberal ideology (Conover and Feldman 1981; Rothman and Lichter 1987; Ripberger et al. 2012).</w:t>
      </w:r>
    </w:p>
    <w:p w:rsidR="00B52DD2" w:rsidRDefault="00B52DD2" w:rsidP="00B52DD2">
      <w:pPr>
        <w:pStyle w:val="p1"/>
        <w:spacing w:line="480" w:lineRule="auto"/>
        <w:ind w:firstLine="432"/>
        <w:jc w:val="both"/>
        <w:rPr>
          <w:rFonts w:ascii="Times New Roman" w:hAnsi="Times New Roman"/>
          <w:color w:val="auto"/>
          <w:sz w:val="24"/>
          <w:szCs w:val="24"/>
        </w:rPr>
      </w:pPr>
      <w:r w:rsidRPr="003F4BC8">
        <w:rPr>
          <w:rFonts w:ascii="Times New Roman" w:hAnsi="Times New Roman"/>
          <w:color w:val="auto"/>
          <w:sz w:val="24"/>
          <w:szCs w:val="24"/>
        </w:rPr>
        <w:t xml:space="preserve">Policy feedback theory focuses on how policies affect and shape politics, political behavior, or perception of one’s standing in society (Béland 2010; Mettler and Sorelle 2018; Pierson 1992; 1993). The existing research in the area primarily includes single-policy case studies that have demonstrated how policies affect the political behavior of ordinary citizens. Campbell (2003) found the threat of a policy change is related to increased participatory efforts among citizens. Other scholars have found evidence for policies to promote or discourage civic engagement among mass publics (Mettler 2002; Bruch, Ferree and Soss 2010). Studies have also shown that material resources and the demographic attributes associated with a propensity to participate politically positively affect political activism and civic engagement even among urban poor respondents (Verba, Schlozman and Brady 1995; Lawless and Fox 2001). Current research in policy feedback theory is substantively focused on social welfare and criminal justice programs and mostly employs historical analysis, interviews and statistical analysis of cross-sectional survey data (Mettler and Sorelle 2018). </w:t>
      </w:r>
      <w:r>
        <w:rPr>
          <w:rFonts w:ascii="Times New Roman" w:hAnsi="Times New Roman"/>
          <w:color w:val="auto"/>
          <w:sz w:val="24"/>
          <w:szCs w:val="24"/>
        </w:rPr>
        <w:t xml:space="preserve">This study examines the effect of policies on politics in nuclear policy domain. In particular, I inquire </w:t>
      </w:r>
      <w:r w:rsidRPr="0027222A">
        <w:rPr>
          <w:rFonts w:ascii="Times New Roman" w:hAnsi="Times New Roman"/>
          <w:color w:val="auto"/>
          <w:sz w:val="24"/>
          <w:szCs w:val="24"/>
        </w:rPr>
        <w:t xml:space="preserve">whether a highly contested local </w:t>
      </w:r>
      <w:r>
        <w:rPr>
          <w:rFonts w:ascii="Times New Roman" w:hAnsi="Times New Roman"/>
          <w:color w:val="auto"/>
          <w:sz w:val="24"/>
          <w:szCs w:val="24"/>
        </w:rPr>
        <w:t xml:space="preserve">spent nuclear fuel </w:t>
      </w:r>
      <w:r w:rsidRPr="0027222A">
        <w:rPr>
          <w:rFonts w:ascii="Times New Roman" w:hAnsi="Times New Roman"/>
          <w:color w:val="auto"/>
          <w:sz w:val="24"/>
          <w:szCs w:val="24"/>
        </w:rPr>
        <w:t xml:space="preserve">siting issue has the potential </w:t>
      </w:r>
      <w:r>
        <w:rPr>
          <w:rFonts w:ascii="Times New Roman" w:hAnsi="Times New Roman"/>
          <w:color w:val="auto"/>
          <w:sz w:val="24"/>
          <w:szCs w:val="24"/>
        </w:rPr>
        <w:t>for</w:t>
      </w:r>
      <w:r w:rsidRPr="0027222A">
        <w:rPr>
          <w:rFonts w:ascii="Times New Roman" w:hAnsi="Times New Roman"/>
          <w:color w:val="auto"/>
          <w:sz w:val="24"/>
          <w:szCs w:val="24"/>
        </w:rPr>
        <w:t xml:space="preserve"> reshaping </w:t>
      </w:r>
      <w:r>
        <w:rPr>
          <w:rFonts w:ascii="Times New Roman" w:hAnsi="Times New Roman"/>
          <w:color w:val="auto"/>
          <w:sz w:val="24"/>
          <w:szCs w:val="24"/>
        </w:rPr>
        <w:t xml:space="preserve">the </w:t>
      </w:r>
      <w:r w:rsidRPr="0027222A">
        <w:rPr>
          <w:rFonts w:ascii="Times New Roman" w:hAnsi="Times New Roman"/>
          <w:color w:val="auto"/>
          <w:sz w:val="24"/>
          <w:szCs w:val="24"/>
        </w:rPr>
        <w:t xml:space="preserve">partisan </w:t>
      </w:r>
      <w:r>
        <w:rPr>
          <w:rFonts w:ascii="Times New Roman" w:hAnsi="Times New Roman"/>
          <w:color w:val="auto"/>
          <w:sz w:val="24"/>
          <w:szCs w:val="24"/>
        </w:rPr>
        <w:t>landscape of the state of Nevada by changing citizen voting behavior and their levels of civic engagement.</w:t>
      </w:r>
      <w:r w:rsidRPr="00474692">
        <w:rPr>
          <w:rFonts w:ascii="Times New Roman" w:hAnsi="Times New Roman"/>
          <w:color w:val="auto"/>
          <w:sz w:val="24"/>
          <w:szCs w:val="24"/>
        </w:rPr>
        <w:t xml:space="preserve"> </w:t>
      </w:r>
      <w:r>
        <w:rPr>
          <w:rFonts w:ascii="Times New Roman" w:hAnsi="Times New Roman"/>
          <w:color w:val="auto"/>
          <w:sz w:val="24"/>
          <w:szCs w:val="24"/>
        </w:rPr>
        <w:t>This policy context provides an excellent case for observing changes in the political behavior of ordinary citizens effected by nuclear policy domain. The next section introduces the local policy context in more detail.</w:t>
      </w:r>
    </w:p>
    <w:p w:rsidR="00B52DD2" w:rsidRDefault="00B52DD2" w:rsidP="00B52DD2">
      <w:pPr>
        <w:pStyle w:val="p1"/>
        <w:spacing w:line="480" w:lineRule="auto"/>
        <w:ind w:firstLine="432"/>
        <w:jc w:val="both"/>
        <w:rPr>
          <w:rFonts w:ascii="Times New Roman" w:hAnsi="Times New Roman"/>
          <w:i/>
          <w:iCs/>
          <w:color w:val="auto"/>
          <w:sz w:val="24"/>
          <w:szCs w:val="24"/>
        </w:rPr>
      </w:pPr>
    </w:p>
    <w:p w:rsidR="00B52DD2" w:rsidRDefault="00B52DD2" w:rsidP="00B52DD2">
      <w:pPr>
        <w:pStyle w:val="p1"/>
        <w:spacing w:line="480" w:lineRule="auto"/>
        <w:ind w:firstLine="432"/>
        <w:jc w:val="both"/>
        <w:rPr>
          <w:rFonts w:ascii="Times New Roman" w:hAnsi="Times New Roman"/>
          <w:i/>
          <w:iCs/>
          <w:color w:val="auto"/>
          <w:sz w:val="24"/>
          <w:szCs w:val="24"/>
        </w:rPr>
      </w:pPr>
    </w:p>
    <w:p w:rsidR="00B52DD2" w:rsidRPr="003F4BC8" w:rsidRDefault="00B52DD2" w:rsidP="00B52DD2">
      <w:pPr>
        <w:pStyle w:val="p1"/>
        <w:spacing w:line="480" w:lineRule="auto"/>
        <w:ind w:firstLine="432"/>
        <w:jc w:val="both"/>
        <w:rPr>
          <w:rFonts w:ascii="Times New Roman" w:hAnsi="Times New Roman"/>
          <w:i/>
          <w:iCs/>
          <w:color w:val="auto"/>
          <w:sz w:val="24"/>
          <w:szCs w:val="24"/>
        </w:rPr>
      </w:pPr>
    </w:p>
    <w:p w:rsidR="00B52DD2" w:rsidRPr="003F4BC8" w:rsidRDefault="00B52DD2" w:rsidP="00B52DD2">
      <w:pPr>
        <w:pStyle w:val="p1"/>
        <w:spacing w:line="480" w:lineRule="auto"/>
        <w:ind w:firstLine="432"/>
        <w:jc w:val="both"/>
        <w:rPr>
          <w:rFonts w:ascii="Times New Roman" w:hAnsi="Times New Roman"/>
          <w:i/>
          <w:iCs/>
          <w:color w:val="auto"/>
          <w:sz w:val="24"/>
          <w:szCs w:val="24"/>
        </w:rPr>
      </w:pPr>
      <w:r w:rsidRPr="003F4BC8">
        <w:rPr>
          <w:rFonts w:ascii="Times New Roman" w:hAnsi="Times New Roman"/>
          <w:i/>
          <w:iCs/>
          <w:color w:val="auto"/>
          <w:sz w:val="24"/>
          <w:szCs w:val="24"/>
        </w:rPr>
        <w:lastRenderedPageBreak/>
        <w:t>Local Policy Context and Nuclear Waste Policy Act</w:t>
      </w:r>
    </w:p>
    <w:p w:rsidR="00B52DD2" w:rsidRDefault="00B52DD2" w:rsidP="00B52DD2">
      <w:pPr>
        <w:pStyle w:val="p1"/>
        <w:spacing w:line="480" w:lineRule="auto"/>
        <w:ind w:firstLine="432"/>
        <w:jc w:val="both"/>
        <w:rPr>
          <w:rFonts w:ascii="Times New Roman" w:hAnsi="Times New Roman"/>
          <w:color w:val="auto"/>
          <w:sz w:val="24"/>
          <w:szCs w:val="24"/>
        </w:rPr>
      </w:pPr>
      <w:r w:rsidRPr="000C26A4">
        <w:rPr>
          <w:rFonts w:ascii="Times New Roman" w:hAnsi="Times New Roman"/>
          <w:color w:val="auto"/>
          <w:sz w:val="24"/>
          <w:szCs w:val="24"/>
        </w:rPr>
        <w:t xml:space="preserve">Spent nuclear fuel waste disposal in USA has been debated </w:t>
      </w:r>
      <w:r>
        <w:rPr>
          <w:rFonts w:ascii="Times New Roman" w:hAnsi="Times New Roman"/>
          <w:color w:val="auto"/>
          <w:sz w:val="24"/>
          <w:szCs w:val="24"/>
        </w:rPr>
        <w:t>for nearly half a century, with resolution bogged down by a</w:t>
      </w:r>
      <w:r w:rsidRPr="000C26A4">
        <w:rPr>
          <w:rFonts w:ascii="Times New Roman" w:hAnsi="Times New Roman"/>
          <w:color w:val="auto"/>
          <w:sz w:val="24"/>
          <w:szCs w:val="24"/>
        </w:rPr>
        <w:t xml:space="preserve"> stalemate </w:t>
      </w:r>
      <w:r>
        <w:rPr>
          <w:rFonts w:ascii="Times New Roman" w:hAnsi="Times New Roman"/>
          <w:color w:val="auto"/>
          <w:sz w:val="24"/>
          <w:szCs w:val="24"/>
        </w:rPr>
        <w:t>over</w:t>
      </w:r>
      <w:r w:rsidRPr="000C26A4">
        <w:rPr>
          <w:rFonts w:ascii="Times New Roman" w:hAnsi="Times New Roman"/>
          <w:color w:val="auto"/>
          <w:sz w:val="24"/>
          <w:szCs w:val="24"/>
        </w:rPr>
        <w:t xml:space="preserve"> building </w:t>
      </w:r>
      <w:r>
        <w:rPr>
          <w:rFonts w:ascii="Times New Roman" w:hAnsi="Times New Roman"/>
          <w:color w:val="auto"/>
          <w:sz w:val="24"/>
          <w:szCs w:val="24"/>
        </w:rPr>
        <w:t xml:space="preserve">a </w:t>
      </w:r>
      <w:r w:rsidRPr="000C26A4">
        <w:rPr>
          <w:rFonts w:ascii="Times New Roman" w:hAnsi="Times New Roman"/>
          <w:color w:val="auto"/>
          <w:sz w:val="24"/>
          <w:szCs w:val="24"/>
        </w:rPr>
        <w:t xml:space="preserve">permanent repository </w:t>
      </w:r>
      <w:r>
        <w:rPr>
          <w:rFonts w:ascii="Times New Roman" w:hAnsi="Times New Roman"/>
          <w:color w:val="auto"/>
          <w:sz w:val="24"/>
          <w:szCs w:val="24"/>
        </w:rPr>
        <w:t xml:space="preserve">for spent nuclear fuel and high-level nuclear waste </w:t>
      </w:r>
      <w:r w:rsidRPr="000C26A4">
        <w:rPr>
          <w:rFonts w:ascii="Times New Roman" w:hAnsi="Times New Roman"/>
          <w:color w:val="auto"/>
          <w:sz w:val="24"/>
          <w:szCs w:val="24"/>
        </w:rPr>
        <w:t>in USA</w:t>
      </w:r>
      <w:r>
        <w:rPr>
          <w:rFonts w:ascii="Times New Roman" w:hAnsi="Times New Roman"/>
          <w:color w:val="auto"/>
          <w:sz w:val="24"/>
          <w:szCs w:val="24"/>
        </w:rPr>
        <w:t xml:space="preserve"> </w:t>
      </w:r>
      <w:r w:rsidRPr="000C26A4">
        <w:rPr>
          <w:rFonts w:ascii="Times New Roman" w:hAnsi="Times New Roman"/>
          <w:color w:val="auto"/>
          <w:sz w:val="24"/>
          <w:szCs w:val="24"/>
        </w:rPr>
        <w:t>(Hadden et al. 1983).</w:t>
      </w:r>
      <w:r>
        <w:rPr>
          <w:rFonts w:ascii="Times New Roman" w:hAnsi="Times New Roman"/>
          <w:color w:val="auto"/>
          <w:sz w:val="24"/>
          <w:szCs w:val="24"/>
        </w:rPr>
        <w:t xml:space="preserve"> Despite robust </w:t>
      </w:r>
      <w:r w:rsidRPr="000C26A4">
        <w:rPr>
          <w:rFonts w:ascii="Times New Roman" w:hAnsi="Times New Roman"/>
          <w:color w:val="auto"/>
          <w:sz w:val="24"/>
          <w:szCs w:val="24"/>
        </w:rPr>
        <w:t xml:space="preserve">scientific consensus that deep geologic isolation is the </w:t>
      </w:r>
      <w:r>
        <w:rPr>
          <w:rFonts w:ascii="Times New Roman" w:hAnsi="Times New Roman"/>
          <w:color w:val="auto"/>
          <w:sz w:val="24"/>
          <w:szCs w:val="24"/>
        </w:rPr>
        <w:t xml:space="preserve">technically </w:t>
      </w:r>
      <w:r w:rsidRPr="000C26A4">
        <w:rPr>
          <w:rFonts w:ascii="Times New Roman" w:hAnsi="Times New Roman"/>
          <w:color w:val="auto"/>
          <w:sz w:val="24"/>
          <w:szCs w:val="24"/>
        </w:rPr>
        <w:t xml:space="preserve">preferred method for disposing of long-lived radioactive wastes (National Research Council 2001; IAEA 2014), siting facilities for the storage and disposal of these wastes </w:t>
      </w:r>
      <w:r>
        <w:rPr>
          <w:rFonts w:ascii="Times New Roman" w:hAnsi="Times New Roman"/>
          <w:color w:val="auto"/>
          <w:sz w:val="24"/>
          <w:szCs w:val="24"/>
        </w:rPr>
        <w:t>has</w:t>
      </w:r>
      <w:r w:rsidRPr="000C26A4">
        <w:rPr>
          <w:rFonts w:ascii="Times New Roman" w:hAnsi="Times New Roman"/>
          <w:color w:val="auto"/>
          <w:sz w:val="24"/>
          <w:szCs w:val="24"/>
        </w:rPr>
        <w:t xml:space="preserve"> historically </w:t>
      </w:r>
      <w:r>
        <w:rPr>
          <w:rFonts w:ascii="Times New Roman" w:hAnsi="Times New Roman"/>
          <w:color w:val="auto"/>
          <w:sz w:val="24"/>
          <w:szCs w:val="24"/>
        </w:rPr>
        <w:t>proven to be extraordinarily</w:t>
      </w:r>
      <w:r w:rsidRPr="000C26A4">
        <w:rPr>
          <w:rFonts w:ascii="Times New Roman" w:hAnsi="Times New Roman"/>
          <w:color w:val="auto"/>
          <w:sz w:val="24"/>
          <w:szCs w:val="24"/>
        </w:rPr>
        <w:t xml:space="preserve"> </w:t>
      </w:r>
      <w:r>
        <w:rPr>
          <w:rFonts w:ascii="Times New Roman" w:hAnsi="Times New Roman"/>
          <w:color w:val="auto"/>
          <w:sz w:val="24"/>
          <w:szCs w:val="24"/>
        </w:rPr>
        <w:t xml:space="preserve">difficult for </w:t>
      </w:r>
      <w:r w:rsidRPr="000C26A4">
        <w:rPr>
          <w:rFonts w:ascii="Times New Roman" w:hAnsi="Times New Roman"/>
          <w:color w:val="auto"/>
          <w:sz w:val="24"/>
          <w:szCs w:val="24"/>
        </w:rPr>
        <w:t xml:space="preserve">governments </w:t>
      </w:r>
      <w:r>
        <w:rPr>
          <w:rFonts w:ascii="Times New Roman" w:hAnsi="Times New Roman"/>
          <w:color w:val="auto"/>
          <w:sz w:val="24"/>
          <w:szCs w:val="24"/>
        </w:rPr>
        <w:t>due to the opposition from local host communities</w:t>
      </w:r>
      <w:r w:rsidRPr="0010509F">
        <w:rPr>
          <w:rFonts w:ascii="Times New Roman" w:hAnsi="Times New Roman"/>
          <w:color w:val="auto"/>
          <w:sz w:val="24"/>
          <w:szCs w:val="24"/>
        </w:rPr>
        <w:t xml:space="preserve"> </w:t>
      </w:r>
      <w:r>
        <w:rPr>
          <w:rFonts w:ascii="Times New Roman" w:hAnsi="Times New Roman"/>
          <w:color w:val="auto"/>
          <w:sz w:val="24"/>
          <w:szCs w:val="24"/>
        </w:rPr>
        <w:t>(</w:t>
      </w:r>
      <w:r w:rsidRPr="0010509F">
        <w:rPr>
          <w:rFonts w:ascii="Times New Roman" w:hAnsi="Times New Roman"/>
          <w:color w:val="auto"/>
          <w:sz w:val="24"/>
          <w:szCs w:val="24"/>
        </w:rPr>
        <w:t>O'Hare, Bacow</w:t>
      </w:r>
      <w:r>
        <w:rPr>
          <w:rFonts w:ascii="Times New Roman" w:hAnsi="Times New Roman"/>
          <w:color w:val="auto"/>
          <w:sz w:val="24"/>
          <w:szCs w:val="24"/>
        </w:rPr>
        <w:t xml:space="preserve"> and</w:t>
      </w:r>
      <w:r w:rsidRPr="0010509F">
        <w:rPr>
          <w:rFonts w:ascii="Times New Roman" w:hAnsi="Times New Roman"/>
          <w:color w:val="auto"/>
          <w:sz w:val="24"/>
          <w:szCs w:val="24"/>
        </w:rPr>
        <w:t xml:space="preserve"> Sanderson</w:t>
      </w:r>
      <w:r>
        <w:rPr>
          <w:rFonts w:ascii="Times New Roman" w:hAnsi="Times New Roman"/>
          <w:color w:val="auto"/>
          <w:sz w:val="24"/>
          <w:szCs w:val="24"/>
        </w:rPr>
        <w:t xml:space="preserve"> </w:t>
      </w:r>
      <w:r w:rsidRPr="0010509F">
        <w:rPr>
          <w:rFonts w:ascii="Times New Roman" w:hAnsi="Times New Roman"/>
          <w:color w:val="auto"/>
          <w:sz w:val="24"/>
          <w:szCs w:val="24"/>
        </w:rPr>
        <w:t>1983).</w:t>
      </w:r>
    </w:p>
    <w:p w:rsidR="00B52DD2" w:rsidRDefault="00B52DD2" w:rsidP="00B52DD2">
      <w:pPr>
        <w:pStyle w:val="p1"/>
        <w:spacing w:line="480" w:lineRule="auto"/>
        <w:ind w:firstLine="432"/>
        <w:jc w:val="both"/>
        <w:rPr>
          <w:rFonts w:ascii="Times New Roman" w:hAnsi="Times New Roman"/>
          <w:color w:val="auto"/>
          <w:sz w:val="24"/>
          <w:szCs w:val="24"/>
        </w:rPr>
      </w:pPr>
      <w:r w:rsidRPr="00DF3735">
        <w:rPr>
          <w:rFonts w:ascii="Times New Roman" w:hAnsi="Times New Roman"/>
          <w:color w:val="auto"/>
          <w:sz w:val="24"/>
          <w:szCs w:val="24"/>
        </w:rPr>
        <w:t>United States currently has over 90,000 metric</w:t>
      </w:r>
      <w:r w:rsidRPr="0024648A">
        <w:rPr>
          <w:rFonts w:ascii="Times New Roman" w:hAnsi="Times New Roman"/>
          <w:color w:val="auto"/>
          <w:sz w:val="24"/>
          <w:szCs w:val="24"/>
        </w:rPr>
        <w:t xml:space="preserve"> tons of nuclear waste that requires disposal</w:t>
      </w:r>
      <w:r>
        <w:rPr>
          <w:rFonts w:ascii="Times New Roman" w:hAnsi="Times New Roman"/>
          <w:color w:val="auto"/>
          <w:sz w:val="24"/>
          <w:szCs w:val="24"/>
        </w:rPr>
        <w:t xml:space="preserve"> (</w:t>
      </w:r>
      <w:r w:rsidRPr="000C26A4">
        <w:rPr>
          <w:rFonts w:ascii="Times New Roman" w:hAnsi="Times New Roman"/>
          <w:color w:val="auto"/>
          <w:sz w:val="24"/>
          <w:szCs w:val="24"/>
        </w:rPr>
        <w:t xml:space="preserve">US GAO </w:t>
      </w:r>
      <w:r>
        <w:rPr>
          <w:rFonts w:ascii="Times New Roman" w:hAnsi="Times New Roman"/>
          <w:color w:val="auto"/>
          <w:sz w:val="24"/>
          <w:szCs w:val="24"/>
        </w:rPr>
        <w:t>2020</w:t>
      </w:r>
      <w:r w:rsidRPr="000C26A4">
        <w:rPr>
          <w:rFonts w:ascii="Times New Roman" w:hAnsi="Times New Roman"/>
          <w:color w:val="auto"/>
          <w:sz w:val="24"/>
          <w:szCs w:val="24"/>
        </w:rPr>
        <w:t xml:space="preserve">). The 1987 Amendment to the Nuclear Policy Act of 1982 has established the selection of Yucca </w:t>
      </w:r>
      <w:r>
        <w:rPr>
          <w:rFonts w:ascii="Times New Roman" w:hAnsi="Times New Roman"/>
          <w:color w:val="auto"/>
          <w:sz w:val="24"/>
          <w:szCs w:val="24"/>
        </w:rPr>
        <w:t>M</w:t>
      </w:r>
      <w:r w:rsidRPr="000C26A4">
        <w:rPr>
          <w:rFonts w:ascii="Times New Roman" w:hAnsi="Times New Roman"/>
          <w:color w:val="auto"/>
          <w:sz w:val="24"/>
          <w:szCs w:val="24"/>
        </w:rPr>
        <w:t xml:space="preserve">ountain as a permanent repository for spent nuclear fuel nationwide (US GAO </w:t>
      </w:r>
      <w:r>
        <w:rPr>
          <w:rFonts w:ascii="Times New Roman" w:hAnsi="Times New Roman"/>
          <w:color w:val="auto"/>
          <w:sz w:val="24"/>
          <w:szCs w:val="24"/>
        </w:rPr>
        <w:t>2020</w:t>
      </w:r>
      <w:r w:rsidRPr="000C26A4">
        <w:rPr>
          <w:rFonts w:ascii="Times New Roman" w:hAnsi="Times New Roman"/>
          <w:color w:val="auto"/>
          <w:sz w:val="24"/>
          <w:szCs w:val="24"/>
        </w:rPr>
        <w:t xml:space="preserve">). </w:t>
      </w:r>
      <w:r>
        <w:rPr>
          <w:rFonts w:ascii="Times New Roman" w:hAnsi="Times New Roman"/>
          <w:color w:val="auto"/>
          <w:sz w:val="24"/>
          <w:szCs w:val="24"/>
        </w:rPr>
        <w:t>As the map below demonstrates,</w:t>
      </w:r>
      <w:r w:rsidRPr="00FE0950">
        <w:rPr>
          <w:rFonts w:ascii="Times New Roman" w:hAnsi="Times New Roman"/>
          <w:color w:val="auto"/>
          <w:sz w:val="24"/>
          <w:szCs w:val="24"/>
        </w:rPr>
        <w:t xml:space="preserve"> </w:t>
      </w:r>
      <w:r>
        <w:rPr>
          <w:rFonts w:ascii="Times New Roman" w:hAnsi="Times New Roman"/>
          <w:color w:val="auto"/>
          <w:sz w:val="24"/>
          <w:szCs w:val="24"/>
        </w:rPr>
        <w:t>there are seventeen counties in the state of Nevada, nine of which are officially considered to be geographically affected by the NWPA because they are either in the vicinity of Yucca mountain site or on the potential rail route to Yucca mountain (</w:t>
      </w:r>
      <w:r w:rsidRPr="00D94A37">
        <w:rPr>
          <w:rFonts w:ascii="Times New Roman" w:hAnsi="Times New Roman"/>
          <w:color w:val="auto"/>
          <w:sz w:val="24"/>
          <w:szCs w:val="24"/>
        </w:rPr>
        <w:t>Eureka County Yucca Mountain Information Office, 2019)</w:t>
      </w:r>
      <w:r>
        <w:rPr>
          <w:rFonts w:ascii="Times New Roman" w:hAnsi="Times New Roman"/>
          <w:color w:val="auto"/>
          <w:sz w:val="24"/>
          <w:szCs w:val="24"/>
        </w:rPr>
        <w:t>.</w:t>
      </w:r>
      <w:r w:rsidRPr="00921E89">
        <w:rPr>
          <w:rStyle w:val="FootnoteReference"/>
          <w:rFonts w:ascii="Times New Roman" w:hAnsi="Times New Roman"/>
          <w:color w:val="auto"/>
          <w:sz w:val="24"/>
          <w:szCs w:val="24"/>
        </w:rPr>
        <w:footnoteReference w:id="12"/>
      </w:r>
    </w:p>
    <w:p w:rsidR="00B52DD2" w:rsidRDefault="00B52DD2" w:rsidP="00B52DD2">
      <w:pPr>
        <w:pStyle w:val="p1"/>
        <w:spacing w:line="480" w:lineRule="auto"/>
        <w:ind w:firstLine="432"/>
        <w:jc w:val="center"/>
        <w:rPr>
          <w:rFonts w:ascii="Times New Roman" w:hAnsi="Times New Roman"/>
          <w:b/>
          <w:bCs/>
          <w:color w:val="auto"/>
          <w:sz w:val="24"/>
          <w:szCs w:val="24"/>
        </w:rPr>
      </w:pPr>
    </w:p>
    <w:p w:rsidR="00B52DD2" w:rsidRDefault="00B52DD2" w:rsidP="00B52DD2">
      <w:pPr>
        <w:pStyle w:val="p1"/>
        <w:spacing w:line="480" w:lineRule="auto"/>
        <w:ind w:firstLine="432"/>
        <w:jc w:val="center"/>
        <w:rPr>
          <w:rFonts w:ascii="Times New Roman" w:hAnsi="Times New Roman"/>
          <w:b/>
          <w:bCs/>
          <w:color w:val="auto"/>
          <w:sz w:val="24"/>
          <w:szCs w:val="24"/>
        </w:rPr>
      </w:pPr>
    </w:p>
    <w:p w:rsidR="00B52DD2" w:rsidRDefault="00B52DD2" w:rsidP="00B52DD2">
      <w:pPr>
        <w:pStyle w:val="p1"/>
        <w:spacing w:line="480" w:lineRule="auto"/>
        <w:ind w:firstLine="432"/>
        <w:jc w:val="center"/>
        <w:rPr>
          <w:rFonts w:ascii="Times New Roman" w:hAnsi="Times New Roman"/>
          <w:b/>
          <w:bCs/>
          <w:color w:val="auto"/>
          <w:sz w:val="24"/>
          <w:szCs w:val="24"/>
        </w:rPr>
      </w:pPr>
    </w:p>
    <w:p w:rsidR="00B52DD2" w:rsidRDefault="00B52DD2" w:rsidP="00B52DD2">
      <w:pPr>
        <w:pStyle w:val="p1"/>
        <w:spacing w:line="480" w:lineRule="auto"/>
        <w:ind w:firstLine="432"/>
        <w:jc w:val="center"/>
        <w:rPr>
          <w:rFonts w:ascii="Times New Roman" w:hAnsi="Times New Roman"/>
          <w:b/>
          <w:bCs/>
          <w:color w:val="auto"/>
          <w:sz w:val="24"/>
          <w:szCs w:val="24"/>
        </w:rPr>
      </w:pPr>
    </w:p>
    <w:p w:rsidR="00B52DD2" w:rsidRDefault="00B52DD2" w:rsidP="00B52DD2">
      <w:pPr>
        <w:pStyle w:val="p1"/>
        <w:spacing w:line="480" w:lineRule="auto"/>
        <w:ind w:firstLine="432"/>
        <w:jc w:val="center"/>
        <w:rPr>
          <w:rFonts w:ascii="Times New Roman" w:hAnsi="Times New Roman"/>
          <w:b/>
          <w:bCs/>
          <w:color w:val="auto"/>
          <w:sz w:val="24"/>
          <w:szCs w:val="24"/>
        </w:rPr>
      </w:pPr>
    </w:p>
    <w:p w:rsidR="00B52DD2" w:rsidRDefault="00B52DD2" w:rsidP="00B52DD2">
      <w:pPr>
        <w:pStyle w:val="p1"/>
        <w:spacing w:line="480" w:lineRule="auto"/>
        <w:ind w:firstLine="432"/>
        <w:jc w:val="center"/>
        <w:rPr>
          <w:rFonts w:ascii="Times New Roman" w:hAnsi="Times New Roman"/>
          <w:color w:val="auto"/>
          <w:sz w:val="24"/>
          <w:szCs w:val="24"/>
        </w:rPr>
      </w:pPr>
      <w:r w:rsidRPr="00EE6D88">
        <w:rPr>
          <w:rFonts w:ascii="Times New Roman" w:hAnsi="Times New Roman"/>
          <w:b/>
          <w:bCs/>
          <w:color w:val="auto"/>
          <w:sz w:val="24"/>
          <w:szCs w:val="24"/>
        </w:rPr>
        <w:lastRenderedPageBreak/>
        <w:t>Figure 4-1.</w:t>
      </w:r>
      <w:r>
        <w:rPr>
          <w:rFonts w:ascii="Times New Roman" w:hAnsi="Times New Roman"/>
          <w:color w:val="auto"/>
          <w:sz w:val="24"/>
          <w:szCs w:val="24"/>
        </w:rPr>
        <w:t xml:space="preserve"> Nevada</w:t>
      </w:r>
      <w:r w:rsidRPr="008E4CB2">
        <w:rPr>
          <w:rFonts w:ascii="Times New Roman" w:hAnsi="Times New Roman"/>
          <w:color w:val="auto"/>
          <w:sz w:val="24"/>
          <w:szCs w:val="24"/>
        </w:rPr>
        <w:t xml:space="preserve"> </w:t>
      </w:r>
      <w:r>
        <w:rPr>
          <w:rFonts w:ascii="Times New Roman" w:hAnsi="Times New Roman"/>
          <w:color w:val="auto"/>
          <w:sz w:val="24"/>
          <w:szCs w:val="24"/>
        </w:rPr>
        <w:t>County Map</w:t>
      </w:r>
    </w:p>
    <w:p w:rsidR="00B52DD2" w:rsidRDefault="00B52DD2" w:rsidP="00B52DD2">
      <w:pPr>
        <w:pStyle w:val="p1"/>
        <w:spacing w:line="480" w:lineRule="auto"/>
        <w:jc w:val="center"/>
        <w:rPr>
          <w:rFonts w:ascii="Times New Roman" w:hAnsi="Times New Roman"/>
          <w:color w:val="auto"/>
          <w:sz w:val="24"/>
          <w:szCs w:val="24"/>
        </w:rPr>
      </w:pPr>
      <w:r>
        <w:rPr>
          <w:rFonts w:ascii="Times New Roman" w:hAnsi="Times New Roman"/>
          <w:noProof/>
          <w:color w:val="auto"/>
          <w:sz w:val="24"/>
          <w:szCs w:val="24"/>
        </w:rPr>
        <w:drawing>
          <wp:inline distT="0" distB="0" distL="0" distR="0" wp14:anchorId="5C2CB9FB" wp14:editId="3AE7B34B">
            <wp:extent cx="2843530" cy="3231598"/>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ighlighted map1.pdf"/>
                    <pic:cNvPicPr/>
                  </pic:nvPicPr>
                  <pic:blipFill rotWithShape="1">
                    <a:blip r:embed="rId26">
                      <a:extLst>
                        <a:ext uri="{28A0092B-C50C-407E-A947-70E740481C1C}">
                          <a14:useLocalDpi xmlns:a14="http://schemas.microsoft.com/office/drawing/2010/main" val="0"/>
                        </a:ext>
                      </a:extLst>
                    </a:blip>
                    <a:srcRect l="12154" t="9630" r="43816" b="51705"/>
                    <a:stretch/>
                  </pic:blipFill>
                  <pic:spPr bwMode="auto">
                    <a:xfrm>
                      <a:off x="0" y="0"/>
                      <a:ext cx="2849051" cy="3237872"/>
                    </a:xfrm>
                    <a:prstGeom prst="rect">
                      <a:avLst/>
                    </a:prstGeom>
                    <a:ln>
                      <a:noFill/>
                    </a:ln>
                    <a:extLst>
                      <a:ext uri="{53640926-AAD7-44D8-BBD7-CCE9431645EC}">
                        <a14:shadowObscured xmlns:a14="http://schemas.microsoft.com/office/drawing/2010/main"/>
                      </a:ext>
                    </a:extLst>
                  </pic:spPr>
                </pic:pic>
              </a:graphicData>
            </a:graphic>
          </wp:inline>
        </w:drawing>
      </w:r>
    </w:p>
    <w:p w:rsidR="00B52DD2" w:rsidRDefault="00B52DD2" w:rsidP="00B52DD2">
      <w:pPr>
        <w:pStyle w:val="p1"/>
        <w:jc w:val="both"/>
        <w:rPr>
          <w:sz w:val="20"/>
          <w:szCs w:val="20"/>
        </w:rPr>
      </w:pPr>
      <w:r w:rsidRPr="00C23441">
        <w:rPr>
          <w:rFonts w:ascii="Times New Roman" w:hAnsi="Times New Roman"/>
          <w:color w:val="auto"/>
          <w:sz w:val="20"/>
          <w:szCs w:val="20"/>
        </w:rPr>
        <w:t xml:space="preserve">Note: The </w:t>
      </w:r>
      <w:r>
        <w:rPr>
          <w:rFonts w:ascii="Times New Roman" w:hAnsi="Times New Roman"/>
          <w:color w:val="auto"/>
          <w:sz w:val="20"/>
          <w:szCs w:val="20"/>
        </w:rPr>
        <w:t xml:space="preserve">map is borrowed from GISGeography (2020). The </w:t>
      </w:r>
      <w:r w:rsidRPr="00C23441">
        <w:rPr>
          <w:rFonts w:ascii="Times New Roman" w:hAnsi="Times New Roman"/>
          <w:color w:val="auto"/>
          <w:sz w:val="20"/>
          <w:szCs w:val="20"/>
        </w:rPr>
        <w:t xml:space="preserve">figure demonstrates the geographic locations of </w:t>
      </w:r>
      <w:r>
        <w:rPr>
          <w:rFonts w:ascii="Times New Roman" w:hAnsi="Times New Roman"/>
          <w:color w:val="auto"/>
          <w:sz w:val="20"/>
          <w:szCs w:val="20"/>
        </w:rPr>
        <w:t xml:space="preserve">the 17 </w:t>
      </w:r>
      <w:r w:rsidRPr="00C23441">
        <w:rPr>
          <w:rFonts w:ascii="Times New Roman" w:hAnsi="Times New Roman"/>
          <w:color w:val="auto"/>
          <w:sz w:val="20"/>
          <w:szCs w:val="20"/>
        </w:rPr>
        <w:t xml:space="preserve">counties in Nevada. The affected counties </w:t>
      </w:r>
      <w:r>
        <w:rPr>
          <w:rFonts w:ascii="Times New Roman" w:hAnsi="Times New Roman"/>
          <w:color w:val="auto"/>
          <w:sz w:val="20"/>
          <w:szCs w:val="20"/>
        </w:rPr>
        <w:t xml:space="preserve">highlighted with blue are the following: </w:t>
      </w:r>
      <w:r w:rsidRPr="00D94A37">
        <w:rPr>
          <w:sz w:val="20"/>
          <w:szCs w:val="20"/>
        </w:rPr>
        <w:t xml:space="preserve">Eureka </w:t>
      </w:r>
      <w:r w:rsidRPr="00A748B8">
        <w:rPr>
          <w:sz w:val="20"/>
          <w:szCs w:val="20"/>
        </w:rPr>
        <w:t>County</w:t>
      </w:r>
      <w:r>
        <w:rPr>
          <w:sz w:val="20"/>
          <w:szCs w:val="20"/>
        </w:rPr>
        <w:t xml:space="preserve">, </w:t>
      </w:r>
      <w:r w:rsidRPr="00A748B8">
        <w:rPr>
          <w:sz w:val="20"/>
          <w:szCs w:val="20"/>
        </w:rPr>
        <w:t>Churchill County</w:t>
      </w:r>
      <w:r>
        <w:rPr>
          <w:sz w:val="20"/>
          <w:szCs w:val="20"/>
        </w:rPr>
        <w:t xml:space="preserve">, </w:t>
      </w:r>
      <w:r w:rsidRPr="00A748B8">
        <w:rPr>
          <w:sz w:val="20"/>
          <w:szCs w:val="20"/>
        </w:rPr>
        <w:t>Clark County</w:t>
      </w:r>
      <w:r>
        <w:rPr>
          <w:sz w:val="20"/>
          <w:szCs w:val="20"/>
        </w:rPr>
        <w:t xml:space="preserve">, </w:t>
      </w:r>
      <w:r w:rsidRPr="00A748B8">
        <w:rPr>
          <w:sz w:val="20"/>
          <w:szCs w:val="20"/>
        </w:rPr>
        <w:t>Esmeralda County</w:t>
      </w:r>
      <w:r>
        <w:rPr>
          <w:sz w:val="20"/>
          <w:szCs w:val="20"/>
        </w:rPr>
        <w:t xml:space="preserve">, </w:t>
      </w:r>
      <w:r w:rsidRPr="00A748B8">
        <w:rPr>
          <w:sz w:val="20"/>
          <w:szCs w:val="20"/>
        </w:rPr>
        <w:t>Mineral County</w:t>
      </w:r>
      <w:r>
        <w:rPr>
          <w:sz w:val="20"/>
          <w:szCs w:val="20"/>
        </w:rPr>
        <w:t xml:space="preserve">, </w:t>
      </w:r>
      <w:r w:rsidRPr="00A748B8">
        <w:rPr>
          <w:sz w:val="20"/>
          <w:szCs w:val="20"/>
        </w:rPr>
        <w:t>Nye County</w:t>
      </w:r>
      <w:r>
        <w:rPr>
          <w:sz w:val="20"/>
          <w:szCs w:val="20"/>
        </w:rPr>
        <w:t xml:space="preserve">, </w:t>
      </w:r>
      <w:r w:rsidRPr="00A748B8">
        <w:rPr>
          <w:sz w:val="20"/>
          <w:szCs w:val="20"/>
        </w:rPr>
        <w:t>Lander County</w:t>
      </w:r>
      <w:r>
        <w:rPr>
          <w:sz w:val="20"/>
          <w:szCs w:val="20"/>
        </w:rPr>
        <w:t xml:space="preserve">, </w:t>
      </w:r>
      <w:r w:rsidRPr="00A748B8">
        <w:rPr>
          <w:sz w:val="20"/>
          <w:szCs w:val="20"/>
        </w:rPr>
        <w:t>Lincoln County</w:t>
      </w:r>
      <w:r>
        <w:rPr>
          <w:sz w:val="20"/>
          <w:szCs w:val="20"/>
        </w:rPr>
        <w:t xml:space="preserve"> and </w:t>
      </w:r>
      <w:r w:rsidRPr="00A748B8">
        <w:rPr>
          <w:sz w:val="20"/>
          <w:szCs w:val="20"/>
        </w:rPr>
        <w:t>White Pine County</w:t>
      </w:r>
      <w:r>
        <w:rPr>
          <w:sz w:val="20"/>
          <w:szCs w:val="20"/>
        </w:rPr>
        <w:t xml:space="preserve">. </w:t>
      </w:r>
      <w:r w:rsidRPr="00C23441">
        <w:rPr>
          <w:rFonts w:ascii="Times New Roman" w:hAnsi="Times New Roman"/>
          <w:color w:val="auto"/>
          <w:sz w:val="20"/>
          <w:szCs w:val="20"/>
        </w:rPr>
        <w:t xml:space="preserve">Yucca Mountain </w:t>
      </w:r>
      <w:r w:rsidRPr="00C23441">
        <w:rPr>
          <w:sz w:val="20"/>
          <w:szCs w:val="20"/>
        </w:rPr>
        <w:t xml:space="preserve">is </w:t>
      </w:r>
      <w:r w:rsidRPr="00C23441">
        <w:rPr>
          <w:rFonts w:ascii="Times New Roman" w:hAnsi="Times New Roman"/>
          <w:color w:val="auto"/>
          <w:sz w:val="20"/>
          <w:szCs w:val="20"/>
        </w:rPr>
        <w:t xml:space="preserve">located in Nye </w:t>
      </w:r>
      <w:r w:rsidRPr="00C23441">
        <w:rPr>
          <w:sz w:val="20"/>
          <w:szCs w:val="20"/>
        </w:rPr>
        <w:t>County</w:t>
      </w:r>
      <w:r>
        <w:rPr>
          <w:sz w:val="20"/>
          <w:szCs w:val="20"/>
        </w:rPr>
        <w:t>.</w:t>
      </w:r>
    </w:p>
    <w:p w:rsidR="00B52DD2" w:rsidRDefault="00B52DD2" w:rsidP="00B52DD2">
      <w:pPr>
        <w:pStyle w:val="p1"/>
        <w:jc w:val="both"/>
        <w:rPr>
          <w:sz w:val="20"/>
          <w:szCs w:val="20"/>
        </w:rPr>
      </w:pPr>
    </w:p>
    <w:p w:rsidR="00B52DD2" w:rsidRDefault="00B52DD2" w:rsidP="00B52DD2">
      <w:pPr>
        <w:pStyle w:val="p1"/>
        <w:spacing w:line="480" w:lineRule="auto"/>
        <w:ind w:firstLine="432"/>
        <w:jc w:val="both"/>
        <w:rPr>
          <w:rFonts w:ascii="Times New Roman" w:hAnsi="Times New Roman"/>
          <w:color w:val="auto"/>
          <w:sz w:val="24"/>
          <w:szCs w:val="24"/>
        </w:rPr>
      </w:pPr>
      <w:r>
        <w:rPr>
          <w:rFonts w:ascii="Times New Roman" w:hAnsi="Times New Roman"/>
          <w:color w:val="auto"/>
          <w:sz w:val="24"/>
          <w:szCs w:val="24"/>
        </w:rPr>
        <w:t>In general t</w:t>
      </w:r>
      <w:r w:rsidRPr="00C841DF">
        <w:rPr>
          <w:rFonts w:ascii="Times New Roman" w:hAnsi="Times New Roman"/>
          <w:color w:val="auto"/>
          <w:sz w:val="24"/>
          <w:szCs w:val="24"/>
        </w:rPr>
        <w:t>here are ten (10) designated </w:t>
      </w:r>
      <w:r>
        <w:rPr>
          <w:rFonts w:ascii="Times New Roman" w:hAnsi="Times New Roman"/>
          <w:color w:val="auto"/>
          <w:sz w:val="24"/>
          <w:szCs w:val="24"/>
        </w:rPr>
        <w:t>“</w:t>
      </w:r>
      <w:r w:rsidRPr="00C841DF">
        <w:rPr>
          <w:rFonts w:ascii="Times New Roman" w:hAnsi="Times New Roman"/>
          <w:color w:val="auto"/>
          <w:sz w:val="24"/>
          <w:szCs w:val="24"/>
        </w:rPr>
        <w:t>Affected Units of Local Governments (AULG</w:t>
      </w:r>
      <w:r>
        <w:rPr>
          <w:rFonts w:ascii="Times New Roman" w:hAnsi="Times New Roman"/>
          <w:color w:val="auto"/>
          <w:sz w:val="24"/>
          <w:szCs w:val="24"/>
        </w:rPr>
        <w:t>’</w:t>
      </w:r>
      <w:r w:rsidRPr="00C841DF">
        <w:rPr>
          <w:rFonts w:ascii="Times New Roman" w:hAnsi="Times New Roman"/>
          <w:color w:val="auto"/>
          <w:sz w:val="24"/>
          <w:szCs w:val="24"/>
        </w:rPr>
        <w:t>s)</w:t>
      </w:r>
      <w:r>
        <w:rPr>
          <w:rFonts w:ascii="Times New Roman" w:hAnsi="Times New Roman"/>
          <w:color w:val="auto"/>
          <w:sz w:val="24"/>
          <w:szCs w:val="24"/>
        </w:rPr>
        <w:t>” nationally recognized to be</w:t>
      </w:r>
      <w:r w:rsidRPr="00C841DF">
        <w:rPr>
          <w:rFonts w:ascii="Times New Roman" w:hAnsi="Times New Roman"/>
          <w:color w:val="auto"/>
          <w:sz w:val="24"/>
          <w:szCs w:val="24"/>
        </w:rPr>
        <w:t> in relative proximity to Yucca Mountain</w:t>
      </w:r>
      <w:r>
        <w:rPr>
          <w:rFonts w:ascii="Times New Roman" w:hAnsi="Times New Roman"/>
          <w:color w:val="auto"/>
          <w:sz w:val="24"/>
          <w:szCs w:val="24"/>
        </w:rPr>
        <w:t xml:space="preserve"> (</w:t>
      </w:r>
      <w:r w:rsidRPr="00D94A37">
        <w:rPr>
          <w:rFonts w:ascii="Times New Roman" w:hAnsi="Times New Roman"/>
          <w:color w:val="auto"/>
          <w:sz w:val="24"/>
          <w:szCs w:val="24"/>
        </w:rPr>
        <w:t>Eureka County Yucca Mountain Information Office, 20</w:t>
      </w:r>
      <w:r>
        <w:rPr>
          <w:rFonts w:ascii="Times New Roman" w:hAnsi="Times New Roman"/>
          <w:color w:val="auto"/>
          <w:sz w:val="24"/>
          <w:szCs w:val="24"/>
        </w:rPr>
        <w:t>20)</w:t>
      </w:r>
      <w:r w:rsidRPr="00C841DF">
        <w:rPr>
          <w:rFonts w:ascii="Times New Roman" w:hAnsi="Times New Roman"/>
          <w:color w:val="auto"/>
          <w:sz w:val="24"/>
          <w:szCs w:val="24"/>
        </w:rPr>
        <w:t xml:space="preserve">. </w:t>
      </w:r>
      <w:r>
        <w:rPr>
          <w:rFonts w:ascii="Times New Roman" w:hAnsi="Times New Roman"/>
          <w:color w:val="auto"/>
          <w:sz w:val="24"/>
          <w:szCs w:val="24"/>
        </w:rPr>
        <w:t>Due to their geographic proximity t</w:t>
      </w:r>
      <w:r w:rsidRPr="00C841DF">
        <w:rPr>
          <w:rFonts w:ascii="Times New Roman" w:hAnsi="Times New Roman"/>
          <w:color w:val="auto"/>
          <w:sz w:val="24"/>
          <w:szCs w:val="24"/>
        </w:rPr>
        <w:t>hese AULG</w:t>
      </w:r>
      <w:r>
        <w:rPr>
          <w:rFonts w:ascii="Times New Roman" w:hAnsi="Times New Roman"/>
          <w:color w:val="auto"/>
          <w:sz w:val="24"/>
          <w:szCs w:val="24"/>
        </w:rPr>
        <w:t>’</w:t>
      </w:r>
      <w:r w:rsidRPr="00C841DF">
        <w:rPr>
          <w:rFonts w:ascii="Times New Roman" w:hAnsi="Times New Roman"/>
          <w:color w:val="auto"/>
          <w:sz w:val="24"/>
          <w:szCs w:val="24"/>
        </w:rPr>
        <w:t>s have been granted authority to provide information and public involvement opportunities regarding federal decisions about Yucca Mountain</w:t>
      </w:r>
      <w:r>
        <w:rPr>
          <w:rStyle w:val="FootnoteReference"/>
          <w:rFonts w:ascii="Times New Roman" w:hAnsi="Times New Roman"/>
          <w:color w:val="auto"/>
          <w:sz w:val="24"/>
          <w:szCs w:val="24"/>
        </w:rPr>
        <w:footnoteReference w:id="13"/>
      </w:r>
      <w:r w:rsidRPr="00C841DF">
        <w:rPr>
          <w:rFonts w:ascii="Times New Roman" w:hAnsi="Times New Roman"/>
          <w:color w:val="auto"/>
          <w:sz w:val="24"/>
          <w:szCs w:val="24"/>
        </w:rPr>
        <w:t>.</w:t>
      </w:r>
      <w:r>
        <w:rPr>
          <w:rFonts w:ascii="Times New Roman" w:hAnsi="Times New Roman"/>
          <w:color w:val="auto"/>
          <w:sz w:val="24"/>
          <w:szCs w:val="24"/>
        </w:rPr>
        <w:t xml:space="preserve"> As figure 4-1 demonstrates, nine of these </w:t>
      </w:r>
      <w:r w:rsidRPr="00C841DF">
        <w:rPr>
          <w:rFonts w:ascii="Times New Roman" w:hAnsi="Times New Roman"/>
          <w:color w:val="auto"/>
          <w:sz w:val="24"/>
          <w:szCs w:val="24"/>
        </w:rPr>
        <w:t>AULG</w:t>
      </w:r>
      <w:r>
        <w:rPr>
          <w:rFonts w:ascii="Times New Roman" w:hAnsi="Times New Roman"/>
          <w:color w:val="auto"/>
          <w:sz w:val="24"/>
          <w:szCs w:val="24"/>
        </w:rPr>
        <w:t>’</w:t>
      </w:r>
      <w:r w:rsidRPr="00C841DF">
        <w:rPr>
          <w:rFonts w:ascii="Times New Roman" w:hAnsi="Times New Roman"/>
          <w:color w:val="auto"/>
          <w:sz w:val="24"/>
          <w:szCs w:val="24"/>
        </w:rPr>
        <w:t>s</w:t>
      </w:r>
      <w:r>
        <w:rPr>
          <w:rFonts w:ascii="Times New Roman" w:hAnsi="Times New Roman"/>
          <w:color w:val="auto"/>
          <w:sz w:val="24"/>
          <w:szCs w:val="24"/>
        </w:rPr>
        <w:t xml:space="preserve"> are located in the state of Nevada with one being in California. In this dissertation I refer to these nine AUGU counties in the state of Nevada as “affected counties.”</w:t>
      </w:r>
    </w:p>
    <w:p w:rsidR="00B52DD2" w:rsidRPr="002D3845" w:rsidRDefault="00B52DD2" w:rsidP="00B52DD2">
      <w:pPr>
        <w:pStyle w:val="p1"/>
        <w:spacing w:line="480" w:lineRule="auto"/>
        <w:ind w:firstLine="432"/>
        <w:jc w:val="both"/>
        <w:rPr>
          <w:rFonts w:ascii="Times New Roman" w:hAnsi="Times New Roman"/>
          <w:color w:val="auto"/>
          <w:sz w:val="24"/>
          <w:szCs w:val="24"/>
        </w:rPr>
      </w:pPr>
      <w:r>
        <w:rPr>
          <w:rFonts w:ascii="Times New Roman" w:hAnsi="Times New Roman"/>
          <w:color w:val="auto"/>
          <w:sz w:val="24"/>
          <w:szCs w:val="24"/>
        </w:rPr>
        <w:lastRenderedPageBreak/>
        <w:t xml:space="preserve">The state of </w:t>
      </w:r>
      <w:r w:rsidRPr="00F64DB7">
        <w:rPr>
          <w:rFonts w:ascii="Times New Roman" w:hAnsi="Times New Roman"/>
          <w:color w:val="auto"/>
          <w:sz w:val="24"/>
          <w:szCs w:val="24"/>
        </w:rPr>
        <w:t>Nevada was the nuc</w:t>
      </w:r>
      <w:r>
        <w:rPr>
          <w:rFonts w:ascii="Times New Roman" w:hAnsi="Times New Roman"/>
          <w:color w:val="auto"/>
          <w:sz w:val="24"/>
          <w:szCs w:val="24"/>
        </w:rPr>
        <w:t>l</w:t>
      </w:r>
      <w:r w:rsidRPr="00F64DB7">
        <w:rPr>
          <w:rFonts w:ascii="Times New Roman" w:hAnsi="Times New Roman"/>
          <w:color w:val="auto"/>
          <w:sz w:val="24"/>
          <w:szCs w:val="24"/>
        </w:rPr>
        <w:t>ear weapons test site until around 1990</w:t>
      </w:r>
      <w:r>
        <w:rPr>
          <w:rFonts w:ascii="Times New Roman" w:hAnsi="Times New Roman"/>
          <w:color w:val="auto"/>
          <w:sz w:val="24"/>
          <w:szCs w:val="24"/>
        </w:rPr>
        <w:t>s while the</w:t>
      </w:r>
      <w:r w:rsidRPr="00F64DB7">
        <w:rPr>
          <w:rFonts w:ascii="Times New Roman" w:hAnsi="Times New Roman"/>
          <w:color w:val="auto"/>
          <w:sz w:val="24"/>
          <w:szCs w:val="24"/>
        </w:rPr>
        <w:t xml:space="preserve"> investigation of a possible </w:t>
      </w:r>
      <w:r>
        <w:rPr>
          <w:rFonts w:ascii="Times New Roman" w:hAnsi="Times New Roman"/>
          <w:color w:val="auto"/>
          <w:sz w:val="24"/>
          <w:szCs w:val="24"/>
        </w:rPr>
        <w:t xml:space="preserve">high level nuclear waste </w:t>
      </w:r>
      <w:r w:rsidRPr="00F64DB7">
        <w:rPr>
          <w:rFonts w:ascii="Times New Roman" w:hAnsi="Times New Roman"/>
          <w:color w:val="auto"/>
          <w:sz w:val="24"/>
          <w:szCs w:val="24"/>
        </w:rPr>
        <w:t xml:space="preserve">storage facility </w:t>
      </w:r>
      <w:r>
        <w:rPr>
          <w:rFonts w:ascii="Times New Roman" w:hAnsi="Times New Roman"/>
          <w:color w:val="auto"/>
          <w:sz w:val="24"/>
          <w:szCs w:val="24"/>
        </w:rPr>
        <w:t xml:space="preserve">in USA </w:t>
      </w:r>
      <w:r w:rsidRPr="00F64DB7">
        <w:rPr>
          <w:rFonts w:ascii="Times New Roman" w:hAnsi="Times New Roman"/>
          <w:color w:val="auto"/>
          <w:sz w:val="24"/>
          <w:szCs w:val="24"/>
        </w:rPr>
        <w:t xml:space="preserve">started in the </w:t>
      </w:r>
      <w:r>
        <w:rPr>
          <w:rFonts w:ascii="Times New Roman" w:hAnsi="Times New Roman"/>
          <w:color w:val="auto"/>
          <w:sz w:val="24"/>
          <w:szCs w:val="24"/>
        </w:rPr>
        <w:t>19</w:t>
      </w:r>
      <w:r w:rsidRPr="00F64DB7">
        <w:rPr>
          <w:rFonts w:ascii="Times New Roman" w:hAnsi="Times New Roman"/>
          <w:color w:val="auto"/>
          <w:sz w:val="24"/>
          <w:szCs w:val="24"/>
        </w:rPr>
        <w:t>70s</w:t>
      </w:r>
      <w:r>
        <w:rPr>
          <w:rFonts w:ascii="Times New Roman" w:hAnsi="Times New Roman"/>
          <w:color w:val="auto"/>
          <w:sz w:val="24"/>
          <w:szCs w:val="24"/>
        </w:rPr>
        <w:t xml:space="preserve"> (U.S. NRC 2018).</w:t>
      </w:r>
      <w:r w:rsidRPr="00F64DB7">
        <w:rPr>
          <w:rFonts w:ascii="Times New Roman" w:hAnsi="Times New Roman"/>
          <w:color w:val="auto"/>
          <w:sz w:val="24"/>
          <w:szCs w:val="24"/>
        </w:rPr>
        <w:t xml:space="preserve"> </w:t>
      </w:r>
      <w:r>
        <w:rPr>
          <w:rFonts w:ascii="Times New Roman" w:hAnsi="Times New Roman"/>
          <w:color w:val="auto"/>
          <w:sz w:val="24"/>
          <w:szCs w:val="24"/>
        </w:rPr>
        <w:t xml:space="preserve">With the enactment of </w:t>
      </w:r>
      <w:r w:rsidRPr="00F64DB7">
        <w:rPr>
          <w:rFonts w:ascii="Times New Roman" w:hAnsi="Times New Roman"/>
          <w:color w:val="auto"/>
          <w:sz w:val="24"/>
          <w:szCs w:val="24"/>
        </w:rPr>
        <w:t xml:space="preserve">NWPA </w:t>
      </w:r>
      <w:r>
        <w:rPr>
          <w:rFonts w:ascii="Times New Roman" w:hAnsi="Times New Roman"/>
          <w:color w:val="auto"/>
          <w:sz w:val="24"/>
          <w:szCs w:val="24"/>
        </w:rPr>
        <w:t xml:space="preserve">in 1982 </w:t>
      </w:r>
      <w:r w:rsidRPr="00F64DB7">
        <w:rPr>
          <w:rFonts w:ascii="Times New Roman" w:hAnsi="Times New Roman"/>
          <w:color w:val="auto"/>
          <w:sz w:val="24"/>
          <w:szCs w:val="24"/>
        </w:rPr>
        <w:t xml:space="preserve">Nevada </w:t>
      </w:r>
      <w:r>
        <w:rPr>
          <w:rFonts w:ascii="Times New Roman" w:hAnsi="Times New Roman"/>
          <w:color w:val="auto"/>
          <w:sz w:val="24"/>
          <w:szCs w:val="24"/>
        </w:rPr>
        <w:t xml:space="preserve">was </w:t>
      </w:r>
      <w:r w:rsidRPr="00F64DB7">
        <w:rPr>
          <w:rFonts w:ascii="Times New Roman" w:hAnsi="Times New Roman"/>
          <w:color w:val="auto"/>
          <w:sz w:val="24"/>
          <w:szCs w:val="24"/>
        </w:rPr>
        <w:t xml:space="preserve">designated as one of </w:t>
      </w:r>
      <w:r>
        <w:rPr>
          <w:rFonts w:ascii="Times New Roman" w:hAnsi="Times New Roman"/>
          <w:color w:val="auto"/>
          <w:sz w:val="24"/>
          <w:szCs w:val="24"/>
        </w:rPr>
        <w:t>the five</w:t>
      </w:r>
      <w:r w:rsidRPr="00F64DB7">
        <w:rPr>
          <w:rFonts w:ascii="Times New Roman" w:hAnsi="Times New Roman"/>
          <w:color w:val="auto"/>
          <w:sz w:val="24"/>
          <w:szCs w:val="24"/>
        </w:rPr>
        <w:t xml:space="preserve"> candidates for a site</w:t>
      </w:r>
      <w:r>
        <w:rPr>
          <w:rFonts w:ascii="Times New Roman" w:hAnsi="Times New Roman"/>
          <w:color w:val="auto"/>
          <w:sz w:val="24"/>
          <w:szCs w:val="24"/>
        </w:rPr>
        <w:t xml:space="preserve"> (U.S. GAO 2020). I</w:t>
      </w:r>
      <w:r w:rsidRPr="00F64DB7">
        <w:rPr>
          <w:rFonts w:ascii="Times New Roman" w:hAnsi="Times New Roman"/>
          <w:color w:val="auto"/>
          <w:sz w:val="24"/>
          <w:szCs w:val="24"/>
        </w:rPr>
        <w:t>n 1987 NWPA amend</w:t>
      </w:r>
      <w:r>
        <w:rPr>
          <w:rFonts w:ascii="Times New Roman" w:hAnsi="Times New Roman"/>
          <w:color w:val="auto"/>
          <w:sz w:val="24"/>
          <w:szCs w:val="24"/>
        </w:rPr>
        <w:t>ment designated</w:t>
      </w:r>
      <w:r w:rsidRPr="00F64DB7">
        <w:rPr>
          <w:rFonts w:ascii="Times New Roman" w:hAnsi="Times New Roman"/>
          <w:color w:val="auto"/>
          <w:sz w:val="24"/>
          <w:szCs w:val="24"/>
        </w:rPr>
        <w:t xml:space="preserve"> Y</w:t>
      </w:r>
      <w:r>
        <w:rPr>
          <w:rFonts w:ascii="Times New Roman" w:hAnsi="Times New Roman"/>
          <w:color w:val="auto"/>
          <w:sz w:val="24"/>
          <w:szCs w:val="24"/>
        </w:rPr>
        <w:t xml:space="preserve">ucca </w:t>
      </w:r>
      <w:r w:rsidRPr="00F64DB7">
        <w:rPr>
          <w:rFonts w:ascii="Times New Roman" w:hAnsi="Times New Roman"/>
          <w:color w:val="auto"/>
          <w:sz w:val="24"/>
          <w:szCs w:val="24"/>
        </w:rPr>
        <w:t>M</w:t>
      </w:r>
      <w:r>
        <w:rPr>
          <w:rFonts w:ascii="Times New Roman" w:hAnsi="Times New Roman"/>
          <w:color w:val="auto"/>
          <w:sz w:val="24"/>
          <w:szCs w:val="24"/>
        </w:rPr>
        <w:t>ountain</w:t>
      </w:r>
      <w:r w:rsidRPr="00F64DB7">
        <w:rPr>
          <w:rFonts w:ascii="Times New Roman" w:hAnsi="Times New Roman"/>
          <w:color w:val="auto"/>
          <w:sz w:val="24"/>
          <w:szCs w:val="24"/>
        </w:rPr>
        <w:t xml:space="preserve"> the only site under consideration</w:t>
      </w:r>
      <w:r>
        <w:rPr>
          <w:rFonts w:ascii="Times New Roman" w:hAnsi="Times New Roman"/>
          <w:color w:val="auto"/>
          <w:sz w:val="24"/>
          <w:szCs w:val="24"/>
        </w:rPr>
        <w:t xml:space="preserve"> (U.S. GAO 2020)</w:t>
      </w:r>
      <w:r w:rsidRPr="00F64DB7">
        <w:rPr>
          <w:rFonts w:ascii="Times New Roman" w:hAnsi="Times New Roman"/>
          <w:color w:val="auto"/>
          <w:sz w:val="24"/>
          <w:szCs w:val="24"/>
        </w:rPr>
        <w:t>.</w:t>
      </w:r>
      <w:r w:rsidRPr="007D0B0C">
        <w:rPr>
          <w:rFonts w:ascii="Times New Roman" w:hAnsi="Times New Roman"/>
          <w:color w:val="auto"/>
          <w:sz w:val="24"/>
          <w:szCs w:val="24"/>
        </w:rPr>
        <w:t xml:space="preserve"> Th</w:t>
      </w:r>
      <w:r>
        <w:rPr>
          <w:rFonts w:ascii="Times New Roman" w:hAnsi="Times New Roman"/>
          <w:color w:val="auto"/>
          <w:sz w:val="24"/>
          <w:szCs w:val="24"/>
        </w:rPr>
        <w:t xml:space="preserve">is decision </w:t>
      </w:r>
      <w:r w:rsidRPr="007D0B0C">
        <w:rPr>
          <w:rFonts w:ascii="Times New Roman" w:hAnsi="Times New Roman"/>
          <w:color w:val="auto"/>
          <w:sz w:val="24"/>
          <w:szCs w:val="24"/>
        </w:rPr>
        <w:t xml:space="preserve">to focus only on one site was broadly opposed </w:t>
      </w:r>
      <w:r>
        <w:rPr>
          <w:rFonts w:ascii="Times New Roman" w:hAnsi="Times New Roman"/>
          <w:color w:val="auto"/>
          <w:sz w:val="24"/>
          <w:szCs w:val="24"/>
        </w:rPr>
        <w:t xml:space="preserve">by the local community </w:t>
      </w:r>
      <w:r w:rsidRPr="007D0B0C">
        <w:rPr>
          <w:rFonts w:ascii="Times New Roman" w:hAnsi="Times New Roman"/>
          <w:color w:val="auto"/>
          <w:sz w:val="24"/>
          <w:szCs w:val="24"/>
        </w:rPr>
        <w:t xml:space="preserve">in Nevada </w:t>
      </w:r>
      <w:r>
        <w:rPr>
          <w:rFonts w:ascii="Times New Roman" w:hAnsi="Times New Roman"/>
          <w:color w:val="auto"/>
          <w:sz w:val="24"/>
          <w:szCs w:val="24"/>
        </w:rPr>
        <w:t>contributing to an unsettled policy debate</w:t>
      </w:r>
      <w:r>
        <w:rPr>
          <w:rStyle w:val="FootnoteReference"/>
          <w:rFonts w:ascii="Times New Roman" w:hAnsi="Times New Roman"/>
          <w:color w:val="auto"/>
          <w:sz w:val="24"/>
          <w:szCs w:val="24"/>
        </w:rPr>
        <w:footnoteReference w:id="14"/>
      </w:r>
      <w:r>
        <w:rPr>
          <w:rFonts w:ascii="Times New Roman" w:hAnsi="Times New Roman"/>
          <w:color w:val="auto"/>
          <w:sz w:val="24"/>
          <w:szCs w:val="24"/>
        </w:rPr>
        <w:t xml:space="preserve"> </w:t>
      </w:r>
      <w:r w:rsidRPr="000C26A4">
        <w:rPr>
          <w:rFonts w:ascii="Times New Roman" w:hAnsi="Times New Roman"/>
          <w:color w:val="auto"/>
          <w:sz w:val="24"/>
          <w:szCs w:val="24"/>
        </w:rPr>
        <w:t>(Eureka County</w:t>
      </w:r>
      <w:r w:rsidRPr="0024648A">
        <w:rPr>
          <w:rFonts w:ascii="Times New Roman" w:hAnsi="Times New Roman"/>
          <w:color w:val="auto"/>
          <w:sz w:val="24"/>
          <w:szCs w:val="24"/>
        </w:rPr>
        <w:t xml:space="preserve"> Yucca Mountain Information Office 20</w:t>
      </w:r>
      <w:r>
        <w:rPr>
          <w:rFonts w:ascii="Times New Roman" w:hAnsi="Times New Roman"/>
          <w:color w:val="auto"/>
          <w:sz w:val="24"/>
          <w:szCs w:val="24"/>
        </w:rPr>
        <w:t>20</w:t>
      </w:r>
      <w:r w:rsidRPr="0024648A">
        <w:rPr>
          <w:rFonts w:ascii="Times New Roman" w:hAnsi="Times New Roman"/>
          <w:color w:val="auto"/>
          <w:sz w:val="24"/>
          <w:szCs w:val="24"/>
        </w:rPr>
        <w:t>).</w:t>
      </w:r>
      <w:r>
        <w:rPr>
          <w:rFonts w:ascii="Times New Roman" w:hAnsi="Times New Roman"/>
          <w:color w:val="auto"/>
          <w:sz w:val="24"/>
          <w:szCs w:val="24"/>
        </w:rPr>
        <w:t xml:space="preserve"> Thus</w:t>
      </w:r>
      <w:r w:rsidRPr="000C26A4">
        <w:rPr>
          <w:rFonts w:ascii="Times New Roman" w:hAnsi="Times New Roman"/>
          <w:color w:val="auto"/>
          <w:sz w:val="24"/>
          <w:szCs w:val="24"/>
        </w:rPr>
        <w:t xml:space="preserve">, the Obama administration halted the project after </w:t>
      </w:r>
      <w:r>
        <w:rPr>
          <w:rFonts w:ascii="Times New Roman" w:hAnsi="Times New Roman"/>
          <w:color w:val="auto"/>
          <w:sz w:val="24"/>
          <w:szCs w:val="24"/>
        </w:rPr>
        <w:t xml:space="preserve">four decades of research and development and the expenditure of over </w:t>
      </w:r>
      <w:r w:rsidRPr="000C26A4">
        <w:rPr>
          <w:rFonts w:ascii="Times New Roman" w:hAnsi="Times New Roman"/>
          <w:color w:val="auto"/>
          <w:sz w:val="24"/>
          <w:szCs w:val="24"/>
        </w:rPr>
        <w:t xml:space="preserve">15 billion </w:t>
      </w:r>
      <w:r w:rsidRPr="00C11121">
        <w:rPr>
          <w:rFonts w:ascii="Times New Roman" w:hAnsi="Times New Roman"/>
          <w:color w:val="auto"/>
          <w:sz w:val="24"/>
          <w:szCs w:val="24"/>
        </w:rPr>
        <w:t xml:space="preserve">dollars </w:t>
      </w:r>
      <w:r>
        <w:rPr>
          <w:rFonts w:ascii="Times New Roman" w:hAnsi="Times New Roman"/>
          <w:color w:val="auto"/>
          <w:sz w:val="24"/>
          <w:szCs w:val="24"/>
        </w:rPr>
        <w:t xml:space="preserve">in the </w:t>
      </w:r>
      <w:r w:rsidRPr="0024648A">
        <w:rPr>
          <w:rFonts w:ascii="Times New Roman" w:hAnsi="Times New Roman"/>
          <w:color w:val="auto"/>
          <w:sz w:val="24"/>
          <w:szCs w:val="24"/>
        </w:rPr>
        <w:t xml:space="preserve">Yucca </w:t>
      </w:r>
      <w:r>
        <w:rPr>
          <w:rFonts w:ascii="Times New Roman" w:hAnsi="Times New Roman"/>
          <w:color w:val="auto"/>
          <w:sz w:val="24"/>
          <w:szCs w:val="24"/>
        </w:rPr>
        <w:t>m</w:t>
      </w:r>
      <w:r w:rsidRPr="0024648A">
        <w:rPr>
          <w:rFonts w:ascii="Times New Roman" w:hAnsi="Times New Roman"/>
          <w:color w:val="auto"/>
          <w:sz w:val="24"/>
          <w:szCs w:val="24"/>
        </w:rPr>
        <w:t>ountain</w:t>
      </w:r>
      <w:r>
        <w:rPr>
          <w:rFonts w:ascii="Times New Roman" w:hAnsi="Times New Roman"/>
          <w:color w:val="auto"/>
          <w:sz w:val="24"/>
          <w:szCs w:val="24"/>
        </w:rPr>
        <w:t xml:space="preserve"> siting program</w:t>
      </w:r>
      <w:r>
        <w:rPr>
          <w:rStyle w:val="FootnoteReference"/>
          <w:rFonts w:ascii="Times New Roman" w:hAnsi="Times New Roman"/>
          <w:color w:val="auto"/>
          <w:sz w:val="24"/>
          <w:szCs w:val="24"/>
        </w:rPr>
        <w:footnoteReference w:id="15"/>
      </w:r>
      <w:r w:rsidRPr="000C26A4">
        <w:rPr>
          <w:rFonts w:ascii="Times New Roman" w:hAnsi="Times New Roman"/>
          <w:color w:val="auto"/>
          <w:sz w:val="24"/>
          <w:szCs w:val="24"/>
        </w:rPr>
        <w:t xml:space="preserve"> (Eureka County</w:t>
      </w:r>
      <w:r w:rsidRPr="0024648A">
        <w:rPr>
          <w:rFonts w:ascii="Times New Roman" w:hAnsi="Times New Roman"/>
          <w:color w:val="auto"/>
          <w:sz w:val="24"/>
          <w:szCs w:val="24"/>
        </w:rPr>
        <w:t xml:space="preserve"> Yucca Mountain Information Office 20</w:t>
      </w:r>
      <w:r>
        <w:rPr>
          <w:rFonts w:ascii="Times New Roman" w:hAnsi="Times New Roman"/>
          <w:color w:val="auto"/>
          <w:sz w:val="24"/>
          <w:szCs w:val="24"/>
        </w:rPr>
        <w:t>20</w:t>
      </w:r>
      <w:r w:rsidRPr="0024648A">
        <w:rPr>
          <w:rFonts w:ascii="Times New Roman" w:hAnsi="Times New Roman"/>
          <w:color w:val="auto"/>
          <w:sz w:val="24"/>
          <w:szCs w:val="24"/>
        </w:rPr>
        <w:t xml:space="preserve">). </w:t>
      </w:r>
      <w:r>
        <w:rPr>
          <w:rFonts w:ascii="Times New Roman" w:hAnsi="Times New Roman"/>
          <w:color w:val="auto"/>
          <w:sz w:val="24"/>
          <w:szCs w:val="24"/>
        </w:rPr>
        <w:t xml:space="preserve">Although </w:t>
      </w:r>
      <w:r w:rsidRPr="000C26A4">
        <w:rPr>
          <w:rFonts w:ascii="Times New Roman" w:hAnsi="Times New Roman"/>
          <w:color w:val="auto"/>
          <w:sz w:val="24"/>
          <w:szCs w:val="24"/>
        </w:rPr>
        <w:t xml:space="preserve">the Department of Energy had filed </w:t>
      </w:r>
      <w:r>
        <w:rPr>
          <w:rFonts w:ascii="Times New Roman" w:hAnsi="Times New Roman"/>
          <w:color w:val="auto"/>
          <w:sz w:val="24"/>
          <w:szCs w:val="24"/>
        </w:rPr>
        <w:t>to obtain a license from the Nuclear Regulatory Commission</w:t>
      </w:r>
      <w:r w:rsidRPr="000C26A4">
        <w:rPr>
          <w:rFonts w:ascii="Times New Roman" w:hAnsi="Times New Roman"/>
          <w:color w:val="auto"/>
          <w:sz w:val="24"/>
          <w:szCs w:val="24"/>
        </w:rPr>
        <w:t xml:space="preserve"> </w:t>
      </w:r>
      <w:r>
        <w:rPr>
          <w:rFonts w:ascii="Times New Roman" w:hAnsi="Times New Roman"/>
          <w:color w:val="auto"/>
          <w:sz w:val="24"/>
          <w:szCs w:val="24"/>
        </w:rPr>
        <w:t xml:space="preserve">to construct </w:t>
      </w:r>
      <w:r w:rsidRPr="000C26A4">
        <w:rPr>
          <w:rFonts w:ascii="Times New Roman" w:hAnsi="Times New Roman"/>
          <w:color w:val="auto"/>
          <w:sz w:val="24"/>
          <w:szCs w:val="24"/>
        </w:rPr>
        <w:t xml:space="preserve">the </w:t>
      </w:r>
      <w:r w:rsidRPr="0024648A">
        <w:rPr>
          <w:rFonts w:ascii="Times New Roman" w:hAnsi="Times New Roman"/>
          <w:color w:val="auto"/>
          <w:sz w:val="24"/>
          <w:szCs w:val="24"/>
        </w:rPr>
        <w:t xml:space="preserve">Yucca </w:t>
      </w:r>
      <w:r>
        <w:rPr>
          <w:rFonts w:ascii="Times New Roman" w:hAnsi="Times New Roman"/>
          <w:color w:val="auto"/>
          <w:sz w:val="24"/>
          <w:szCs w:val="24"/>
        </w:rPr>
        <w:t>M</w:t>
      </w:r>
      <w:r w:rsidRPr="0024648A">
        <w:rPr>
          <w:rFonts w:ascii="Times New Roman" w:hAnsi="Times New Roman"/>
          <w:color w:val="auto"/>
          <w:sz w:val="24"/>
          <w:szCs w:val="24"/>
        </w:rPr>
        <w:t xml:space="preserve">ountain </w:t>
      </w:r>
      <w:r>
        <w:rPr>
          <w:rFonts w:ascii="Times New Roman" w:hAnsi="Times New Roman"/>
          <w:color w:val="auto"/>
          <w:sz w:val="24"/>
          <w:szCs w:val="24"/>
        </w:rPr>
        <w:t>facility in 2002, President Obama cancelled funding for the program in 2010 and sought to cancel the NRC licensing process.</w:t>
      </w:r>
      <w:r>
        <w:rPr>
          <w:rStyle w:val="FootnoteReference"/>
          <w:rFonts w:ascii="Times New Roman" w:hAnsi="Times New Roman"/>
          <w:color w:val="auto"/>
          <w:sz w:val="24"/>
          <w:szCs w:val="24"/>
        </w:rPr>
        <w:footnoteReference w:id="16"/>
      </w:r>
      <w:r w:rsidRPr="000C26A4">
        <w:rPr>
          <w:rFonts w:ascii="Times New Roman" w:hAnsi="Times New Roman"/>
          <w:color w:val="auto"/>
          <w:sz w:val="24"/>
          <w:szCs w:val="24"/>
        </w:rPr>
        <w:t xml:space="preserve"> </w:t>
      </w:r>
      <w:r w:rsidRPr="0024648A">
        <w:rPr>
          <w:rFonts w:ascii="Times New Roman" w:hAnsi="Times New Roman"/>
          <w:color w:val="auto"/>
          <w:sz w:val="24"/>
          <w:szCs w:val="24"/>
        </w:rPr>
        <w:t>President Trump</w:t>
      </w:r>
      <w:r>
        <w:rPr>
          <w:rFonts w:ascii="Times New Roman" w:hAnsi="Times New Roman"/>
          <w:color w:val="auto"/>
          <w:sz w:val="24"/>
          <w:szCs w:val="24"/>
        </w:rPr>
        <w:t xml:space="preserve"> has supported restarting the project, and his</w:t>
      </w:r>
      <w:r w:rsidRPr="0024648A">
        <w:rPr>
          <w:rFonts w:ascii="Times New Roman" w:hAnsi="Times New Roman"/>
          <w:color w:val="auto"/>
          <w:sz w:val="24"/>
          <w:szCs w:val="24"/>
        </w:rPr>
        <w:t xml:space="preserve"> budget request in 2017 for fiscal year 2018 included $120 million for </w:t>
      </w:r>
      <w:r>
        <w:rPr>
          <w:rFonts w:ascii="Times New Roman" w:hAnsi="Times New Roman"/>
          <w:color w:val="auto"/>
          <w:sz w:val="24"/>
          <w:szCs w:val="24"/>
        </w:rPr>
        <w:t xml:space="preserve">work on the </w:t>
      </w:r>
      <w:r w:rsidRPr="0024648A">
        <w:rPr>
          <w:rFonts w:ascii="Times New Roman" w:hAnsi="Times New Roman"/>
          <w:color w:val="auto"/>
          <w:sz w:val="24"/>
          <w:szCs w:val="24"/>
        </w:rPr>
        <w:t xml:space="preserve">Yucca </w:t>
      </w:r>
      <w:r>
        <w:rPr>
          <w:rFonts w:ascii="Times New Roman" w:hAnsi="Times New Roman"/>
          <w:color w:val="auto"/>
          <w:sz w:val="24"/>
          <w:szCs w:val="24"/>
        </w:rPr>
        <w:t>M</w:t>
      </w:r>
      <w:r w:rsidRPr="0024648A">
        <w:rPr>
          <w:rFonts w:ascii="Times New Roman" w:hAnsi="Times New Roman"/>
          <w:color w:val="auto"/>
          <w:sz w:val="24"/>
          <w:szCs w:val="24"/>
        </w:rPr>
        <w:t xml:space="preserve">ountain project. These funds were planned to be allocated for resuming Yucca </w:t>
      </w:r>
      <w:r>
        <w:rPr>
          <w:rFonts w:ascii="Times New Roman" w:hAnsi="Times New Roman"/>
          <w:color w:val="auto"/>
          <w:sz w:val="24"/>
          <w:szCs w:val="24"/>
        </w:rPr>
        <w:t>M</w:t>
      </w:r>
      <w:r w:rsidRPr="0024648A">
        <w:rPr>
          <w:rFonts w:ascii="Times New Roman" w:hAnsi="Times New Roman"/>
          <w:color w:val="auto"/>
          <w:sz w:val="24"/>
          <w:szCs w:val="24"/>
        </w:rPr>
        <w:t xml:space="preserve">ountain and </w:t>
      </w:r>
      <w:r>
        <w:rPr>
          <w:rFonts w:ascii="Times New Roman" w:hAnsi="Times New Roman"/>
          <w:color w:val="auto"/>
          <w:sz w:val="24"/>
          <w:szCs w:val="24"/>
        </w:rPr>
        <w:t xml:space="preserve">an </w:t>
      </w:r>
      <w:r w:rsidRPr="0024648A">
        <w:rPr>
          <w:rFonts w:ascii="Times New Roman" w:hAnsi="Times New Roman"/>
          <w:color w:val="auto"/>
          <w:sz w:val="24"/>
          <w:szCs w:val="24"/>
        </w:rPr>
        <w:t>interim storage site license review (US GAO 20</w:t>
      </w:r>
      <w:r>
        <w:rPr>
          <w:rFonts w:ascii="Times New Roman" w:hAnsi="Times New Roman"/>
          <w:color w:val="auto"/>
          <w:sz w:val="24"/>
          <w:szCs w:val="24"/>
        </w:rPr>
        <w:t>20</w:t>
      </w:r>
      <w:r w:rsidRPr="0024648A">
        <w:rPr>
          <w:rFonts w:ascii="Times New Roman" w:hAnsi="Times New Roman"/>
          <w:color w:val="auto"/>
          <w:sz w:val="24"/>
          <w:szCs w:val="24"/>
        </w:rPr>
        <w:t>).</w:t>
      </w:r>
      <w:r>
        <w:rPr>
          <w:rFonts w:ascii="Times New Roman" w:hAnsi="Times New Roman"/>
          <w:color w:val="auto"/>
          <w:sz w:val="24"/>
          <w:szCs w:val="24"/>
        </w:rPr>
        <w:t xml:space="preserve"> However, the decision about a </w:t>
      </w:r>
      <w:r w:rsidRPr="00C11121">
        <w:rPr>
          <w:rFonts w:ascii="Times New Roman" w:hAnsi="Times New Roman"/>
          <w:color w:val="auto"/>
          <w:sz w:val="24"/>
          <w:szCs w:val="24"/>
        </w:rPr>
        <w:t>disposal site in the United States</w:t>
      </w:r>
      <w:r>
        <w:rPr>
          <w:rFonts w:ascii="Times New Roman" w:hAnsi="Times New Roman"/>
          <w:color w:val="auto"/>
          <w:sz w:val="24"/>
          <w:szCs w:val="24"/>
        </w:rPr>
        <w:t xml:space="preserve"> is still pending, as is </w:t>
      </w:r>
      <w:r w:rsidRPr="00C11121">
        <w:rPr>
          <w:rFonts w:ascii="Times New Roman" w:hAnsi="Times New Roman"/>
          <w:color w:val="auto"/>
          <w:sz w:val="24"/>
          <w:szCs w:val="24"/>
        </w:rPr>
        <w:t>license application to authorize construction of a nuclear waste repository</w:t>
      </w:r>
      <w:r>
        <w:rPr>
          <w:rFonts w:ascii="Times New Roman" w:hAnsi="Times New Roman"/>
          <w:color w:val="auto"/>
          <w:sz w:val="24"/>
          <w:szCs w:val="24"/>
        </w:rPr>
        <w:t xml:space="preserve"> at </w:t>
      </w:r>
      <w:r>
        <w:rPr>
          <w:rFonts w:ascii="Times New Roman" w:hAnsi="Times New Roman"/>
          <w:color w:val="auto"/>
          <w:sz w:val="24"/>
          <w:szCs w:val="24"/>
        </w:rPr>
        <w:lastRenderedPageBreak/>
        <w:t xml:space="preserve">the </w:t>
      </w:r>
      <w:r w:rsidRPr="00C11121">
        <w:rPr>
          <w:rFonts w:ascii="Times New Roman" w:hAnsi="Times New Roman"/>
          <w:color w:val="auto"/>
          <w:sz w:val="24"/>
          <w:szCs w:val="24"/>
        </w:rPr>
        <w:t>Yucca Mountain site in Nevada</w:t>
      </w:r>
      <w:r>
        <w:rPr>
          <w:rFonts w:ascii="Times New Roman" w:hAnsi="Times New Roman"/>
          <w:color w:val="auto"/>
          <w:sz w:val="24"/>
          <w:szCs w:val="24"/>
        </w:rPr>
        <w:t xml:space="preserve">. President Trump continues to signal his support for </w:t>
      </w:r>
      <w:r w:rsidRPr="0024648A">
        <w:rPr>
          <w:rFonts w:ascii="Times New Roman" w:hAnsi="Times New Roman"/>
          <w:color w:val="auto"/>
          <w:sz w:val="24"/>
          <w:szCs w:val="24"/>
        </w:rPr>
        <w:t xml:space="preserve">Yucca </w:t>
      </w:r>
      <w:r>
        <w:rPr>
          <w:rFonts w:ascii="Times New Roman" w:hAnsi="Times New Roman"/>
          <w:color w:val="auto"/>
          <w:sz w:val="24"/>
          <w:szCs w:val="24"/>
        </w:rPr>
        <w:t>M</w:t>
      </w:r>
      <w:r w:rsidRPr="0024648A">
        <w:rPr>
          <w:rFonts w:ascii="Times New Roman" w:hAnsi="Times New Roman"/>
          <w:color w:val="auto"/>
          <w:sz w:val="24"/>
          <w:szCs w:val="24"/>
        </w:rPr>
        <w:t>ountain</w:t>
      </w:r>
      <w:r>
        <w:rPr>
          <w:rFonts w:ascii="Times New Roman" w:hAnsi="Times New Roman"/>
          <w:color w:val="auto"/>
          <w:sz w:val="24"/>
          <w:szCs w:val="24"/>
        </w:rPr>
        <w:t xml:space="preserve">, and recently tweeted a promise to the residents of Nevada about “exploring innovative approaches” to the </w:t>
      </w:r>
      <w:r w:rsidRPr="0024648A">
        <w:rPr>
          <w:rFonts w:ascii="Times New Roman" w:hAnsi="Times New Roman"/>
          <w:color w:val="auto"/>
          <w:sz w:val="24"/>
          <w:szCs w:val="24"/>
        </w:rPr>
        <w:t xml:space="preserve">Yucca </w:t>
      </w:r>
      <w:r>
        <w:rPr>
          <w:rFonts w:ascii="Times New Roman" w:hAnsi="Times New Roman"/>
          <w:color w:val="auto"/>
          <w:sz w:val="24"/>
          <w:szCs w:val="24"/>
        </w:rPr>
        <w:t>M</w:t>
      </w:r>
      <w:r w:rsidRPr="0024648A">
        <w:rPr>
          <w:rFonts w:ascii="Times New Roman" w:hAnsi="Times New Roman"/>
          <w:color w:val="auto"/>
          <w:sz w:val="24"/>
          <w:szCs w:val="24"/>
        </w:rPr>
        <w:t>ountain</w:t>
      </w:r>
      <w:r>
        <w:rPr>
          <w:rFonts w:ascii="Times New Roman" w:hAnsi="Times New Roman"/>
          <w:color w:val="auto"/>
          <w:sz w:val="24"/>
          <w:szCs w:val="24"/>
        </w:rPr>
        <w:t xml:space="preserve"> policy debate (</w:t>
      </w:r>
      <w:r w:rsidRPr="005479E2">
        <w:rPr>
          <w:rFonts w:ascii="Times New Roman" w:hAnsi="Times New Roman"/>
          <w:color w:val="auto"/>
          <w:sz w:val="24"/>
          <w:szCs w:val="24"/>
        </w:rPr>
        <w:t>Macfarlane</w:t>
      </w:r>
      <w:r>
        <w:rPr>
          <w:rFonts w:ascii="Times New Roman" w:hAnsi="Times New Roman"/>
          <w:color w:val="auto"/>
          <w:sz w:val="24"/>
          <w:szCs w:val="24"/>
        </w:rPr>
        <w:t xml:space="preserve"> </w:t>
      </w:r>
      <w:r w:rsidRPr="005479E2">
        <w:rPr>
          <w:rFonts w:ascii="Times New Roman" w:hAnsi="Times New Roman"/>
          <w:color w:val="auto"/>
          <w:sz w:val="24"/>
          <w:szCs w:val="24"/>
        </w:rPr>
        <w:t>2020</w:t>
      </w:r>
      <w:r>
        <w:rPr>
          <w:rFonts w:ascii="Times New Roman" w:hAnsi="Times New Roman"/>
          <w:color w:val="auto"/>
          <w:sz w:val="24"/>
          <w:szCs w:val="24"/>
        </w:rPr>
        <w:t xml:space="preserve">). </w:t>
      </w:r>
      <w:r w:rsidRPr="00C53284">
        <w:rPr>
          <w:rFonts w:ascii="Times New Roman" w:hAnsi="Times New Roman"/>
          <w:color w:val="auto"/>
          <w:sz w:val="24"/>
          <w:szCs w:val="24"/>
        </w:rPr>
        <w:t>This policy context provides an</w:t>
      </w:r>
      <w:r>
        <w:rPr>
          <w:rFonts w:ascii="Times New Roman" w:hAnsi="Times New Roman"/>
          <w:color w:val="auto"/>
          <w:sz w:val="24"/>
          <w:szCs w:val="24"/>
        </w:rPr>
        <w:t xml:space="preserve"> excellent case with which to test hypotheses about the likely effect of NWPA on the </w:t>
      </w:r>
      <w:r w:rsidRPr="000C26A4">
        <w:rPr>
          <w:rFonts w:ascii="Times New Roman" w:hAnsi="Times New Roman"/>
          <w:color w:val="auto"/>
          <w:sz w:val="24"/>
          <w:szCs w:val="24"/>
        </w:rPr>
        <w:t>political behavior</w:t>
      </w:r>
      <w:r>
        <w:rPr>
          <w:rFonts w:ascii="Times New Roman" w:hAnsi="Times New Roman"/>
          <w:color w:val="auto"/>
          <w:sz w:val="24"/>
          <w:szCs w:val="24"/>
        </w:rPr>
        <w:t xml:space="preserve"> of local residents in quasi experimental design. In particular, I will compare whether there are differences among residents of counties that are geographically affected by NWPA as opposed to those that are not affected. As defined above, the geographically affected counties a</w:t>
      </w:r>
      <w:r w:rsidRPr="00C53284">
        <w:rPr>
          <w:rFonts w:ascii="Times New Roman" w:hAnsi="Times New Roman"/>
          <w:color w:val="auto"/>
          <w:sz w:val="24"/>
          <w:szCs w:val="24"/>
        </w:rPr>
        <w:t xml:space="preserve">re identified as the treatment group in the analysis </w:t>
      </w:r>
      <w:r>
        <w:rPr>
          <w:rFonts w:ascii="Times New Roman" w:hAnsi="Times New Roman"/>
          <w:color w:val="auto"/>
          <w:sz w:val="24"/>
          <w:szCs w:val="24"/>
        </w:rPr>
        <w:t xml:space="preserve">and the remaining ones as control group. </w:t>
      </w:r>
      <w:r w:rsidRPr="002D3845">
        <w:rPr>
          <w:rFonts w:ascii="Times New Roman" w:hAnsi="Times New Roman"/>
          <w:color w:val="auto"/>
          <w:sz w:val="24"/>
          <w:szCs w:val="24"/>
        </w:rPr>
        <w:t xml:space="preserve">Based on the above </w:t>
      </w:r>
      <w:r>
        <w:rPr>
          <w:rFonts w:ascii="Times New Roman" w:hAnsi="Times New Roman"/>
          <w:color w:val="auto"/>
          <w:sz w:val="24"/>
          <w:szCs w:val="24"/>
        </w:rPr>
        <w:t xml:space="preserve">theoretical </w:t>
      </w:r>
      <w:r w:rsidRPr="002D3845">
        <w:rPr>
          <w:rFonts w:ascii="Times New Roman" w:hAnsi="Times New Roman"/>
          <w:color w:val="auto"/>
          <w:sz w:val="24"/>
          <w:szCs w:val="24"/>
        </w:rPr>
        <w:t>discussions</w:t>
      </w:r>
      <w:r>
        <w:rPr>
          <w:rFonts w:ascii="Times New Roman" w:hAnsi="Times New Roman"/>
          <w:color w:val="auto"/>
          <w:sz w:val="24"/>
          <w:szCs w:val="24"/>
        </w:rPr>
        <w:t xml:space="preserve"> on party identification, issue ownership and policy feedback</w:t>
      </w:r>
      <w:r w:rsidRPr="002D3845">
        <w:rPr>
          <w:rFonts w:ascii="Times New Roman" w:hAnsi="Times New Roman"/>
          <w:color w:val="auto"/>
          <w:sz w:val="24"/>
          <w:szCs w:val="24"/>
        </w:rPr>
        <w:t xml:space="preserve">, I empirically examine the following hypotheses.  </w:t>
      </w:r>
    </w:p>
    <w:p w:rsidR="00B52DD2" w:rsidRDefault="00B52DD2" w:rsidP="00B52DD2">
      <w:pPr>
        <w:spacing w:line="480" w:lineRule="auto"/>
        <w:ind w:firstLine="720"/>
        <w:jc w:val="both"/>
        <w:rPr>
          <w:rFonts w:ascii="Times New Roman" w:hAnsi="Times New Roman" w:cs="Times New Roman"/>
          <w:i/>
          <w:iCs/>
        </w:rPr>
      </w:pPr>
      <w:r w:rsidRPr="000E716E">
        <w:rPr>
          <w:rFonts w:ascii="Times New Roman" w:hAnsi="Times New Roman" w:cs="Times New Roman"/>
          <w:i/>
          <w:iCs/>
        </w:rPr>
        <w:t>Hypothesis 1: In line with the extant literature on long term effects of partisan identification and issue ownership I expect to find local residents from counties directly affected by NWPA (treatment group) as opposed to those who are not directly affected by it (control group) to reflect a change in their voting behavior caused by the adoption of NWPA in 1982 or its amendment of 1987.</w:t>
      </w:r>
    </w:p>
    <w:p w:rsidR="00B52DD2" w:rsidRPr="00EF0089" w:rsidRDefault="00B52DD2" w:rsidP="00B52DD2">
      <w:pPr>
        <w:pStyle w:val="p1"/>
        <w:spacing w:line="480" w:lineRule="auto"/>
        <w:ind w:firstLine="432"/>
        <w:jc w:val="both"/>
        <w:rPr>
          <w:rFonts w:ascii="Times New Roman" w:hAnsi="Times New Roman"/>
          <w:color w:val="auto"/>
          <w:sz w:val="24"/>
          <w:szCs w:val="24"/>
        </w:rPr>
      </w:pPr>
      <w:r>
        <w:rPr>
          <w:rFonts w:ascii="Times New Roman" w:hAnsi="Times New Roman"/>
          <w:color w:val="auto"/>
          <w:sz w:val="24"/>
          <w:szCs w:val="24"/>
        </w:rPr>
        <w:t xml:space="preserve">Having in mind the issue identification hypothesis and </w:t>
      </w:r>
      <w:r w:rsidRPr="003F4BC8">
        <w:rPr>
          <w:rFonts w:ascii="Times New Roman" w:hAnsi="Times New Roman"/>
          <w:color w:val="auto"/>
          <w:sz w:val="24"/>
          <w:szCs w:val="24"/>
        </w:rPr>
        <w:t xml:space="preserve">the </w:t>
      </w:r>
      <w:r>
        <w:rPr>
          <w:rFonts w:ascii="Times New Roman" w:hAnsi="Times New Roman"/>
          <w:color w:val="auto"/>
          <w:sz w:val="24"/>
          <w:szCs w:val="24"/>
        </w:rPr>
        <w:t xml:space="preserve">empirical </w:t>
      </w:r>
      <w:r w:rsidRPr="003F4BC8">
        <w:rPr>
          <w:rFonts w:ascii="Times New Roman" w:hAnsi="Times New Roman"/>
          <w:color w:val="auto"/>
          <w:sz w:val="24"/>
          <w:szCs w:val="24"/>
        </w:rPr>
        <w:t xml:space="preserve">evidence </w:t>
      </w:r>
      <w:r>
        <w:rPr>
          <w:rFonts w:ascii="Times New Roman" w:hAnsi="Times New Roman"/>
          <w:color w:val="auto"/>
          <w:sz w:val="24"/>
          <w:szCs w:val="24"/>
        </w:rPr>
        <w:t xml:space="preserve">from previous research we know that </w:t>
      </w:r>
      <w:r w:rsidRPr="003F4BC8">
        <w:rPr>
          <w:rFonts w:ascii="Times New Roman" w:hAnsi="Times New Roman"/>
          <w:color w:val="auto"/>
          <w:sz w:val="24"/>
          <w:szCs w:val="24"/>
        </w:rPr>
        <w:t>individuals with Republican party affiliation and conservative political ideology are more supportive of nuclear energy use than those with Democratic party affiliation and liberal ideology (Conover and Feldman 1981; Rothman and Lichter 1987; Ripberger et al. 2012).</w:t>
      </w:r>
      <w:r>
        <w:rPr>
          <w:rFonts w:ascii="Times New Roman" w:hAnsi="Times New Roman"/>
          <w:color w:val="auto"/>
          <w:sz w:val="24"/>
          <w:szCs w:val="24"/>
        </w:rPr>
        <w:t xml:space="preserve"> Therefore, in line with these predispositions I particularly expect that historically partisan and ideological sentiments in Nevada from around 1980ies when NWPA policy discussions came into play have shifted towards Democratic and liberal ideology at the expense of the Republican and conservative voters.</w:t>
      </w:r>
    </w:p>
    <w:p w:rsidR="00B52DD2" w:rsidRDefault="00B52DD2" w:rsidP="00B52DD2">
      <w:pPr>
        <w:spacing w:line="480" w:lineRule="auto"/>
        <w:ind w:firstLine="720"/>
        <w:jc w:val="both"/>
        <w:rPr>
          <w:rFonts w:ascii="Times New Roman" w:hAnsi="Times New Roman" w:cs="Times New Roman"/>
          <w:i/>
          <w:iCs/>
        </w:rPr>
      </w:pPr>
      <w:r w:rsidRPr="000E716E">
        <w:rPr>
          <w:rFonts w:ascii="Times New Roman" w:hAnsi="Times New Roman" w:cs="Times New Roman"/>
          <w:i/>
          <w:iCs/>
        </w:rPr>
        <w:lastRenderedPageBreak/>
        <w:t>Hypothesis 2: Based on the claims of policy feedback theory about the salience of policy contextual effects and increased civic engagement I expect to find local residents from counties directly affected by NWPA (treatment group) to have increased election turnout caused by the adoption of NWPA in 1982 or its amendment of 1987.</w:t>
      </w:r>
    </w:p>
    <w:p w:rsidR="00B52DD2" w:rsidRPr="000E716E" w:rsidRDefault="00B52DD2" w:rsidP="00B52DD2">
      <w:pPr>
        <w:spacing w:line="480" w:lineRule="auto"/>
        <w:ind w:firstLine="720"/>
        <w:jc w:val="both"/>
        <w:rPr>
          <w:rFonts w:ascii="Times New Roman" w:hAnsi="Times New Roman" w:cs="Times New Roman"/>
          <w:i/>
          <w:iCs/>
        </w:rPr>
      </w:pPr>
    </w:p>
    <w:p w:rsidR="00B52DD2" w:rsidRPr="003F4BC8" w:rsidRDefault="00B52DD2" w:rsidP="00B52DD2">
      <w:pPr>
        <w:spacing w:line="480" w:lineRule="auto"/>
        <w:ind w:firstLine="720"/>
        <w:jc w:val="center"/>
        <w:rPr>
          <w:rFonts w:ascii="Times New Roman" w:hAnsi="Times New Roman" w:cs="Times New Roman"/>
          <w:b/>
          <w:bCs/>
        </w:rPr>
      </w:pPr>
      <w:r w:rsidRPr="003F4BC8">
        <w:rPr>
          <w:rFonts w:ascii="Times New Roman" w:hAnsi="Times New Roman" w:cs="Times New Roman"/>
          <w:b/>
          <w:bCs/>
        </w:rPr>
        <w:t>Data and Methods</w:t>
      </w:r>
    </w:p>
    <w:p w:rsidR="00B52DD2" w:rsidRPr="003F4BC8" w:rsidRDefault="00B52DD2" w:rsidP="00B52DD2">
      <w:pPr>
        <w:pStyle w:val="p1"/>
        <w:spacing w:line="480" w:lineRule="auto"/>
        <w:ind w:firstLine="432"/>
        <w:jc w:val="both"/>
        <w:rPr>
          <w:rFonts w:ascii="Times New Roman" w:hAnsi="Times New Roman"/>
          <w:color w:val="auto"/>
          <w:sz w:val="24"/>
          <w:szCs w:val="24"/>
        </w:rPr>
      </w:pPr>
      <w:r w:rsidRPr="003F4BC8">
        <w:rPr>
          <w:rFonts w:ascii="Times New Roman" w:hAnsi="Times New Roman"/>
          <w:color w:val="auto"/>
          <w:sz w:val="24"/>
          <w:szCs w:val="24"/>
        </w:rPr>
        <w:t>To investigate the impact of NWPA on voting behavior and election turnout in the state of Nevada I constructed a unique four-year panel dataset for all 17 counties for the years 1964-2016. These data used in the analysis are collected from the state of Nevada Secretary of State (NSS) website. The website publishes overall count of election and turnout results per candidate/party for all types of elections. For the purposes of this study I focused on general presidential elections given the evidence that voter turnout is highest at presidential elections (U.S. Census 2012). The measure of voting behavior indicates the aggregated preferences of individual voters per candidate/party and is constructed form the election result reports for presidential general elections of 1964 to 2016 in all seventeen counties in Nevada (Nevada Secretary of State 2020).</w:t>
      </w:r>
      <w:r w:rsidRPr="003F4BC8">
        <w:rPr>
          <w:rStyle w:val="FootnoteReference"/>
          <w:rFonts w:ascii="Times New Roman" w:hAnsi="Times New Roman"/>
          <w:color w:val="auto"/>
          <w:sz w:val="24"/>
          <w:szCs w:val="24"/>
        </w:rPr>
        <w:footnoteReference w:id="17"/>
      </w:r>
      <w:r w:rsidRPr="003F4BC8">
        <w:rPr>
          <w:rFonts w:ascii="Times New Roman" w:hAnsi="Times New Roman"/>
          <w:color w:val="auto"/>
          <w:sz w:val="24"/>
          <w:szCs w:val="24"/>
        </w:rPr>
        <w:t xml:space="preserve"> The measure for election turnout is the percent of registered voters that </w:t>
      </w:r>
      <w:r>
        <w:rPr>
          <w:rFonts w:ascii="Times New Roman" w:hAnsi="Times New Roman"/>
          <w:color w:val="auto"/>
          <w:sz w:val="24"/>
          <w:szCs w:val="24"/>
        </w:rPr>
        <w:t>cast a</w:t>
      </w:r>
      <w:r w:rsidRPr="003F4BC8">
        <w:rPr>
          <w:rFonts w:ascii="Times New Roman" w:hAnsi="Times New Roman"/>
          <w:color w:val="auto"/>
          <w:sz w:val="24"/>
          <w:szCs w:val="24"/>
        </w:rPr>
        <w:t xml:space="preserve"> vote in the given election collected fr</w:t>
      </w:r>
      <w:r>
        <w:rPr>
          <w:rFonts w:ascii="Times New Roman" w:hAnsi="Times New Roman"/>
          <w:color w:val="auto"/>
          <w:sz w:val="24"/>
          <w:szCs w:val="24"/>
        </w:rPr>
        <w:t>o</w:t>
      </w:r>
      <w:r w:rsidRPr="003F4BC8">
        <w:rPr>
          <w:rFonts w:ascii="Times New Roman" w:hAnsi="Times New Roman"/>
          <w:color w:val="auto"/>
          <w:sz w:val="24"/>
          <w:szCs w:val="24"/>
        </w:rPr>
        <w:t>m the voter turnout reports for presidential general elections of 1964 to 2016 for all seventeen counties in Nevada (Nevada Secretary of State 2020). These dependent variables reflect the main outcome of interest of the study.</w:t>
      </w:r>
    </w:p>
    <w:p w:rsidR="00B52DD2" w:rsidRPr="00AB49D4" w:rsidRDefault="00B52DD2" w:rsidP="00B52DD2">
      <w:pPr>
        <w:pStyle w:val="p1"/>
        <w:spacing w:line="480" w:lineRule="auto"/>
        <w:ind w:firstLine="432"/>
        <w:jc w:val="both"/>
        <w:rPr>
          <w:rFonts w:ascii="Times New Roman" w:hAnsi="Times New Roman"/>
          <w:color w:val="auto"/>
          <w:sz w:val="24"/>
          <w:szCs w:val="24"/>
        </w:rPr>
      </w:pPr>
      <w:r w:rsidRPr="00231657">
        <w:rPr>
          <w:rFonts w:ascii="Times New Roman" w:hAnsi="Times New Roman"/>
          <w:color w:val="auto"/>
          <w:sz w:val="24"/>
          <w:szCs w:val="24"/>
        </w:rPr>
        <w:lastRenderedPageBreak/>
        <w:t xml:space="preserve">To assess the impact of NWPA and the 1987 amendments on reshaping the political landscape in the state of Nevada it is first necessary to </w:t>
      </w:r>
      <w:r>
        <w:rPr>
          <w:rFonts w:ascii="Times New Roman" w:hAnsi="Times New Roman"/>
          <w:color w:val="auto"/>
          <w:sz w:val="24"/>
          <w:szCs w:val="24"/>
        </w:rPr>
        <w:t>remember</w:t>
      </w:r>
      <w:r w:rsidRPr="00231657">
        <w:rPr>
          <w:rFonts w:ascii="Times New Roman" w:hAnsi="Times New Roman"/>
          <w:color w:val="auto"/>
          <w:sz w:val="24"/>
          <w:szCs w:val="24"/>
        </w:rPr>
        <w:t xml:space="preserve"> the geographic disposition of its counties</w:t>
      </w:r>
      <w:r>
        <w:rPr>
          <w:rFonts w:ascii="Times New Roman" w:hAnsi="Times New Roman"/>
          <w:color w:val="auto"/>
          <w:sz w:val="24"/>
          <w:szCs w:val="24"/>
        </w:rPr>
        <w:t xml:space="preserve"> revealed in figure 4-1 and described in the previous section</w:t>
      </w:r>
      <w:r w:rsidRPr="00231657">
        <w:rPr>
          <w:rFonts w:ascii="Times New Roman" w:hAnsi="Times New Roman"/>
          <w:color w:val="auto"/>
          <w:sz w:val="24"/>
          <w:szCs w:val="24"/>
        </w:rPr>
        <w:t xml:space="preserve">. </w:t>
      </w:r>
      <w:r>
        <w:rPr>
          <w:rFonts w:ascii="Times New Roman" w:hAnsi="Times New Roman"/>
          <w:color w:val="auto"/>
          <w:sz w:val="24"/>
          <w:szCs w:val="24"/>
        </w:rPr>
        <w:t xml:space="preserve">From the total </w:t>
      </w:r>
      <w:r w:rsidRPr="00231657">
        <w:rPr>
          <w:rFonts w:ascii="Times New Roman" w:hAnsi="Times New Roman"/>
          <w:color w:val="auto"/>
          <w:sz w:val="24"/>
          <w:szCs w:val="24"/>
        </w:rPr>
        <w:t xml:space="preserve">seventeen counties in the state, nine geographically affected </w:t>
      </w:r>
      <w:r>
        <w:rPr>
          <w:rFonts w:ascii="Times New Roman" w:hAnsi="Times New Roman"/>
          <w:color w:val="auto"/>
          <w:sz w:val="24"/>
          <w:szCs w:val="24"/>
        </w:rPr>
        <w:t xml:space="preserve">counties </w:t>
      </w:r>
      <w:r w:rsidRPr="003F4BC8">
        <w:rPr>
          <w:rFonts w:ascii="Times New Roman" w:hAnsi="Times New Roman"/>
          <w:color w:val="auto"/>
          <w:sz w:val="24"/>
          <w:szCs w:val="24"/>
        </w:rPr>
        <w:t xml:space="preserve">affected by the enactment of NWPA </w:t>
      </w:r>
      <w:r>
        <w:rPr>
          <w:rFonts w:ascii="Times New Roman" w:hAnsi="Times New Roman"/>
          <w:color w:val="auto"/>
          <w:sz w:val="24"/>
          <w:szCs w:val="24"/>
        </w:rPr>
        <w:t>are considered as the treatment group in the research design and the</w:t>
      </w:r>
      <w:r w:rsidRPr="00231657">
        <w:rPr>
          <w:rFonts w:ascii="Times New Roman" w:hAnsi="Times New Roman"/>
          <w:color w:val="auto"/>
          <w:sz w:val="24"/>
          <w:szCs w:val="24"/>
        </w:rPr>
        <w:t xml:space="preserve"> remaining eight counties serve as controls</w:t>
      </w:r>
      <w:r>
        <w:rPr>
          <w:rFonts w:ascii="Times New Roman" w:hAnsi="Times New Roman"/>
          <w:color w:val="auto"/>
          <w:sz w:val="24"/>
          <w:szCs w:val="24"/>
        </w:rPr>
        <w:t xml:space="preserve"> in the analysis</w:t>
      </w:r>
      <w:r w:rsidRPr="00231657">
        <w:rPr>
          <w:rFonts w:ascii="Times New Roman" w:hAnsi="Times New Roman"/>
          <w:color w:val="auto"/>
          <w:sz w:val="24"/>
          <w:szCs w:val="24"/>
        </w:rPr>
        <w:t>.</w:t>
      </w:r>
    </w:p>
    <w:p w:rsidR="00B52DD2" w:rsidRPr="003F4BC8" w:rsidRDefault="00B52DD2" w:rsidP="00B52DD2">
      <w:pPr>
        <w:spacing w:line="480" w:lineRule="auto"/>
        <w:jc w:val="center"/>
        <w:rPr>
          <w:rFonts w:ascii="Times New Roman" w:hAnsi="Times New Roman" w:cs="Times New Roman"/>
        </w:rPr>
      </w:pPr>
      <w:r w:rsidRPr="003F4BC8">
        <w:rPr>
          <w:rFonts w:ascii="Times New Roman" w:hAnsi="Times New Roman" w:cs="Times New Roman"/>
          <w:b/>
        </w:rPr>
        <w:t xml:space="preserve">Table 4-1. </w:t>
      </w:r>
      <w:r w:rsidRPr="003F4BC8">
        <w:rPr>
          <w:rFonts w:ascii="Times New Roman" w:hAnsi="Times New Roman" w:cs="Times New Roman"/>
        </w:rPr>
        <w:t>Descriptive Statistics</w:t>
      </w:r>
    </w:p>
    <w:tbl>
      <w:tblPr>
        <w:tblStyle w:val="TableGrid"/>
        <w:tblpPr w:leftFromText="180" w:rightFromText="180" w:vertAnchor="text" w:horzAnchor="margin" w:tblpY="178"/>
        <w:tblW w:w="9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6"/>
        <w:gridCol w:w="1849"/>
        <w:gridCol w:w="763"/>
        <w:gridCol w:w="756"/>
        <w:gridCol w:w="756"/>
        <w:gridCol w:w="876"/>
        <w:gridCol w:w="612"/>
      </w:tblGrid>
      <w:tr w:rsidR="00B52DD2" w:rsidRPr="003F4BC8" w:rsidTr="00150C36">
        <w:trPr>
          <w:trHeight w:val="277"/>
        </w:trPr>
        <w:tc>
          <w:tcPr>
            <w:tcW w:w="3870" w:type="dxa"/>
            <w:tcBorders>
              <w:top w:val="single" w:sz="18" w:space="0" w:color="auto"/>
              <w:bottom w:val="single" w:sz="4" w:space="0" w:color="auto"/>
            </w:tcBorders>
          </w:tcPr>
          <w:p w:rsidR="00B52DD2" w:rsidRPr="003F4BC8" w:rsidRDefault="00B52DD2" w:rsidP="00150C36">
            <w:pPr>
              <w:spacing w:line="480" w:lineRule="auto"/>
              <w:jc w:val="center"/>
              <w:rPr>
                <w:rFonts w:ascii="Times New Roman" w:hAnsi="Times New Roman" w:cs="Times New Roman"/>
              </w:rPr>
            </w:pPr>
          </w:p>
        </w:tc>
        <w:tc>
          <w:tcPr>
            <w:tcW w:w="1890" w:type="dxa"/>
            <w:tcBorders>
              <w:top w:val="single" w:sz="18" w:space="0" w:color="auto"/>
              <w:bottom w:val="single" w:sz="4"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Source</w:t>
            </w:r>
          </w:p>
        </w:tc>
        <w:tc>
          <w:tcPr>
            <w:tcW w:w="720" w:type="dxa"/>
            <w:tcBorders>
              <w:top w:val="single" w:sz="18" w:space="0" w:color="auto"/>
              <w:bottom w:val="single" w:sz="4"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Mean</w:t>
            </w:r>
          </w:p>
        </w:tc>
        <w:tc>
          <w:tcPr>
            <w:tcW w:w="721" w:type="dxa"/>
            <w:tcBorders>
              <w:top w:val="single" w:sz="18" w:space="0" w:color="auto"/>
              <w:bottom w:val="single" w:sz="4"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SD</w:t>
            </w:r>
          </w:p>
        </w:tc>
        <w:tc>
          <w:tcPr>
            <w:tcW w:w="711" w:type="dxa"/>
            <w:tcBorders>
              <w:top w:val="single" w:sz="18" w:space="0" w:color="auto"/>
              <w:bottom w:val="single" w:sz="4"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Min</w:t>
            </w:r>
          </w:p>
        </w:tc>
        <w:tc>
          <w:tcPr>
            <w:tcW w:w="821" w:type="dxa"/>
            <w:tcBorders>
              <w:top w:val="single" w:sz="18" w:space="0" w:color="auto"/>
              <w:bottom w:val="single" w:sz="4"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Max</w:t>
            </w:r>
          </w:p>
        </w:tc>
        <w:tc>
          <w:tcPr>
            <w:tcW w:w="615" w:type="dxa"/>
            <w:tcBorders>
              <w:top w:val="single" w:sz="18" w:space="0" w:color="auto"/>
              <w:bottom w:val="single" w:sz="4"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N</w:t>
            </w:r>
          </w:p>
        </w:tc>
      </w:tr>
      <w:tr w:rsidR="00B52DD2" w:rsidRPr="003F4BC8" w:rsidTr="00150C36">
        <w:trPr>
          <w:trHeight w:val="277"/>
        </w:trPr>
        <w:tc>
          <w:tcPr>
            <w:tcW w:w="9348" w:type="dxa"/>
            <w:gridSpan w:val="7"/>
            <w:tcBorders>
              <w:top w:val="single" w:sz="4" w:space="0" w:color="auto"/>
            </w:tcBorders>
          </w:tcPr>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i/>
                <w:iCs/>
              </w:rPr>
              <w:t>Outcome Variables</w:t>
            </w:r>
          </w:p>
        </w:tc>
      </w:tr>
      <w:tr w:rsidR="00B52DD2" w:rsidRPr="003F4BC8" w:rsidTr="00150C36">
        <w:trPr>
          <w:trHeight w:val="321"/>
        </w:trPr>
        <w:tc>
          <w:tcPr>
            <w:tcW w:w="3870" w:type="dxa"/>
          </w:tcPr>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 xml:space="preserve">Voted Republican </w:t>
            </w:r>
          </w:p>
        </w:tc>
        <w:tc>
          <w:tcPr>
            <w:tcW w:w="189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NSS</w:t>
            </w:r>
          </w:p>
        </w:tc>
        <w:tc>
          <w:tcPr>
            <w:tcW w:w="72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58.45</w:t>
            </w:r>
          </w:p>
        </w:tc>
        <w:tc>
          <w:tcPr>
            <w:tcW w:w="721"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12.70</w:t>
            </w:r>
          </w:p>
        </w:tc>
        <w:tc>
          <w:tcPr>
            <w:tcW w:w="711"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28.82</w:t>
            </w:r>
          </w:p>
        </w:tc>
        <w:tc>
          <w:tcPr>
            <w:tcW w:w="821"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84.66</w:t>
            </w:r>
          </w:p>
        </w:tc>
        <w:tc>
          <w:tcPr>
            <w:tcW w:w="615" w:type="dxa"/>
          </w:tcPr>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238</w:t>
            </w:r>
          </w:p>
        </w:tc>
      </w:tr>
      <w:tr w:rsidR="00B52DD2" w:rsidRPr="003F4BC8" w:rsidTr="00150C36">
        <w:trPr>
          <w:trHeight w:val="327"/>
        </w:trPr>
        <w:tc>
          <w:tcPr>
            <w:tcW w:w="3870" w:type="dxa"/>
          </w:tcPr>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 xml:space="preserve">Voted Democrat </w:t>
            </w:r>
          </w:p>
        </w:tc>
        <w:tc>
          <w:tcPr>
            <w:tcW w:w="189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NSS</w:t>
            </w:r>
          </w:p>
        </w:tc>
        <w:tc>
          <w:tcPr>
            <w:tcW w:w="72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33.67</w:t>
            </w:r>
          </w:p>
        </w:tc>
        <w:tc>
          <w:tcPr>
            <w:tcW w:w="721"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11.58</w:t>
            </w:r>
          </w:p>
        </w:tc>
        <w:tc>
          <w:tcPr>
            <w:tcW w:w="711"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2.97</w:t>
            </w:r>
          </w:p>
        </w:tc>
        <w:tc>
          <w:tcPr>
            <w:tcW w:w="821"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71.176</w:t>
            </w:r>
          </w:p>
        </w:tc>
        <w:tc>
          <w:tcPr>
            <w:tcW w:w="615" w:type="dxa"/>
          </w:tcPr>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238</w:t>
            </w:r>
          </w:p>
        </w:tc>
      </w:tr>
      <w:tr w:rsidR="00B52DD2" w:rsidRPr="003F4BC8" w:rsidTr="00150C36">
        <w:trPr>
          <w:trHeight w:val="352"/>
        </w:trPr>
        <w:tc>
          <w:tcPr>
            <w:tcW w:w="3870" w:type="dxa"/>
          </w:tcPr>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 xml:space="preserve">Election Turnout </w:t>
            </w:r>
          </w:p>
        </w:tc>
        <w:tc>
          <w:tcPr>
            <w:tcW w:w="189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NSS</w:t>
            </w:r>
          </w:p>
        </w:tc>
        <w:tc>
          <w:tcPr>
            <w:tcW w:w="72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79.99</w:t>
            </w:r>
          </w:p>
        </w:tc>
        <w:tc>
          <w:tcPr>
            <w:tcW w:w="721"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7.10</w:t>
            </w:r>
          </w:p>
        </w:tc>
        <w:tc>
          <w:tcPr>
            <w:tcW w:w="711"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56.00</w:t>
            </w:r>
          </w:p>
        </w:tc>
        <w:tc>
          <w:tcPr>
            <w:tcW w:w="821"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96.53</w:t>
            </w:r>
          </w:p>
        </w:tc>
        <w:tc>
          <w:tcPr>
            <w:tcW w:w="615" w:type="dxa"/>
          </w:tcPr>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170</w:t>
            </w:r>
          </w:p>
        </w:tc>
      </w:tr>
      <w:tr w:rsidR="00B52DD2" w:rsidRPr="003F4BC8" w:rsidTr="00150C36">
        <w:trPr>
          <w:trHeight w:val="277"/>
        </w:trPr>
        <w:tc>
          <w:tcPr>
            <w:tcW w:w="9348" w:type="dxa"/>
            <w:gridSpan w:val="7"/>
          </w:tcPr>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i/>
                <w:iCs/>
              </w:rPr>
              <w:t>NWPA Policy Variables</w:t>
            </w:r>
          </w:p>
        </w:tc>
      </w:tr>
      <w:tr w:rsidR="00B52DD2" w:rsidRPr="003F4BC8" w:rsidTr="00150C36">
        <w:trPr>
          <w:trHeight w:val="277"/>
        </w:trPr>
        <w:tc>
          <w:tcPr>
            <w:tcW w:w="3870" w:type="dxa"/>
          </w:tcPr>
          <w:p w:rsidR="00B52DD2" w:rsidRPr="003F4BC8" w:rsidRDefault="00B52DD2" w:rsidP="00150C36">
            <w:pPr>
              <w:pStyle w:val="p1"/>
              <w:spacing w:line="480" w:lineRule="auto"/>
              <w:rPr>
                <w:rFonts w:ascii="Times New Roman" w:hAnsi="Times New Roman"/>
                <w:sz w:val="24"/>
                <w:szCs w:val="24"/>
              </w:rPr>
            </w:pPr>
            <w:r w:rsidRPr="003F4BC8">
              <w:rPr>
                <w:rFonts w:ascii="Times New Roman" w:hAnsi="Times New Roman"/>
                <w:sz w:val="24"/>
                <w:szCs w:val="24"/>
              </w:rPr>
              <w:t>Post1982*Treatment</w:t>
            </w:r>
          </w:p>
        </w:tc>
        <w:tc>
          <w:tcPr>
            <w:tcW w:w="189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Constructed</w:t>
            </w:r>
          </w:p>
        </w:tc>
        <w:tc>
          <w:tcPr>
            <w:tcW w:w="72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0.29</w:t>
            </w:r>
          </w:p>
        </w:tc>
        <w:tc>
          <w:tcPr>
            <w:tcW w:w="721"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0.45</w:t>
            </w:r>
          </w:p>
        </w:tc>
        <w:tc>
          <w:tcPr>
            <w:tcW w:w="711"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0</w:t>
            </w:r>
          </w:p>
        </w:tc>
        <w:tc>
          <w:tcPr>
            <w:tcW w:w="821"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1</w:t>
            </w:r>
          </w:p>
        </w:tc>
        <w:tc>
          <w:tcPr>
            <w:tcW w:w="615"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252</w:t>
            </w:r>
          </w:p>
        </w:tc>
      </w:tr>
      <w:tr w:rsidR="00B52DD2" w:rsidRPr="003F4BC8" w:rsidTr="00150C36">
        <w:trPr>
          <w:trHeight w:val="277"/>
        </w:trPr>
        <w:tc>
          <w:tcPr>
            <w:tcW w:w="3870" w:type="dxa"/>
            <w:tcBorders>
              <w:bottom w:val="single" w:sz="18" w:space="0" w:color="auto"/>
            </w:tcBorders>
          </w:tcPr>
          <w:p w:rsidR="00B52DD2" w:rsidRPr="003F4BC8" w:rsidRDefault="00B52DD2" w:rsidP="00150C36">
            <w:pPr>
              <w:pStyle w:val="p1"/>
              <w:spacing w:line="480" w:lineRule="auto"/>
              <w:rPr>
                <w:rFonts w:ascii="Times New Roman" w:hAnsi="Times New Roman"/>
                <w:sz w:val="24"/>
                <w:szCs w:val="24"/>
              </w:rPr>
            </w:pPr>
            <w:r w:rsidRPr="003F4BC8">
              <w:rPr>
                <w:rFonts w:ascii="Times New Roman" w:hAnsi="Times New Roman"/>
                <w:sz w:val="24"/>
                <w:szCs w:val="24"/>
              </w:rPr>
              <w:t>Post1987*Treatment</w:t>
            </w:r>
          </w:p>
        </w:tc>
        <w:tc>
          <w:tcPr>
            <w:tcW w:w="1890" w:type="dxa"/>
            <w:tcBorders>
              <w:bottom w:val="single" w:sz="18"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Constructed</w:t>
            </w:r>
          </w:p>
        </w:tc>
        <w:tc>
          <w:tcPr>
            <w:tcW w:w="720" w:type="dxa"/>
            <w:tcBorders>
              <w:bottom w:val="single" w:sz="18"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0.25</w:t>
            </w:r>
          </w:p>
        </w:tc>
        <w:tc>
          <w:tcPr>
            <w:tcW w:w="721" w:type="dxa"/>
            <w:tcBorders>
              <w:bottom w:val="single" w:sz="18"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0.50</w:t>
            </w:r>
          </w:p>
        </w:tc>
        <w:tc>
          <w:tcPr>
            <w:tcW w:w="711" w:type="dxa"/>
            <w:tcBorders>
              <w:bottom w:val="single" w:sz="18"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0</w:t>
            </w:r>
          </w:p>
        </w:tc>
        <w:tc>
          <w:tcPr>
            <w:tcW w:w="821" w:type="dxa"/>
            <w:tcBorders>
              <w:bottom w:val="single" w:sz="18"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1</w:t>
            </w:r>
          </w:p>
        </w:tc>
        <w:tc>
          <w:tcPr>
            <w:tcW w:w="615" w:type="dxa"/>
            <w:tcBorders>
              <w:bottom w:val="single" w:sz="18"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252</w:t>
            </w:r>
          </w:p>
        </w:tc>
      </w:tr>
    </w:tbl>
    <w:p w:rsidR="00B52DD2" w:rsidRPr="003F4BC8" w:rsidRDefault="00B52DD2" w:rsidP="00B52DD2">
      <w:pPr>
        <w:spacing w:line="480" w:lineRule="auto"/>
        <w:rPr>
          <w:rFonts w:ascii="Times New Roman" w:hAnsi="Times New Roman" w:cs="Times New Roman"/>
          <w:sz w:val="22"/>
          <w:szCs w:val="22"/>
        </w:rPr>
      </w:pPr>
      <w:r w:rsidRPr="003F4BC8">
        <w:rPr>
          <w:rFonts w:ascii="Times New Roman" w:hAnsi="Times New Roman" w:cs="Times New Roman"/>
          <w:sz w:val="22"/>
          <w:szCs w:val="22"/>
        </w:rPr>
        <w:t>Note: NSS= Nevada Secretary of State</w:t>
      </w:r>
    </w:p>
    <w:p w:rsidR="00B52DD2" w:rsidRPr="003F4BC8" w:rsidRDefault="00B52DD2" w:rsidP="00B52DD2">
      <w:pPr>
        <w:spacing w:line="480" w:lineRule="auto"/>
        <w:rPr>
          <w:rFonts w:ascii="Times New Roman" w:hAnsi="Times New Roman" w:cs="Times New Roman"/>
          <w:sz w:val="22"/>
          <w:szCs w:val="22"/>
        </w:rPr>
      </w:pPr>
    </w:p>
    <w:p w:rsidR="00B52DD2" w:rsidRPr="003F4BC8" w:rsidRDefault="00B52DD2" w:rsidP="00B52DD2">
      <w:pPr>
        <w:pStyle w:val="p1"/>
        <w:spacing w:line="480" w:lineRule="auto"/>
        <w:ind w:firstLine="432"/>
        <w:jc w:val="both"/>
        <w:rPr>
          <w:rFonts w:ascii="Times New Roman" w:hAnsi="Times New Roman"/>
          <w:color w:val="auto"/>
          <w:sz w:val="24"/>
          <w:szCs w:val="24"/>
        </w:rPr>
      </w:pPr>
      <w:r w:rsidRPr="003F4BC8">
        <w:rPr>
          <w:rFonts w:ascii="Times New Roman" w:hAnsi="Times New Roman"/>
          <w:color w:val="auto"/>
          <w:sz w:val="24"/>
          <w:szCs w:val="24"/>
        </w:rPr>
        <w:t>The key variables in the dataset are summarized in Table 4-1. Data underlying this analysis fall into two main categories. First, I collected voting behavior and election turnout data for the seventeen counties in the state of Nevada</w:t>
      </w:r>
      <w:r>
        <w:rPr>
          <w:rFonts w:ascii="Times New Roman" w:hAnsi="Times New Roman"/>
          <w:color w:val="auto"/>
          <w:sz w:val="24"/>
          <w:szCs w:val="24"/>
        </w:rPr>
        <w:t>.</w:t>
      </w:r>
      <w:r w:rsidRPr="005B5840">
        <w:rPr>
          <w:rFonts w:ascii="Times New Roman" w:hAnsi="Times New Roman"/>
          <w:color w:val="auto"/>
          <w:sz w:val="24"/>
          <w:szCs w:val="24"/>
        </w:rPr>
        <w:t xml:space="preserve"> </w:t>
      </w:r>
      <w:r>
        <w:rPr>
          <w:rFonts w:ascii="Times New Roman" w:hAnsi="Times New Roman"/>
          <w:color w:val="auto"/>
          <w:sz w:val="24"/>
          <w:szCs w:val="24"/>
        </w:rPr>
        <w:t xml:space="preserve">These data measure the main </w:t>
      </w:r>
      <w:r w:rsidRPr="003F4BC8">
        <w:rPr>
          <w:rFonts w:ascii="Times New Roman" w:hAnsi="Times New Roman"/>
          <w:color w:val="auto"/>
          <w:sz w:val="24"/>
          <w:szCs w:val="24"/>
        </w:rPr>
        <w:t xml:space="preserve">outcomes of interest for this analysis. Second, I include indicators that capture the enactment of NWPA. Specifically, I constructed a dichotomous measure that indicates the counties in Nevada that are affected by </w:t>
      </w:r>
      <w:r w:rsidRPr="003F4BC8">
        <w:rPr>
          <w:rFonts w:ascii="Times New Roman" w:hAnsi="Times New Roman"/>
          <w:color w:val="auto"/>
          <w:sz w:val="24"/>
          <w:szCs w:val="24"/>
        </w:rPr>
        <w:lastRenderedPageBreak/>
        <w:t>NWPA (the treatment group). I also created a dichotomous time measure to indicate the years post approval of NWPA and its reform.</w:t>
      </w:r>
    </w:p>
    <w:p w:rsidR="00B52DD2" w:rsidRPr="003F4BC8" w:rsidRDefault="00B52DD2" w:rsidP="00B52DD2">
      <w:pPr>
        <w:pStyle w:val="p1"/>
        <w:spacing w:line="480" w:lineRule="auto"/>
        <w:ind w:firstLine="432"/>
        <w:jc w:val="both"/>
        <w:rPr>
          <w:rFonts w:ascii="Times New Roman" w:hAnsi="Times New Roman"/>
          <w:color w:val="auto"/>
          <w:sz w:val="24"/>
          <w:szCs w:val="24"/>
        </w:rPr>
      </w:pPr>
      <w:bookmarkStart w:id="2" w:name="_Hlk5705322"/>
      <w:r w:rsidRPr="003F4BC8">
        <w:rPr>
          <w:rFonts w:ascii="Times New Roman" w:hAnsi="Times New Roman"/>
          <w:color w:val="auto"/>
          <w:sz w:val="24"/>
          <w:szCs w:val="24"/>
        </w:rPr>
        <w:t>To estimate the effect of NWPA on voting behavior and election turnout in the state of Nevada two empirical approaches are employed. First, I utilize a standard difference-in-differences (DID) approach. This modeling strategy will estimate the impact of the NWPA by comparing the difference between the pre-intervention (pre-NWPA enactment) to post-intervention (post-NWPA enactment) changes between treated (affected) and untreated (control) counties for an outcome of interest (Angrist and Pischke 2009). I implement the difference-in-differences approach in a regression framework, summarized in Equation 1 below.</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805"/>
      </w:tblGrid>
      <w:tr w:rsidR="00B52DD2" w:rsidRPr="003F4BC8" w:rsidTr="00150C36">
        <w:tc>
          <w:tcPr>
            <w:tcW w:w="7650" w:type="dxa"/>
          </w:tcPr>
          <w:p w:rsidR="00B52DD2" w:rsidRPr="003F4BC8" w:rsidRDefault="00B52DD2" w:rsidP="00150C36">
            <w:pPr>
              <w:pStyle w:val="NoSpacing"/>
              <w:spacing w:line="480" w:lineRule="auto"/>
              <w:rPr>
                <w:rFonts w:eastAsiaTheme="minorEastAsia"/>
              </w:rPr>
            </w:pPr>
            <m:oMathPara>
              <m:oMath>
                <m:r>
                  <m:rPr>
                    <m:nor/>
                  </m:rPr>
                  <m:t xml:space="preserve">  </m:t>
                </m:r>
                <m:sSub>
                  <m:sSubPr>
                    <m:ctrlPr>
                      <w:rPr>
                        <w:rFonts w:ascii="Cambria Math" w:hAnsi="Cambria Math"/>
                      </w:rPr>
                    </m:ctrlPr>
                  </m:sSubPr>
                  <m:e>
                    <m:r>
                      <m:rPr>
                        <m:nor/>
                      </m:rPr>
                      <w:rPr>
                        <w:iCs/>
                      </w:rPr>
                      <m:t>Y</m:t>
                    </m:r>
                  </m:e>
                  <m:sub>
                    <m:r>
                      <m:rPr>
                        <m:nor/>
                      </m:rPr>
                      <m:t>it</m:t>
                    </m:r>
                  </m:sub>
                </m:sSub>
                <m:r>
                  <m:rPr>
                    <m:nor/>
                  </m:rPr>
                  <m:t xml:space="preserve">= </m:t>
                </m:r>
                <m:r>
                  <w:rPr>
                    <w:rFonts w:ascii="Cambria Math" w:hAnsi="Cambria Math"/>
                  </w:rPr>
                  <m:t>α</m:t>
                </m:r>
                <m:r>
                  <m:rPr>
                    <m:nor/>
                  </m:rPr>
                  <m:t xml:space="preserve"> + β</m:t>
                </m:r>
                <m:sSub>
                  <m:sSubPr>
                    <m:ctrlPr>
                      <w:rPr>
                        <w:rFonts w:ascii="Cambria Math" w:hAnsi="Cambria Math"/>
                      </w:rPr>
                    </m:ctrlPr>
                  </m:sSubPr>
                  <m:e>
                    <m:r>
                      <m:rPr>
                        <m:nor/>
                      </m:rPr>
                      <m:t>(F</m:t>
                    </m:r>
                  </m:e>
                  <m:sub>
                    <m:r>
                      <m:rPr>
                        <m:nor/>
                      </m:rPr>
                      <m:t>i</m:t>
                    </m:r>
                  </m:sub>
                </m:sSub>
                <m:r>
                  <m:rPr>
                    <m:nor/>
                  </m:rPr>
                  <m:t>*</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t</m:t>
                    </m:r>
                  </m:sub>
                </m:sSub>
                <m:r>
                  <m:rPr>
                    <m:nor/>
                  </m:rPr>
                  <m:t>)</m:t>
                </m:r>
                <m:r>
                  <w:rPr>
                    <w:rFonts w:ascii="Cambria Math" w:hAnsi="Cambria Math"/>
                  </w:rPr>
                  <m:t>+</m:t>
                </m:r>
                <m:sSub>
                  <m:sSubPr>
                    <m:ctrlPr>
                      <w:rPr>
                        <w:rFonts w:ascii="Cambria Math" w:hAnsi="Cambria Math"/>
                        <w:i/>
                        <w:iCs/>
                      </w:rPr>
                    </m:ctrlPr>
                  </m:sSubPr>
                  <m:e>
                    <m:r>
                      <m:rPr>
                        <m:nor/>
                      </m:rPr>
                      <m:t>λ</m:t>
                    </m:r>
                    <m:ctrlPr>
                      <w:rPr>
                        <w:rFonts w:ascii="Cambria Math" w:hAnsi="Cambria Math"/>
                      </w:rPr>
                    </m:ctrlPr>
                  </m:e>
                  <m:sub>
                    <m:r>
                      <m:rPr>
                        <m:nor/>
                      </m:rPr>
                      <w:rPr>
                        <w:iCs/>
                      </w:rPr>
                      <m:t>t</m:t>
                    </m:r>
                  </m:sub>
                </m:sSub>
                <m:r>
                  <w:rPr>
                    <w:rFonts w:ascii="Cambria Math" w:hAnsi="Cambria Math"/>
                  </w:rPr>
                  <m:t>+</m:t>
                </m:r>
                <m:sSub>
                  <m:sSubPr>
                    <m:ctrlPr>
                      <w:rPr>
                        <w:rFonts w:ascii="Cambria Math" w:hAnsi="Cambria Math"/>
                        <w:i/>
                        <w:iCs/>
                      </w:rPr>
                    </m:ctrlPr>
                  </m:sSubPr>
                  <m:e>
                    <m:r>
                      <m:rPr>
                        <m:nor/>
                      </m:rPr>
                      <m:t>ϵ</m:t>
                    </m:r>
                    <m:ctrlPr>
                      <w:rPr>
                        <w:rFonts w:ascii="Cambria Math" w:hAnsi="Cambria Math"/>
                      </w:rPr>
                    </m:ctrlPr>
                  </m:e>
                  <m:sub>
                    <m:r>
                      <m:rPr>
                        <m:nor/>
                      </m:rPr>
                      <w:rPr>
                        <w:iCs/>
                      </w:rPr>
                      <m:t>i,t</m:t>
                    </m:r>
                  </m:sub>
                </m:sSub>
              </m:oMath>
            </m:oMathPara>
          </w:p>
        </w:tc>
        <w:tc>
          <w:tcPr>
            <w:tcW w:w="805" w:type="dxa"/>
          </w:tcPr>
          <w:p w:rsidR="00B52DD2" w:rsidRPr="003F4BC8" w:rsidRDefault="00B52DD2" w:rsidP="00150C36">
            <w:pPr>
              <w:pStyle w:val="NoSpacing"/>
              <w:spacing w:line="480" w:lineRule="auto"/>
              <w:rPr>
                <w:rFonts w:eastAsiaTheme="minorEastAsia"/>
              </w:rPr>
            </w:pPr>
            <w:r w:rsidRPr="003F4BC8">
              <w:rPr>
                <w:rFonts w:eastAsiaTheme="minorEastAsia"/>
              </w:rPr>
              <w:t>(1)</w:t>
            </w:r>
          </w:p>
        </w:tc>
      </w:tr>
    </w:tbl>
    <w:p w:rsidR="00B52DD2" w:rsidRPr="003F4BC8" w:rsidRDefault="00B52DD2" w:rsidP="00B52DD2">
      <w:pPr>
        <w:pStyle w:val="NoSpacing"/>
        <w:spacing w:line="480" w:lineRule="auto"/>
        <w:ind w:left="720"/>
      </w:pPr>
    </w:p>
    <w:p w:rsidR="00B52DD2" w:rsidRPr="003F4BC8" w:rsidRDefault="00B52DD2" w:rsidP="00B52DD2">
      <w:pPr>
        <w:pStyle w:val="p1"/>
        <w:spacing w:line="480" w:lineRule="auto"/>
        <w:ind w:firstLine="432"/>
        <w:jc w:val="both"/>
        <w:rPr>
          <w:rFonts w:ascii="Times New Roman" w:hAnsi="Times New Roman"/>
          <w:color w:val="auto"/>
          <w:sz w:val="24"/>
          <w:szCs w:val="24"/>
        </w:rPr>
      </w:pPr>
      <w:r w:rsidRPr="003F4BC8">
        <w:rPr>
          <w:rFonts w:ascii="Times New Roman" w:hAnsi="Times New Roman"/>
          <w:color w:val="auto"/>
          <w:sz w:val="24"/>
          <w:szCs w:val="24"/>
        </w:rPr>
        <w:t xml:space="preserve">In this model, the </w:t>
      </w:r>
      <w:r>
        <w:rPr>
          <w:rFonts w:ascii="Times New Roman" w:hAnsi="Times New Roman"/>
          <w:color w:val="auto"/>
          <w:sz w:val="24"/>
          <w:szCs w:val="24"/>
        </w:rPr>
        <w:t xml:space="preserve">vote </w:t>
      </w:r>
      <w:r w:rsidRPr="003F4BC8">
        <w:rPr>
          <w:rFonts w:ascii="Times New Roman" w:hAnsi="Times New Roman"/>
          <w:color w:val="auto"/>
          <w:sz w:val="24"/>
          <w:szCs w:val="24"/>
        </w:rPr>
        <w:t xml:space="preserve">outcome variables </w:t>
      </w:r>
      <m:oMath>
        <m:sSub>
          <m:sSubPr>
            <m:ctrlPr>
              <w:rPr>
                <w:rFonts w:ascii="Cambria Math" w:hAnsi="Cambria Math"/>
                <w:color w:val="auto"/>
                <w:sz w:val="24"/>
                <w:szCs w:val="24"/>
              </w:rPr>
            </m:ctrlPr>
          </m:sSubPr>
          <m:e>
            <m:r>
              <m:rPr>
                <m:nor/>
              </m:rPr>
              <w:rPr>
                <w:rFonts w:ascii="Times New Roman" w:hAnsi="Times New Roman"/>
                <w:color w:val="auto"/>
                <w:sz w:val="24"/>
                <w:szCs w:val="24"/>
              </w:rPr>
              <m:t>(Y</m:t>
            </m:r>
          </m:e>
          <m:sub>
            <m:r>
              <m:rPr>
                <m:nor/>
              </m:rPr>
              <w:rPr>
                <w:rFonts w:ascii="Times New Roman" w:hAnsi="Times New Roman"/>
                <w:color w:val="auto"/>
                <w:sz w:val="24"/>
                <w:szCs w:val="24"/>
              </w:rPr>
              <m:t>it</m:t>
            </m:r>
          </m:sub>
        </m:sSub>
      </m:oMath>
      <w:r w:rsidRPr="003F4BC8">
        <w:rPr>
          <w:rFonts w:ascii="Times New Roman" w:hAnsi="Times New Roman"/>
          <w:color w:val="auto"/>
          <w:sz w:val="24"/>
          <w:szCs w:val="24"/>
        </w:rPr>
        <w:t>) in county i in election year t are a function of a constant (</w:t>
      </w:r>
      <m:oMath>
        <m:r>
          <w:rPr>
            <w:rFonts w:ascii="Cambria Math" w:hAnsi="Cambria Math"/>
            <w:color w:val="auto"/>
            <w:sz w:val="24"/>
            <w:szCs w:val="24"/>
          </w:rPr>
          <m:t>α</m:t>
        </m:r>
      </m:oMath>
      <w:r w:rsidRPr="003F4BC8">
        <w:rPr>
          <w:rFonts w:ascii="Times New Roman" w:hAnsi="Times New Roman"/>
          <w:color w:val="auto"/>
          <w:sz w:val="24"/>
          <w:szCs w:val="24"/>
        </w:rPr>
        <w:t>), a year fixed effect (</w:t>
      </w:r>
      <m:oMath>
        <m:sSub>
          <m:sSubPr>
            <m:ctrlPr>
              <w:rPr>
                <w:rFonts w:ascii="Cambria Math" w:hAnsi="Cambria Math"/>
                <w:color w:val="auto"/>
                <w:sz w:val="24"/>
                <w:szCs w:val="24"/>
              </w:rPr>
            </m:ctrlPr>
          </m:sSubPr>
          <m:e>
            <m:r>
              <m:rPr>
                <m:nor/>
              </m:rPr>
              <w:rPr>
                <w:rFonts w:ascii="Times New Roman" w:hAnsi="Times New Roman"/>
                <w:color w:val="auto"/>
                <w:sz w:val="24"/>
                <w:szCs w:val="24"/>
              </w:rPr>
              <m:t>λ</m:t>
            </m:r>
          </m:e>
          <m:sub>
            <m:r>
              <m:rPr>
                <m:nor/>
              </m:rPr>
              <w:rPr>
                <w:rFonts w:ascii="Times New Roman" w:hAnsi="Times New Roman"/>
                <w:color w:val="auto"/>
                <w:sz w:val="24"/>
                <w:szCs w:val="24"/>
              </w:rPr>
              <m:t>t</m:t>
            </m:r>
          </m:sub>
        </m:sSub>
        <m:r>
          <m:rPr>
            <m:sty m:val="p"/>
          </m:rPr>
          <w:rPr>
            <w:rFonts w:ascii="Cambria Math" w:hAnsi="Cambria Math"/>
            <w:color w:val="auto"/>
            <w:sz w:val="24"/>
            <w:szCs w:val="24"/>
          </w:rPr>
          <m:t>)</m:t>
        </m:r>
      </m:oMath>
      <w:r w:rsidRPr="003F4BC8">
        <w:rPr>
          <w:rFonts w:ascii="Times New Roman" w:hAnsi="Times New Roman"/>
          <w:color w:val="auto"/>
          <w:sz w:val="24"/>
          <w:szCs w:val="24"/>
        </w:rPr>
        <w:t>, an error term (</w:t>
      </w:r>
      <m:oMath>
        <m:sSub>
          <m:sSubPr>
            <m:ctrlPr>
              <w:rPr>
                <w:rFonts w:ascii="Cambria Math" w:hAnsi="Cambria Math"/>
                <w:color w:val="auto"/>
                <w:sz w:val="24"/>
                <w:szCs w:val="24"/>
              </w:rPr>
            </m:ctrlPr>
          </m:sSubPr>
          <m:e>
            <m:r>
              <m:rPr>
                <m:nor/>
              </m:rPr>
              <w:rPr>
                <w:rFonts w:ascii="Times New Roman" w:hAnsi="Times New Roman"/>
                <w:color w:val="auto"/>
                <w:sz w:val="24"/>
                <w:szCs w:val="24"/>
              </w:rPr>
              <m:t>ϵ</m:t>
            </m:r>
          </m:e>
          <m:sub>
            <m:r>
              <m:rPr>
                <m:nor/>
              </m:rPr>
              <w:rPr>
                <w:rFonts w:ascii="Times New Roman" w:hAnsi="Times New Roman"/>
                <w:color w:val="auto"/>
                <w:sz w:val="24"/>
                <w:szCs w:val="24"/>
              </w:rPr>
              <m:t>i,t</m:t>
            </m:r>
          </m:sub>
        </m:sSub>
        <m:r>
          <m:rPr>
            <m:sty m:val="p"/>
          </m:rPr>
          <w:rPr>
            <w:rFonts w:ascii="Cambria Math" w:hAnsi="Cambria Math"/>
            <w:color w:val="auto"/>
            <w:sz w:val="24"/>
            <w:szCs w:val="24"/>
          </w:rPr>
          <m:t>)</m:t>
        </m:r>
      </m:oMath>
      <w:r w:rsidRPr="003F4BC8">
        <w:rPr>
          <w:rFonts w:ascii="Times New Roman" w:hAnsi="Times New Roman"/>
          <w:color w:val="auto"/>
          <w:sz w:val="24"/>
          <w:szCs w:val="24"/>
        </w:rPr>
        <w:t>, and an interaction between a dichotomous variable for treated counties (</w:t>
      </w:r>
      <m:oMath>
        <m:sSub>
          <m:sSubPr>
            <m:ctrlPr>
              <w:rPr>
                <w:rFonts w:ascii="Cambria Math" w:hAnsi="Cambria Math"/>
                <w:color w:val="auto"/>
                <w:sz w:val="24"/>
                <w:szCs w:val="24"/>
              </w:rPr>
            </m:ctrlPr>
          </m:sSubPr>
          <m:e>
            <m:r>
              <m:rPr>
                <m:nor/>
              </m:rPr>
              <w:rPr>
                <w:rFonts w:ascii="Times New Roman" w:hAnsi="Times New Roman"/>
                <w:color w:val="auto"/>
                <w:sz w:val="24"/>
                <w:szCs w:val="24"/>
              </w:rPr>
              <m:t>F</m:t>
            </m:r>
          </m:e>
          <m:sub>
            <m:r>
              <m:rPr>
                <m:nor/>
              </m:rPr>
              <w:rPr>
                <w:rFonts w:ascii="Times New Roman" w:hAnsi="Times New Roman"/>
                <w:color w:val="auto"/>
                <w:sz w:val="24"/>
                <w:szCs w:val="24"/>
              </w:rPr>
              <m:t>i</m:t>
            </m:r>
          </m:sub>
        </m:sSub>
        <m:r>
          <m:rPr>
            <m:sty m:val="p"/>
          </m:rPr>
          <w:rPr>
            <w:rFonts w:ascii="Cambria Math" w:hAnsi="Cambria Math"/>
            <w:color w:val="auto"/>
            <w:sz w:val="24"/>
            <w:szCs w:val="24"/>
          </w:rPr>
          <m:t>)</m:t>
        </m:r>
      </m:oMath>
      <w:r w:rsidRPr="003F4BC8">
        <w:rPr>
          <w:rFonts w:ascii="Times New Roman" w:hAnsi="Times New Roman"/>
          <w:color w:val="auto"/>
          <w:sz w:val="24"/>
          <w:szCs w:val="24"/>
        </w:rPr>
        <w:t xml:space="preserve"> and a dichotomous variable indicating post NWPA enactment (</w:t>
      </w:r>
      <m:oMath>
        <m:sSub>
          <m:sSubPr>
            <m:ctrlPr>
              <w:rPr>
                <w:rFonts w:ascii="Cambria Math" w:hAnsi="Cambria Math"/>
                <w:color w:val="auto"/>
                <w:sz w:val="24"/>
                <w:szCs w:val="24"/>
              </w:rPr>
            </m:ctrlPr>
          </m:sSubPr>
          <m:e>
            <m:r>
              <m:rPr>
                <m:sty m:val="p"/>
              </m:rPr>
              <w:rPr>
                <w:rFonts w:ascii="Cambria Math" w:hAnsi="Cambria Math"/>
                <w:color w:val="auto"/>
                <w:sz w:val="24"/>
                <w:szCs w:val="24"/>
              </w:rPr>
              <m:t>T</m:t>
            </m:r>
          </m:e>
          <m:sub>
            <m:r>
              <m:rPr>
                <m:sty m:val="p"/>
              </m:rPr>
              <w:rPr>
                <w:rFonts w:ascii="Cambria Math" w:hAnsi="Cambria Math"/>
                <w:color w:val="auto"/>
                <w:sz w:val="24"/>
                <w:szCs w:val="24"/>
              </w:rPr>
              <m:t>t</m:t>
            </m:r>
          </m:sub>
        </m:sSub>
        <m:r>
          <m:rPr>
            <m:sty m:val="p"/>
          </m:rPr>
          <w:rPr>
            <w:rFonts w:ascii="Cambria Math" w:hAnsi="Cambria Math"/>
            <w:color w:val="auto"/>
            <w:sz w:val="24"/>
            <w:szCs w:val="24"/>
          </w:rPr>
          <m:t>)</m:t>
        </m:r>
      </m:oMath>
      <w:r w:rsidRPr="003F4BC8">
        <w:rPr>
          <w:rFonts w:ascii="Times New Roman" w:hAnsi="Times New Roman"/>
          <w:color w:val="auto"/>
          <w:sz w:val="24"/>
          <w:szCs w:val="24"/>
        </w:rPr>
        <w:t>. The parameter of interest (</w:t>
      </w:r>
      <m:oMath>
        <m:r>
          <m:rPr>
            <m:nor/>
          </m:rPr>
          <w:rPr>
            <w:rFonts w:ascii="Times New Roman" w:hAnsi="Times New Roman"/>
            <w:color w:val="auto"/>
            <w:sz w:val="24"/>
            <w:szCs w:val="24"/>
          </w:rPr>
          <m:t>β</m:t>
        </m:r>
      </m:oMath>
      <w:r w:rsidRPr="003F4BC8">
        <w:rPr>
          <w:rFonts w:ascii="Times New Roman" w:hAnsi="Times New Roman"/>
          <w:color w:val="auto"/>
          <w:sz w:val="24"/>
          <w:szCs w:val="24"/>
        </w:rPr>
        <w:t>) reveals the association between NWPA adoption and voting behavior and election turnout in post-NWPA enactment years for treated counties.</w:t>
      </w:r>
    </w:p>
    <w:p w:rsidR="00B52DD2" w:rsidRPr="003F4BC8" w:rsidRDefault="00B52DD2" w:rsidP="00B52DD2">
      <w:pPr>
        <w:pStyle w:val="p1"/>
        <w:spacing w:line="480" w:lineRule="auto"/>
        <w:ind w:firstLine="432"/>
        <w:jc w:val="both"/>
        <w:rPr>
          <w:rFonts w:ascii="Times New Roman" w:hAnsi="Times New Roman"/>
          <w:color w:val="auto"/>
          <w:sz w:val="24"/>
          <w:szCs w:val="24"/>
        </w:rPr>
      </w:pPr>
      <w:r w:rsidRPr="003F4BC8">
        <w:rPr>
          <w:rFonts w:ascii="Times New Roman" w:hAnsi="Times New Roman"/>
          <w:color w:val="auto"/>
          <w:sz w:val="24"/>
          <w:szCs w:val="24"/>
        </w:rPr>
        <w:t xml:space="preserve">I also include year fixed effects to account for individual-invariant unobserved time factors. These fixed effects are included because </w:t>
      </w:r>
      <w:r w:rsidRPr="00DD040D">
        <w:rPr>
          <w:rFonts w:ascii="Times New Roman" w:hAnsi="Times New Roman"/>
          <w:color w:val="auto"/>
          <w:sz w:val="24"/>
          <w:szCs w:val="24"/>
        </w:rPr>
        <w:t>I expect that there are time</w:t>
      </w:r>
      <w:r>
        <w:rPr>
          <w:rFonts w:ascii="Times New Roman" w:hAnsi="Times New Roman"/>
          <w:color w:val="auto"/>
          <w:sz w:val="24"/>
          <w:szCs w:val="24"/>
        </w:rPr>
        <w:t>-</w:t>
      </w:r>
      <w:r w:rsidRPr="00DD040D">
        <w:rPr>
          <w:rFonts w:ascii="Times New Roman" w:hAnsi="Times New Roman"/>
          <w:color w:val="auto"/>
          <w:sz w:val="24"/>
          <w:szCs w:val="24"/>
        </w:rPr>
        <w:t>specific impacts that might</w:t>
      </w:r>
      <w:r w:rsidRPr="003F4BC8">
        <w:rPr>
          <w:rFonts w:ascii="Times New Roman" w:hAnsi="Times New Roman"/>
          <w:color w:val="auto"/>
          <w:sz w:val="24"/>
          <w:szCs w:val="24"/>
        </w:rPr>
        <w:t xml:space="preserve"> influence voting behavior and election turnout.</w:t>
      </w:r>
    </w:p>
    <w:p w:rsidR="00B52DD2" w:rsidRPr="003F4BC8" w:rsidRDefault="00B52DD2" w:rsidP="00B52DD2">
      <w:pPr>
        <w:pStyle w:val="NoSpacing"/>
        <w:spacing w:line="480" w:lineRule="auto"/>
        <w:jc w:val="both"/>
        <w:rPr>
          <w:rFonts w:eastAsiaTheme="minorEastAsia"/>
          <w:iCs/>
        </w:rPr>
      </w:pPr>
      <w:r w:rsidRPr="003F4BC8">
        <w:rPr>
          <w:rFonts w:eastAsiaTheme="minorEastAsia"/>
        </w:rPr>
        <w:tab/>
      </w:r>
      <w:bookmarkEnd w:id="2"/>
      <w:r>
        <w:rPr>
          <w:rFonts w:eastAsiaTheme="minorEastAsia"/>
        </w:rPr>
        <w:t>The second modeling strategy entails an event-study or dynamic DID approach, as it allows me to estimate if there is variation in the effect of the NWPA on electoral outcomes over the post-enactment time period (</w:t>
      </w:r>
      <w:r w:rsidRPr="00974869">
        <w:rPr>
          <w:color w:val="222222"/>
          <w:shd w:val="clear" w:color="auto" w:fill="FFFFFF"/>
        </w:rPr>
        <w:t>Abraham</w:t>
      </w:r>
      <w:r>
        <w:rPr>
          <w:color w:val="222222"/>
          <w:shd w:val="clear" w:color="auto" w:fill="FFFFFF"/>
        </w:rPr>
        <w:t xml:space="preserve"> and </w:t>
      </w:r>
      <w:r w:rsidRPr="00974869">
        <w:rPr>
          <w:color w:val="222222"/>
          <w:shd w:val="clear" w:color="auto" w:fill="FFFFFF"/>
        </w:rPr>
        <w:t>Sun</w:t>
      </w:r>
      <w:r>
        <w:rPr>
          <w:color w:val="222222"/>
          <w:shd w:val="clear" w:color="auto" w:fill="FFFFFF"/>
        </w:rPr>
        <w:t xml:space="preserve"> </w:t>
      </w:r>
      <w:r w:rsidRPr="00974869">
        <w:rPr>
          <w:color w:val="222222"/>
          <w:shd w:val="clear" w:color="auto" w:fill="FFFFFF"/>
        </w:rPr>
        <w:t>2018).</w:t>
      </w:r>
      <w:r>
        <w:rPr>
          <w:rFonts w:eastAsiaTheme="minorEastAsia"/>
        </w:rPr>
        <w:t xml:space="preserve"> </w:t>
      </w:r>
      <w:r w:rsidRPr="003F4BC8">
        <w:rPr>
          <w:rFonts w:eastAsiaTheme="minorEastAsia"/>
        </w:rPr>
        <w:t xml:space="preserve">This strategy also enables me to estimate whether there were any significant differences across treated and control counties leading up to the policy </w:t>
      </w:r>
      <w:r w:rsidRPr="003F4BC8">
        <w:rPr>
          <w:rFonts w:eastAsiaTheme="minorEastAsia"/>
        </w:rPr>
        <w:lastRenderedPageBreak/>
        <w:t>changes that could bias the estimates. I implement the event-study or dynamic DID in the regression framework summarized in Equation 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805"/>
      </w:tblGrid>
      <w:tr w:rsidR="00B52DD2" w:rsidRPr="003F4BC8" w:rsidTr="00150C36">
        <w:tc>
          <w:tcPr>
            <w:tcW w:w="7650" w:type="dxa"/>
          </w:tcPr>
          <w:p w:rsidR="00B52DD2" w:rsidRPr="003F4BC8" w:rsidRDefault="00B52DD2" w:rsidP="00150C36">
            <w:pPr>
              <w:pStyle w:val="NoSpacing"/>
              <w:spacing w:line="480" w:lineRule="auto"/>
              <w:rPr>
                <w:rFonts w:eastAsiaTheme="minorEastAsia"/>
                <w:lang w:val="fr-FR"/>
              </w:rPr>
            </w:pPr>
            <m:oMathPara>
              <m:oMathParaPr>
                <m:jc m:val="center"/>
              </m:oMathParaPr>
              <m:oMath>
                <m:r>
                  <m:rPr>
                    <m:nor/>
                  </m:rPr>
                  <m:t xml:space="preserve">  </m:t>
                </m:r>
                <m:sSub>
                  <m:sSubPr>
                    <m:ctrlPr>
                      <w:rPr>
                        <w:rFonts w:ascii="Cambria Math" w:hAnsi="Cambria Math"/>
                      </w:rPr>
                    </m:ctrlPr>
                  </m:sSubPr>
                  <m:e>
                    <m:r>
                      <m:rPr>
                        <m:nor/>
                      </m:rPr>
                      <w:rPr>
                        <w:iCs/>
                        <w:lang w:val="fr-FR"/>
                      </w:rPr>
                      <m:t>Y</m:t>
                    </m:r>
                  </m:e>
                  <m:sub>
                    <m:r>
                      <m:rPr>
                        <m:nor/>
                      </m:rPr>
                      <w:rPr>
                        <w:lang w:val="fr-FR"/>
                      </w:rPr>
                      <m:t>it</m:t>
                    </m:r>
                  </m:sub>
                </m:sSub>
                <m:r>
                  <m:rPr>
                    <m:nor/>
                  </m:rPr>
                  <w:rPr>
                    <w:lang w:val="fr-FR"/>
                  </w:rPr>
                  <m:t xml:space="preserve">= </m:t>
                </m:r>
                <m:r>
                  <m:rPr>
                    <m:nor/>
                  </m:rPr>
                  <m:t>α</m:t>
                </m:r>
                <m:r>
                  <m:rPr>
                    <m:nor/>
                  </m:rPr>
                  <w:rPr>
                    <w:lang w:val="fr-FR"/>
                  </w:rPr>
                  <m:t xml:space="preserve"> +</m:t>
                </m:r>
                <m:sSub>
                  <m:sSubPr>
                    <m:ctrlPr>
                      <w:rPr>
                        <w:rFonts w:ascii="Cambria Math" w:hAnsi="Cambria Math"/>
                        <w:i/>
                      </w:rPr>
                    </m:ctrlPr>
                  </m:sSubPr>
                  <m:e>
                    <m:r>
                      <m:rPr>
                        <m:nor/>
                      </m:rPr>
                      <m:t>β</m:t>
                    </m:r>
                  </m:e>
                  <m:sub>
                    <m:r>
                      <m:rPr>
                        <m:nor/>
                      </m:rPr>
                      <w:rPr>
                        <w:lang w:val="fr-FR"/>
                      </w:rPr>
                      <m:t>n</m:t>
                    </m:r>
                  </m:sub>
                </m:sSub>
                <m:sSub>
                  <m:sSubPr>
                    <m:ctrlPr>
                      <w:rPr>
                        <w:rFonts w:ascii="Cambria Math" w:hAnsi="Cambria Math"/>
                        <w:i/>
                      </w:rPr>
                    </m:ctrlPr>
                  </m:sSubPr>
                  <m:e>
                    <m:r>
                      <m:rPr>
                        <m:nor/>
                      </m:rPr>
                      <w:rPr>
                        <w:lang w:val="fr-FR"/>
                      </w:rPr>
                      <m:t>D</m:t>
                    </m:r>
                  </m:e>
                  <m:sub>
                    <m:r>
                      <m:rPr>
                        <m:nor/>
                      </m:rPr>
                      <w:rPr>
                        <w:lang w:val="fr-FR"/>
                      </w:rPr>
                      <m:t>n</m:t>
                    </m:r>
                  </m:sub>
                </m:sSub>
                <m:r>
                  <m:rPr>
                    <m:nor/>
                  </m:rPr>
                  <w:rPr>
                    <w:lang w:val="fr-FR"/>
                  </w:rPr>
                  <m:t xml:space="preserve">+ </m:t>
                </m:r>
                <m:sSub>
                  <m:sSubPr>
                    <m:ctrlPr>
                      <w:rPr>
                        <w:rFonts w:ascii="Cambria Math" w:hAnsi="Cambria Math"/>
                        <w:i/>
                        <w:iCs/>
                      </w:rPr>
                    </m:ctrlPr>
                  </m:sSubPr>
                  <m:e>
                    <m:r>
                      <m:rPr>
                        <m:nor/>
                      </m:rPr>
                      <m:t>λ</m:t>
                    </m:r>
                    <m:ctrlPr>
                      <w:rPr>
                        <w:rFonts w:ascii="Cambria Math" w:hAnsi="Cambria Math"/>
                      </w:rPr>
                    </m:ctrlPr>
                  </m:e>
                  <m:sub>
                    <m:r>
                      <m:rPr>
                        <m:nor/>
                      </m:rPr>
                      <w:rPr>
                        <w:iCs/>
                        <w:lang w:val="fr-FR"/>
                      </w:rPr>
                      <m:t>t</m:t>
                    </m:r>
                  </m:sub>
                </m:sSub>
                <m:r>
                  <m:rPr>
                    <m:nor/>
                  </m:rPr>
                  <w:rPr>
                    <w:lang w:val="fr-FR"/>
                  </w:rPr>
                  <m:t xml:space="preserve">+ </m:t>
                </m:r>
                <m:sSub>
                  <m:sSubPr>
                    <m:ctrlPr>
                      <w:rPr>
                        <w:rFonts w:ascii="Cambria Math" w:hAnsi="Cambria Math"/>
                        <w:i/>
                        <w:iCs/>
                      </w:rPr>
                    </m:ctrlPr>
                  </m:sSubPr>
                  <m:e>
                    <m:r>
                      <m:rPr>
                        <m:nor/>
                      </m:rPr>
                      <m:t>ϵ</m:t>
                    </m:r>
                    <m:ctrlPr>
                      <w:rPr>
                        <w:rFonts w:ascii="Cambria Math" w:hAnsi="Cambria Math"/>
                      </w:rPr>
                    </m:ctrlPr>
                  </m:e>
                  <m:sub>
                    <m:r>
                      <m:rPr>
                        <m:nor/>
                      </m:rPr>
                      <w:rPr>
                        <w:iCs/>
                        <w:lang w:val="fr-FR"/>
                      </w:rPr>
                      <m:t>i,t</m:t>
                    </m:r>
                  </m:sub>
                </m:sSub>
              </m:oMath>
            </m:oMathPara>
          </w:p>
        </w:tc>
        <w:tc>
          <w:tcPr>
            <w:tcW w:w="805" w:type="dxa"/>
          </w:tcPr>
          <w:p w:rsidR="00B52DD2" w:rsidRPr="003F4BC8" w:rsidRDefault="00B52DD2" w:rsidP="00150C36">
            <w:pPr>
              <w:pStyle w:val="NoSpacing"/>
              <w:spacing w:line="480" w:lineRule="auto"/>
              <w:rPr>
                <w:rFonts w:eastAsiaTheme="minorEastAsia"/>
              </w:rPr>
            </w:pPr>
            <w:r w:rsidRPr="003F4BC8">
              <w:rPr>
                <w:rFonts w:eastAsiaTheme="minorEastAsia"/>
              </w:rPr>
              <w:t>(2)</w:t>
            </w:r>
          </w:p>
          <w:p w:rsidR="00B52DD2" w:rsidRPr="003F4BC8" w:rsidRDefault="00B52DD2" w:rsidP="00150C36">
            <w:pPr>
              <w:pStyle w:val="NoSpacing"/>
              <w:spacing w:line="480" w:lineRule="auto"/>
              <w:rPr>
                <w:rFonts w:eastAsiaTheme="minorEastAsia"/>
              </w:rPr>
            </w:pPr>
          </w:p>
        </w:tc>
      </w:tr>
    </w:tbl>
    <w:p w:rsidR="00B52DD2" w:rsidRPr="003F4BC8" w:rsidRDefault="00B52DD2" w:rsidP="00B52DD2">
      <w:pPr>
        <w:pStyle w:val="NoSpacing"/>
        <w:spacing w:line="480" w:lineRule="auto"/>
        <w:ind w:firstLine="432"/>
        <w:jc w:val="both"/>
        <w:rPr>
          <w:rFonts w:eastAsiaTheme="minorEastAsia"/>
        </w:rPr>
      </w:pPr>
      <w:r w:rsidRPr="003F4BC8">
        <w:rPr>
          <w:rFonts w:eastAsiaTheme="minorEastAsia"/>
        </w:rPr>
        <w:t xml:space="preserve">In this model, the outcome variables </w:t>
      </w:r>
      <m:oMath>
        <m:sSub>
          <m:sSubPr>
            <m:ctrlPr>
              <w:rPr>
                <w:rFonts w:ascii="Cambria Math" w:hAnsi="Cambria Math"/>
              </w:rPr>
            </m:ctrlPr>
          </m:sSubPr>
          <m:e>
            <m:r>
              <m:rPr>
                <m:nor/>
              </m:rPr>
              <m:t>(Y</m:t>
            </m:r>
          </m:e>
          <m:sub>
            <m:r>
              <m:rPr>
                <m:nor/>
              </m:rPr>
              <m:t>it</m:t>
            </m:r>
          </m:sub>
        </m:sSub>
      </m:oMath>
      <w:r w:rsidRPr="003F4BC8">
        <w:t xml:space="preserve">) </w:t>
      </w:r>
      <w:r w:rsidRPr="003F4BC8">
        <w:rPr>
          <w:rFonts w:eastAsiaTheme="minorEastAsia"/>
        </w:rPr>
        <w:t>are estimated as a function of an error term (</w:t>
      </w:r>
      <m:oMath>
        <m:sSub>
          <m:sSubPr>
            <m:ctrlPr>
              <w:rPr>
                <w:rFonts w:ascii="Cambria Math" w:eastAsiaTheme="minorEastAsia" w:hAnsi="Cambria Math"/>
              </w:rPr>
            </m:ctrlPr>
          </m:sSubPr>
          <m:e>
            <m:r>
              <m:rPr>
                <m:nor/>
              </m:rPr>
              <w:rPr>
                <w:rFonts w:eastAsiaTheme="minorEastAsia"/>
              </w:rPr>
              <m:t>ϵ</m:t>
            </m:r>
          </m:e>
          <m:sub>
            <m:r>
              <m:rPr>
                <m:nor/>
              </m:rPr>
              <w:rPr>
                <w:rFonts w:eastAsiaTheme="minorEastAsia"/>
              </w:rPr>
              <m:t>i,t</m:t>
            </m:r>
          </m:sub>
        </m:sSub>
        <m:r>
          <m:rPr>
            <m:sty m:val="p"/>
          </m:rPr>
          <w:rPr>
            <w:rFonts w:ascii="Cambria Math" w:eastAsiaTheme="minorEastAsia" w:hAnsi="Cambria Math"/>
          </w:rPr>
          <m:t>)</m:t>
        </m:r>
      </m:oMath>
      <w:r w:rsidRPr="003F4BC8">
        <w:rPr>
          <w:rFonts w:eastAsiaTheme="minorEastAsia"/>
        </w:rPr>
        <w:t>, a constant (</w:t>
      </w:r>
      <m:oMath>
        <m:r>
          <m:rPr>
            <m:nor/>
          </m:rPr>
          <w:rPr>
            <w:rFonts w:eastAsiaTheme="minorEastAsia"/>
          </w:rPr>
          <m:t>α</m:t>
        </m:r>
      </m:oMath>
      <w:r w:rsidRPr="003F4BC8">
        <w:rPr>
          <w:rFonts w:eastAsiaTheme="minorEastAsia"/>
        </w:rPr>
        <w:t>), year fixed effects (</w:t>
      </w:r>
      <m:oMath>
        <m:sSub>
          <m:sSubPr>
            <m:ctrlPr>
              <w:rPr>
                <w:rFonts w:ascii="Cambria Math" w:eastAsiaTheme="minorEastAsia" w:hAnsi="Cambria Math"/>
              </w:rPr>
            </m:ctrlPr>
          </m:sSubPr>
          <m:e>
            <m:r>
              <m:rPr>
                <m:nor/>
              </m:rPr>
              <w:rPr>
                <w:rFonts w:eastAsiaTheme="minorEastAsia"/>
              </w:rPr>
              <m:t>λ</m:t>
            </m:r>
          </m:e>
          <m:sub>
            <m:r>
              <m:rPr>
                <m:nor/>
              </m:rPr>
              <w:rPr>
                <w:rFonts w:eastAsiaTheme="minorEastAsia"/>
              </w:rPr>
              <m:t>t</m:t>
            </m:r>
          </m:sub>
        </m:sSub>
        <m:r>
          <m:rPr>
            <m:sty m:val="p"/>
          </m:rPr>
          <w:rPr>
            <w:rFonts w:ascii="Cambria Math" w:eastAsiaTheme="minorEastAsia" w:hAnsi="Cambria Math"/>
          </w:rPr>
          <m:t>)</m:t>
        </m:r>
      </m:oMath>
      <w:r w:rsidRPr="003F4BC8">
        <w:rPr>
          <w:rFonts w:eastAsiaTheme="minorEastAsia"/>
        </w:rPr>
        <w:t>, and an interaction between whether the county has been affected by the policy change and a set of dichotomous variables capturing the year relative to NWPA enactment for all counties in Nevada. The flexibility that this model introduces into the difference-in-difference set up will allow for the associations between NWPA enactment and voting behavior and turnout to vary based on the year relative to NWPA adoption. In order to construct this model, I create dichotomous variables to represent plus or minus four election years relative to NWPA enaction. Further, I exclude the dichotomous variable representing one election year prior to NWPA adoption as the reference group; thus, all comparisons are made to the year prior to adoption.</w:t>
      </w:r>
    </w:p>
    <w:p w:rsidR="00B52DD2" w:rsidRPr="003F4BC8" w:rsidRDefault="00B52DD2" w:rsidP="00B52DD2">
      <w:pPr>
        <w:spacing w:line="480" w:lineRule="auto"/>
        <w:ind w:firstLine="720"/>
        <w:jc w:val="center"/>
        <w:rPr>
          <w:rFonts w:ascii="Times New Roman" w:hAnsi="Times New Roman" w:cs="Times New Roman"/>
          <w:b/>
          <w:bCs/>
        </w:rPr>
      </w:pPr>
      <w:r w:rsidRPr="003F4BC8">
        <w:rPr>
          <w:rFonts w:ascii="Times New Roman" w:hAnsi="Times New Roman" w:cs="Times New Roman"/>
          <w:b/>
          <w:bCs/>
        </w:rPr>
        <w:t>Results</w:t>
      </w:r>
    </w:p>
    <w:p w:rsidR="00B52DD2" w:rsidRDefault="00B52DD2" w:rsidP="00B52DD2">
      <w:pPr>
        <w:pStyle w:val="NoSpacing"/>
        <w:spacing w:line="480" w:lineRule="auto"/>
        <w:ind w:firstLine="432"/>
        <w:jc w:val="both"/>
      </w:pPr>
      <w:r w:rsidRPr="003F4BC8">
        <w:t xml:space="preserve">The </w:t>
      </w:r>
      <w:r w:rsidRPr="003F4BC8">
        <w:rPr>
          <w:rFonts w:eastAsiaTheme="minorEastAsia"/>
        </w:rPr>
        <w:t>results</w:t>
      </w:r>
      <w:r w:rsidRPr="003F4BC8">
        <w:t xml:space="preserve"> for the difference-in-differences analysis for the effect of NWPA of 1982 on voting behavior and election turnout in Nevada are presented in Table 4-2</w:t>
      </w:r>
      <w:r w:rsidRPr="003F4BC8">
        <w:rPr>
          <w:rStyle w:val="FootnoteReference"/>
        </w:rPr>
        <w:footnoteReference w:id="18"/>
      </w:r>
      <w:r w:rsidRPr="003F4BC8">
        <w:t xml:space="preserve">. This table shows that the average treatment effect of NWPA is significantly impacting the outcomes of interest for hypothesis 1. </w:t>
      </w:r>
      <w:r w:rsidRPr="00E633D8">
        <w:t xml:space="preserve">First, the estimates reveal a positive impact of </w:t>
      </w:r>
      <w:r>
        <w:t xml:space="preserve">NWPA </w:t>
      </w:r>
      <w:r w:rsidRPr="00E633D8">
        <w:t xml:space="preserve">on </w:t>
      </w:r>
      <w:r>
        <w:t xml:space="preserve">the percentage of voters in the treatment counties voting for </w:t>
      </w:r>
      <w:r w:rsidRPr="00316614">
        <w:t>Republican</w:t>
      </w:r>
      <w:r w:rsidRPr="00E633D8">
        <w:t xml:space="preserve"> </w:t>
      </w:r>
      <w:r>
        <w:t>candidates. Consistent with that finding</w:t>
      </w:r>
      <w:r w:rsidRPr="00E633D8">
        <w:t xml:space="preserve">, the estimates </w:t>
      </w:r>
      <w:r>
        <w:lastRenderedPageBreak/>
        <w:t>show</w:t>
      </w:r>
      <w:r w:rsidRPr="00E633D8">
        <w:t xml:space="preserve"> a negative effect of </w:t>
      </w:r>
      <w:r>
        <w:t xml:space="preserve">NWPA of </w:t>
      </w:r>
      <w:r w:rsidRPr="003F4BC8">
        <w:t>1982 on the likelihood of citizens from treatment counties voting for the Democratic candidates. In terms of magnitude, these estimates suggest that NWPA of 1982 is associated with a 7 percentage point decrease in the likelihood of voting for the Democratic candidates and increase in voting for Republican candidates at the same rate. Finally, the NWPA did not have a significant effect on election turnout.</w:t>
      </w:r>
    </w:p>
    <w:p w:rsidR="00B52DD2" w:rsidRDefault="00B52DD2" w:rsidP="00B52DD2">
      <w:pPr>
        <w:pStyle w:val="NoSpacing"/>
        <w:spacing w:line="480" w:lineRule="auto"/>
        <w:ind w:firstLine="432"/>
        <w:jc w:val="both"/>
        <w:rPr>
          <w:b/>
          <w:bCs/>
        </w:rPr>
      </w:pPr>
    </w:p>
    <w:p w:rsidR="00B52DD2" w:rsidRPr="003F4BC8" w:rsidRDefault="00B52DD2" w:rsidP="00B52DD2">
      <w:pPr>
        <w:pStyle w:val="NoSpacing"/>
        <w:spacing w:line="480" w:lineRule="auto"/>
        <w:ind w:firstLine="432"/>
        <w:jc w:val="both"/>
      </w:pPr>
      <w:r w:rsidRPr="003F4BC8">
        <w:rPr>
          <w:b/>
          <w:bCs/>
        </w:rPr>
        <w:t>Table 4-2.</w:t>
      </w:r>
      <w:r w:rsidRPr="003F4BC8">
        <w:t xml:space="preserve"> The Effect of NWPA of 1982 on Voting Behavior and Election Turnout in Geographically Affected Counties, Non-Affected Ones as Controls</w:t>
      </w:r>
    </w:p>
    <w:tbl>
      <w:tblPr>
        <w:tblStyle w:val="TableGrid"/>
        <w:tblpPr w:leftFromText="180" w:rightFromText="180" w:vertAnchor="text" w:horzAnchor="margin" w:tblpXSpec="center" w:tblpY="143"/>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056"/>
        <w:gridCol w:w="2100"/>
        <w:gridCol w:w="2100"/>
        <w:gridCol w:w="2094"/>
      </w:tblGrid>
      <w:tr w:rsidR="00B52DD2" w:rsidRPr="003F4BC8" w:rsidTr="00150C36">
        <w:trPr>
          <w:trHeight w:val="272"/>
        </w:trPr>
        <w:tc>
          <w:tcPr>
            <w:tcW w:w="3056" w:type="dxa"/>
            <w:tcBorders>
              <w:top w:val="single" w:sz="12" w:space="0" w:color="auto"/>
              <w:bottom w:val="single" w:sz="4" w:space="0" w:color="auto"/>
            </w:tcBorders>
          </w:tcPr>
          <w:p w:rsidR="00B52DD2" w:rsidRPr="003F4BC8" w:rsidRDefault="00B52DD2" w:rsidP="00150C36">
            <w:pPr>
              <w:spacing w:line="480" w:lineRule="auto"/>
              <w:rPr>
                <w:rFonts w:ascii="Times New Roman" w:hAnsi="Times New Roman" w:cs="Times New Roman"/>
              </w:rPr>
            </w:pPr>
          </w:p>
        </w:tc>
        <w:tc>
          <w:tcPr>
            <w:tcW w:w="2100" w:type="dxa"/>
            <w:tcBorders>
              <w:top w:val="single" w:sz="12" w:space="0" w:color="auto"/>
              <w:bottom w:val="single" w:sz="4"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Voted Democrat</w:t>
            </w:r>
          </w:p>
        </w:tc>
        <w:tc>
          <w:tcPr>
            <w:tcW w:w="2100" w:type="dxa"/>
            <w:tcBorders>
              <w:top w:val="single" w:sz="12" w:space="0" w:color="auto"/>
              <w:bottom w:val="single" w:sz="4"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Voted Republican</w:t>
            </w:r>
          </w:p>
        </w:tc>
        <w:tc>
          <w:tcPr>
            <w:tcW w:w="2094" w:type="dxa"/>
            <w:tcBorders>
              <w:top w:val="single" w:sz="12" w:space="0" w:color="auto"/>
              <w:bottom w:val="single" w:sz="4"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Election Turnout</w:t>
            </w:r>
          </w:p>
        </w:tc>
      </w:tr>
      <w:tr w:rsidR="00B52DD2" w:rsidRPr="003F4BC8" w:rsidTr="00150C36">
        <w:trPr>
          <w:trHeight w:val="272"/>
        </w:trPr>
        <w:tc>
          <w:tcPr>
            <w:tcW w:w="3056" w:type="dxa"/>
            <w:tcBorders>
              <w:top w:val="single" w:sz="4" w:space="0" w:color="auto"/>
            </w:tcBorders>
          </w:tcPr>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Treatment Counties</w:t>
            </w:r>
          </w:p>
        </w:tc>
        <w:tc>
          <w:tcPr>
            <w:tcW w:w="2100" w:type="dxa"/>
            <w:tcBorders>
              <w:top w:val="single" w:sz="4"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3.891</w:t>
            </w:r>
          </w:p>
        </w:tc>
        <w:tc>
          <w:tcPr>
            <w:tcW w:w="2100" w:type="dxa"/>
            <w:tcBorders>
              <w:top w:val="single" w:sz="4"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-4.580</w:t>
            </w:r>
          </w:p>
        </w:tc>
        <w:tc>
          <w:tcPr>
            <w:tcW w:w="2094" w:type="dxa"/>
            <w:tcBorders>
              <w:top w:val="single" w:sz="4"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-0.903</w:t>
            </w:r>
          </w:p>
        </w:tc>
      </w:tr>
      <w:tr w:rsidR="00B52DD2" w:rsidRPr="003F4BC8" w:rsidTr="00150C36">
        <w:trPr>
          <w:trHeight w:val="289"/>
        </w:trPr>
        <w:tc>
          <w:tcPr>
            <w:tcW w:w="3056" w:type="dxa"/>
          </w:tcPr>
          <w:p w:rsidR="00B52DD2" w:rsidRPr="003F4BC8" w:rsidRDefault="00B52DD2" w:rsidP="00150C36">
            <w:pPr>
              <w:spacing w:line="480" w:lineRule="auto"/>
              <w:rPr>
                <w:rFonts w:ascii="Times New Roman" w:hAnsi="Times New Roman" w:cs="Times New Roman"/>
              </w:rPr>
            </w:pPr>
          </w:p>
        </w:tc>
        <w:tc>
          <w:tcPr>
            <w:tcW w:w="210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(2.362)</w:t>
            </w:r>
          </w:p>
        </w:tc>
        <w:tc>
          <w:tcPr>
            <w:tcW w:w="210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(2.704)</w:t>
            </w:r>
          </w:p>
        </w:tc>
        <w:tc>
          <w:tcPr>
            <w:tcW w:w="2094"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(3.394)</w:t>
            </w:r>
          </w:p>
        </w:tc>
      </w:tr>
      <w:tr w:rsidR="00B52DD2" w:rsidRPr="003F4BC8" w:rsidTr="00150C36">
        <w:trPr>
          <w:trHeight w:val="272"/>
        </w:trPr>
        <w:tc>
          <w:tcPr>
            <w:tcW w:w="3056" w:type="dxa"/>
          </w:tcPr>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Post-NWPA</w:t>
            </w:r>
          </w:p>
        </w:tc>
        <w:tc>
          <w:tcPr>
            <w:tcW w:w="210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-4.067</w:t>
            </w:r>
          </w:p>
        </w:tc>
        <w:tc>
          <w:tcPr>
            <w:tcW w:w="210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1.099</w:t>
            </w:r>
          </w:p>
        </w:tc>
        <w:tc>
          <w:tcPr>
            <w:tcW w:w="2094"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-1.962</w:t>
            </w:r>
          </w:p>
        </w:tc>
      </w:tr>
      <w:tr w:rsidR="00B52DD2" w:rsidRPr="003F4BC8" w:rsidTr="00150C36">
        <w:trPr>
          <w:trHeight w:val="272"/>
        </w:trPr>
        <w:tc>
          <w:tcPr>
            <w:tcW w:w="3056" w:type="dxa"/>
          </w:tcPr>
          <w:p w:rsidR="00B52DD2" w:rsidRPr="003F4BC8" w:rsidRDefault="00B52DD2" w:rsidP="00150C36">
            <w:pPr>
              <w:spacing w:line="480" w:lineRule="auto"/>
              <w:rPr>
                <w:rFonts w:ascii="Times New Roman" w:hAnsi="Times New Roman" w:cs="Times New Roman"/>
              </w:rPr>
            </w:pPr>
          </w:p>
        </w:tc>
        <w:tc>
          <w:tcPr>
            <w:tcW w:w="210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(2.143)</w:t>
            </w:r>
          </w:p>
        </w:tc>
        <w:tc>
          <w:tcPr>
            <w:tcW w:w="210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(2.454)</w:t>
            </w:r>
          </w:p>
        </w:tc>
        <w:tc>
          <w:tcPr>
            <w:tcW w:w="2094"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(2.603)</w:t>
            </w:r>
          </w:p>
        </w:tc>
      </w:tr>
      <w:tr w:rsidR="00B52DD2" w:rsidRPr="003F4BC8" w:rsidTr="00150C36">
        <w:trPr>
          <w:trHeight w:val="289"/>
        </w:trPr>
        <w:tc>
          <w:tcPr>
            <w:tcW w:w="3056" w:type="dxa"/>
          </w:tcPr>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Post-NWPA x  Treatment</w:t>
            </w:r>
          </w:p>
        </w:tc>
        <w:tc>
          <w:tcPr>
            <w:tcW w:w="210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-7.185**</w:t>
            </w:r>
          </w:p>
        </w:tc>
        <w:tc>
          <w:tcPr>
            <w:tcW w:w="210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7.101**</w:t>
            </w:r>
          </w:p>
        </w:tc>
        <w:tc>
          <w:tcPr>
            <w:tcW w:w="2094"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-1.869</w:t>
            </w:r>
          </w:p>
        </w:tc>
      </w:tr>
      <w:tr w:rsidR="00B52DD2" w:rsidRPr="003F4BC8" w:rsidTr="00150C36">
        <w:trPr>
          <w:trHeight w:val="272"/>
        </w:trPr>
        <w:tc>
          <w:tcPr>
            <w:tcW w:w="3056" w:type="dxa"/>
          </w:tcPr>
          <w:p w:rsidR="00B52DD2" w:rsidRPr="003F4BC8" w:rsidRDefault="00B52DD2" w:rsidP="00150C36">
            <w:pPr>
              <w:spacing w:line="480" w:lineRule="auto"/>
              <w:rPr>
                <w:rFonts w:ascii="Times New Roman" w:hAnsi="Times New Roman" w:cs="Times New Roman"/>
              </w:rPr>
            </w:pPr>
          </w:p>
        </w:tc>
        <w:tc>
          <w:tcPr>
            <w:tcW w:w="210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(2.945)</w:t>
            </w:r>
          </w:p>
        </w:tc>
        <w:tc>
          <w:tcPr>
            <w:tcW w:w="210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(3.372)</w:t>
            </w:r>
          </w:p>
        </w:tc>
        <w:tc>
          <w:tcPr>
            <w:tcW w:w="2094"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(3.577)</w:t>
            </w:r>
          </w:p>
        </w:tc>
      </w:tr>
      <w:tr w:rsidR="00B52DD2" w:rsidRPr="003F4BC8" w:rsidTr="00150C36">
        <w:trPr>
          <w:trHeight w:val="289"/>
        </w:trPr>
        <w:tc>
          <w:tcPr>
            <w:tcW w:w="3056" w:type="dxa"/>
          </w:tcPr>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R-squared</w:t>
            </w:r>
          </w:p>
        </w:tc>
        <w:tc>
          <w:tcPr>
            <w:tcW w:w="210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0.130</w:t>
            </w:r>
          </w:p>
        </w:tc>
        <w:tc>
          <w:tcPr>
            <w:tcW w:w="210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0.052</w:t>
            </w:r>
          </w:p>
        </w:tc>
        <w:tc>
          <w:tcPr>
            <w:tcW w:w="2094"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0.050</w:t>
            </w:r>
          </w:p>
        </w:tc>
      </w:tr>
      <w:tr w:rsidR="00B52DD2" w:rsidRPr="003F4BC8" w:rsidTr="00150C36">
        <w:trPr>
          <w:trHeight w:val="272"/>
        </w:trPr>
        <w:tc>
          <w:tcPr>
            <w:tcW w:w="3056" w:type="dxa"/>
          </w:tcPr>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N</w:t>
            </w:r>
          </w:p>
        </w:tc>
        <w:tc>
          <w:tcPr>
            <w:tcW w:w="210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238</w:t>
            </w:r>
          </w:p>
        </w:tc>
        <w:tc>
          <w:tcPr>
            <w:tcW w:w="210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238</w:t>
            </w:r>
          </w:p>
        </w:tc>
        <w:tc>
          <w:tcPr>
            <w:tcW w:w="2094"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170</w:t>
            </w:r>
          </w:p>
        </w:tc>
      </w:tr>
    </w:tbl>
    <w:p w:rsidR="00B52DD2" w:rsidRPr="003F4BC8" w:rsidRDefault="00B52DD2" w:rsidP="00B52DD2">
      <w:pPr>
        <w:pStyle w:val="NormalWeb"/>
        <w:rPr>
          <w:sz w:val="22"/>
          <w:szCs w:val="22"/>
        </w:rPr>
      </w:pPr>
      <w:r w:rsidRPr="003F4BC8">
        <w:rPr>
          <w:sz w:val="22"/>
          <w:szCs w:val="22"/>
        </w:rPr>
        <w:t xml:space="preserve">Note: Models include covariates and time fixed effects. </w:t>
      </w:r>
      <w:r w:rsidRPr="003F4BC8">
        <w:rPr>
          <w:color w:val="000000"/>
          <w:sz w:val="22"/>
          <w:szCs w:val="22"/>
        </w:rPr>
        <w:t xml:space="preserve">Standard errors in parentheses. </w:t>
      </w:r>
      <w:r w:rsidRPr="003F4BC8">
        <w:rPr>
          <w:sz w:val="22"/>
          <w:szCs w:val="22"/>
        </w:rPr>
        <w:t xml:space="preserve">Significant at * p &lt; 0.1; ** p &lt; 0.05; *** p &lt; 0.01 </w:t>
      </w:r>
    </w:p>
    <w:p w:rsidR="00B52DD2" w:rsidRPr="003F4BC8" w:rsidRDefault="00B52DD2" w:rsidP="00B52DD2">
      <w:pPr>
        <w:pStyle w:val="NoSpacing"/>
        <w:spacing w:line="480" w:lineRule="auto"/>
        <w:ind w:firstLine="432"/>
        <w:jc w:val="both"/>
      </w:pPr>
      <w:r w:rsidRPr="003F4BC8">
        <w:t xml:space="preserve">I also tested the effect of the enactment of NWPA in a subset where the outcomes of interest were majority Republican or Democratic votes. As we can see from table 4-3, NWPA did </w:t>
      </w:r>
      <w:r>
        <w:t xml:space="preserve">nominally </w:t>
      </w:r>
      <w:r w:rsidRPr="003F4BC8">
        <w:t xml:space="preserve">impact the majority of Republican or Democratic votes consistent with the previous models, however these associations are not statistically significant. This suggests that the changes </w:t>
      </w:r>
      <w:r w:rsidRPr="003F4BC8">
        <w:lastRenderedPageBreak/>
        <w:t xml:space="preserve">in the percentage of the electorate voting for Democrats and Republicans found in Table 2 were not </w:t>
      </w:r>
      <w:r>
        <w:t>large</w:t>
      </w:r>
      <w:r w:rsidRPr="003F4BC8">
        <w:t xml:space="preserve"> enough to change whether the county was voting for majority Democrats or Republicans.</w:t>
      </w:r>
    </w:p>
    <w:p w:rsidR="00B52DD2" w:rsidRPr="003F4BC8" w:rsidRDefault="00B52DD2" w:rsidP="00B52DD2">
      <w:pPr>
        <w:rPr>
          <w:rFonts w:ascii="Times New Roman" w:hAnsi="Times New Roman" w:cs="Times New Roman"/>
          <w:b/>
          <w:bCs/>
        </w:rPr>
      </w:pPr>
    </w:p>
    <w:p w:rsidR="00B52DD2" w:rsidRPr="00EF0089" w:rsidRDefault="00B52DD2" w:rsidP="00B52DD2">
      <w:pPr>
        <w:spacing w:line="480" w:lineRule="auto"/>
        <w:jc w:val="center"/>
        <w:rPr>
          <w:rFonts w:ascii="Times New Roman" w:hAnsi="Times New Roman" w:cs="Times New Roman"/>
          <w:b/>
          <w:bCs/>
        </w:rPr>
      </w:pPr>
      <w:r w:rsidRPr="003F4BC8">
        <w:rPr>
          <w:rFonts w:ascii="Times New Roman" w:hAnsi="Times New Roman" w:cs="Times New Roman"/>
          <w:b/>
          <w:bCs/>
        </w:rPr>
        <w:t>Table 4-3.</w:t>
      </w:r>
      <w:r w:rsidRPr="003F4BC8">
        <w:rPr>
          <w:rFonts w:ascii="Times New Roman" w:hAnsi="Times New Roman" w:cs="Times New Roman"/>
        </w:rPr>
        <w:t xml:space="preserve"> The Effect of NWPA of 1982 and its 1987 Amendment on Majority Republican or Democratic Votes in Geographically Affected Counties, Non-Affected Ones as Controls</w:t>
      </w:r>
    </w:p>
    <w:tbl>
      <w:tblPr>
        <w:tblStyle w:val="TableGrid"/>
        <w:tblpPr w:leftFromText="180" w:rightFromText="180" w:vertAnchor="text" w:horzAnchor="margin" w:tblpX="-15" w:tblpY="125"/>
        <w:tblW w:w="9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5"/>
        <w:gridCol w:w="1720"/>
        <w:gridCol w:w="1710"/>
        <w:gridCol w:w="1620"/>
        <w:gridCol w:w="1408"/>
      </w:tblGrid>
      <w:tr w:rsidR="00B52DD2" w:rsidRPr="003F4BC8" w:rsidTr="00150C36">
        <w:trPr>
          <w:trHeight w:val="259"/>
        </w:trPr>
        <w:tc>
          <w:tcPr>
            <w:tcW w:w="2965" w:type="dxa"/>
            <w:tcBorders>
              <w:top w:val="single" w:sz="12" w:space="0" w:color="auto"/>
              <w:bottom w:val="single" w:sz="4" w:space="0" w:color="auto"/>
            </w:tcBorders>
          </w:tcPr>
          <w:p w:rsidR="00B52DD2" w:rsidRPr="003F4BC8" w:rsidRDefault="00B52DD2" w:rsidP="00150C36">
            <w:pPr>
              <w:spacing w:line="480" w:lineRule="auto"/>
              <w:rPr>
                <w:rFonts w:ascii="Times New Roman" w:hAnsi="Times New Roman" w:cs="Times New Roman"/>
                <w:color w:val="000000"/>
              </w:rPr>
            </w:pPr>
          </w:p>
        </w:tc>
        <w:tc>
          <w:tcPr>
            <w:tcW w:w="3430" w:type="dxa"/>
            <w:gridSpan w:val="2"/>
            <w:tcBorders>
              <w:top w:val="single" w:sz="12" w:space="0" w:color="auto"/>
              <w:bottom w:val="single" w:sz="4" w:space="0" w:color="auto"/>
            </w:tcBorders>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NWPA Enactment of 1982</w:t>
            </w:r>
          </w:p>
        </w:tc>
        <w:tc>
          <w:tcPr>
            <w:tcW w:w="3028" w:type="dxa"/>
            <w:gridSpan w:val="2"/>
            <w:tcBorders>
              <w:top w:val="single" w:sz="12" w:space="0" w:color="auto"/>
              <w:bottom w:val="single" w:sz="4" w:space="0" w:color="auto"/>
            </w:tcBorders>
          </w:tcPr>
          <w:p w:rsidR="00B52DD2" w:rsidRPr="003F4BC8" w:rsidRDefault="00B52DD2" w:rsidP="00150C36">
            <w:pPr>
              <w:spacing w:line="480" w:lineRule="auto"/>
              <w:rPr>
                <w:rFonts w:ascii="Times New Roman" w:hAnsi="Times New Roman" w:cs="Times New Roman"/>
                <w:color w:val="000000"/>
              </w:rPr>
            </w:pPr>
            <w:r w:rsidRPr="003F4BC8">
              <w:rPr>
                <w:rFonts w:ascii="Times New Roman" w:hAnsi="Times New Roman" w:cs="Times New Roman"/>
                <w:color w:val="000000"/>
              </w:rPr>
              <w:t>NWPA Enactment of 1987</w:t>
            </w:r>
          </w:p>
        </w:tc>
      </w:tr>
      <w:tr w:rsidR="00B52DD2" w:rsidRPr="003F4BC8" w:rsidTr="00150C36">
        <w:trPr>
          <w:trHeight w:val="245"/>
        </w:trPr>
        <w:tc>
          <w:tcPr>
            <w:tcW w:w="2965" w:type="dxa"/>
            <w:tcBorders>
              <w:top w:val="single" w:sz="4" w:space="0" w:color="auto"/>
            </w:tcBorders>
          </w:tcPr>
          <w:p w:rsidR="00B52DD2" w:rsidRPr="003F4BC8" w:rsidRDefault="00B52DD2" w:rsidP="00150C36">
            <w:pPr>
              <w:spacing w:line="480" w:lineRule="auto"/>
              <w:rPr>
                <w:rFonts w:ascii="Times New Roman" w:hAnsi="Times New Roman" w:cs="Times New Roman"/>
                <w:color w:val="000000"/>
              </w:rPr>
            </w:pPr>
          </w:p>
        </w:tc>
        <w:tc>
          <w:tcPr>
            <w:tcW w:w="1720" w:type="dxa"/>
            <w:tcBorders>
              <w:top w:val="single" w:sz="4" w:space="0" w:color="auto"/>
            </w:tcBorders>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rPr>
              <w:t>Voted Democrat</w:t>
            </w:r>
          </w:p>
        </w:tc>
        <w:tc>
          <w:tcPr>
            <w:tcW w:w="1710" w:type="dxa"/>
            <w:tcBorders>
              <w:top w:val="single" w:sz="4" w:space="0" w:color="auto"/>
            </w:tcBorders>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rPr>
              <w:t>Voted Republican</w:t>
            </w:r>
          </w:p>
        </w:tc>
        <w:tc>
          <w:tcPr>
            <w:tcW w:w="1620" w:type="dxa"/>
            <w:tcBorders>
              <w:top w:val="single" w:sz="4" w:space="0" w:color="auto"/>
            </w:tcBorders>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rPr>
              <w:t>Voted Democrat</w:t>
            </w:r>
          </w:p>
        </w:tc>
        <w:tc>
          <w:tcPr>
            <w:tcW w:w="1408" w:type="dxa"/>
            <w:tcBorders>
              <w:top w:val="single" w:sz="4" w:space="0" w:color="auto"/>
            </w:tcBorders>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rPr>
              <w:t>Voted Republican</w:t>
            </w:r>
          </w:p>
        </w:tc>
      </w:tr>
      <w:tr w:rsidR="00B52DD2" w:rsidRPr="003F4BC8" w:rsidTr="00150C36">
        <w:trPr>
          <w:trHeight w:val="259"/>
        </w:trPr>
        <w:tc>
          <w:tcPr>
            <w:tcW w:w="2965" w:type="dxa"/>
          </w:tcPr>
          <w:p w:rsidR="00B52DD2" w:rsidRPr="003F4BC8" w:rsidRDefault="00B52DD2" w:rsidP="00150C36">
            <w:pPr>
              <w:spacing w:line="480" w:lineRule="auto"/>
              <w:rPr>
                <w:rFonts w:ascii="Times New Roman" w:hAnsi="Times New Roman" w:cs="Times New Roman"/>
                <w:color w:val="000000"/>
              </w:rPr>
            </w:pPr>
            <w:r w:rsidRPr="003F4BC8">
              <w:rPr>
                <w:rFonts w:ascii="Times New Roman" w:hAnsi="Times New Roman" w:cs="Times New Roman"/>
              </w:rPr>
              <w:t>Treatment Counties</w:t>
            </w:r>
          </w:p>
        </w:tc>
        <w:tc>
          <w:tcPr>
            <w:tcW w:w="172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0.136*</w:t>
            </w:r>
          </w:p>
        </w:tc>
        <w:tc>
          <w:tcPr>
            <w:tcW w:w="171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-0.192</w:t>
            </w:r>
          </w:p>
        </w:tc>
        <w:tc>
          <w:tcPr>
            <w:tcW w:w="162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0.113</w:t>
            </w:r>
          </w:p>
        </w:tc>
        <w:tc>
          <w:tcPr>
            <w:tcW w:w="1408"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-0.160</w:t>
            </w:r>
          </w:p>
        </w:tc>
      </w:tr>
      <w:tr w:rsidR="00B52DD2" w:rsidRPr="003F4BC8" w:rsidTr="00150C36">
        <w:trPr>
          <w:trHeight w:val="259"/>
        </w:trPr>
        <w:tc>
          <w:tcPr>
            <w:tcW w:w="2965" w:type="dxa"/>
          </w:tcPr>
          <w:p w:rsidR="00B52DD2" w:rsidRPr="003F4BC8" w:rsidRDefault="00B52DD2" w:rsidP="00150C36">
            <w:pPr>
              <w:spacing w:line="480" w:lineRule="auto"/>
              <w:rPr>
                <w:rFonts w:ascii="Times New Roman" w:hAnsi="Times New Roman" w:cs="Times New Roman"/>
                <w:color w:val="000000"/>
              </w:rPr>
            </w:pPr>
          </w:p>
        </w:tc>
        <w:tc>
          <w:tcPr>
            <w:tcW w:w="172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(0.067)</w:t>
            </w:r>
          </w:p>
        </w:tc>
        <w:tc>
          <w:tcPr>
            <w:tcW w:w="171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(0.098)</w:t>
            </w:r>
          </w:p>
        </w:tc>
        <w:tc>
          <w:tcPr>
            <w:tcW w:w="162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(0.062)</w:t>
            </w:r>
          </w:p>
        </w:tc>
        <w:tc>
          <w:tcPr>
            <w:tcW w:w="1408"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(0.090)</w:t>
            </w:r>
          </w:p>
        </w:tc>
      </w:tr>
      <w:tr w:rsidR="00B52DD2" w:rsidRPr="003F4BC8" w:rsidTr="00150C36">
        <w:trPr>
          <w:trHeight w:val="259"/>
        </w:trPr>
        <w:tc>
          <w:tcPr>
            <w:tcW w:w="2965" w:type="dxa"/>
          </w:tcPr>
          <w:p w:rsidR="00B52DD2" w:rsidRPr="003F4BC8" w:rsidRDefault="00B52DD2" w:rsidP="00150C36">
            <w:pPr>
              <w:spacing w:line="480" w:lineRule="auto"/>
              <w:rPr>
                <w:rFonts w:ascii="Times New Roman" w:hAnsi="Times New Roman" w:cs="Times New Roman"/>
                <w:color w:val="000000"/>
              </w:rPr>
            </w:pPr>
            <w:r w:rsidRPr="003F4BC8">
              <w:rPr>
                <w:rFonts w:ascii="Times New Roman" w:hAnsi="Times New Roman" w:cs="Times New Roman"/>
              </w:rPr>
              <w:t>Post-NWPA</w:t>
            </w:r>
          </w:p>
        </w:tc>
        <w:tc>
          <w:tcPr>
            <w:tcW w:w="172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-0.147*</w:t>
            </w:r>
          </w:p>
        </w:tc>
        <w:tc>
          <w:tcPr>
            <w:tcW w:w="171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0.039</w:t>
            </w:r>
          </w:p>
        </w:tc>
        <w:tc>
          <w:tcPr>
            <w:tcW w:w="162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-0.115</w:t>
            </w:r>
          </w:p>
        </w:tc>
        <w:tc>
          <w:tcPr>
            <w:tcW w:w="1408"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-0.036</w:t>
            </w:r>
          </w:p>
        </w:tc>
      </w:tr>
      <w:tr w:rsidR="00B52DD2" w:rsidRPr="003F4BC8" w:rsidTr="00150C36">
        <w:trPr>
          <w:trHeight w:val="259"/>
        </w:trPr>
        <w:tc>
          <w:tcPr>
            <w:tcW w:w="2965" w:type="dxa"/>
          </w:tcPr>
          <w:p w:rsidR="00B52DD2" w:rsidRPr="003F4BC8" w:rsidRDefault="00B52DD2" w:rsidP="00150C36">
            <w:pPr>
              <w:spacing w:line="480" w:lineRule="auto"/>
              <w:rPr>
                <w:rFonts w:ascii="Times New Roman" w:hAnsi="Times New Roman" w:cs="Times New Roman"/>
                <w:color w:val="000000"/>
              </w:rPr>
            </w:pPr>
          </w:p>
        </w:tc>
        <w:tc>
          <w:tcPr>
            <w:tcW w:w="172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(0.061)</w:t>
            </w:r>
          </w:p>
        </w:tc>
        <w:tc>
          <w:tcPr>
            <w:tcW w:w="171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(0.089)</w:t>
            </w:r>
          </w:p>
        </w:tc>
        <w:tc>
          <w:tcPr>
            <w:tcW w:w="162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(0.060)</w:t>
            </w:r>
          </w:p>
        </w:tc>
        <w:tc>
          <w:tcPr>
            <w:tcW w:w="1408"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(0.087)</w:t>
            </w:r>
          </w:p>
        </w:tc>
      </w:tr>
      <w:tr w:rsidR="00B52DD2" w:rsidRPr="003F4BC8" w:rsidTr="00150C36">
        <w:trPr>
          <w:trHeight w:val="245"/>
        </w:trPr>
        <w:tc>
          <w:tcPr>
            <w:tcW w:w="2965" w:type="dxa"/>
          </w:tcPr>
          <w:p w:rsidR="00B52DD2" w:rsidRPr="003F4BC8" w:rsidRDefault="00B52DD2" w:rsidP="00150C36">
            <w:pPr>
              <w:spacing w:line="480" w:lineRule="auto"/>
              <w:rPr>
                <w:rFonts w:ascii="Times New Roman" w:hAnsi="Times New Roman" w:cs="Times New Roman"/>
                <w:color w:val="000000"/>
              </w:rPr>
            </w:pPr>
            <w:r w:rsidRPr="003F4BC8">
              <w:rPr>
                <w:rFonts w:ascii="Times New Roman" w:hAnsi="Times New Roman" w:cs="Times New Roman"/>
              </w:rPr>
              <w:t>Post-NWPA x  Treatment</w:t>
            </w:r>
          </w:p>
        </w:tc>
        <w:tc>
          <w:tcPr>
            <w:tcW w:w="172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-0.102</w:t>
            </w:r>
          </w:p>
        </w:tc>
        <w:tc>
          <w:tcPr>
            <w:tcW w:w="171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0.181</w:t>
            </w:r>
          </w:p>
        </w:tc>
        <w:tc>
          <w:tcPr>
            <w:tcW w:w="162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-0.075</w:t>
            </w:r>
          </w:p>
        </w:tc>
        <w:tc>
          <w:tcPr>
            <w:tcW w:w="1408"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0.148</w:t>
            </w:r>
          </w:p>
        </w:tc>
      </w:tr>
      <w:tr w:rsidR="00B52DD2" w:rsidRPr="003F4BC8" w:rsidTr="00150C36">
        <w:trPr>
          <w:trHeight w:val="259"/>
        </w:trPr>
        <w:tc>
          <w:tcPr>
            <w:tcW w:w="2965" w:type="dxa"/>
          </w:tcPr>
          <w:p w:rsidR="00B52DD2" w:rsidRPr="003F4BC8" w:rsidRDefault="00B52DD2" w:rsidP="00150C36">
            <w:pPr>
              <w:spacing w:line="480" w:lineRule="auto"/>
              <w:rPr>
                <w:rFonts w:ascii="Times New Roman" w:hAnsi="Times New Roman" w:cs="Times New Roman"/>
                <w:color w:val="000000"/>
              </w:rPr>
            </w:pPr>
          </w:p>
        </w:tc>
        <w:tc>
          <w:tcPr>
            <w:tcW w:w="172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(0.083)</w:t>
            </w:r>
          </w:p>
        </w:tc>
        <w:tc>
          <w:tcPr>
            <w:tcW w:w="171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(0.122)</w:t>
            </w:r>
          </w:p>
        </w:tc>
        <w:tc>
          <w:tcPr>
            <w:tcW w:w="162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(0.082)</w:t>
            </w:r>
          </w:p>
        </w:tc>
        <w:tc>
          <w:tcPr>
            <w:tcW w:w="1408"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(0.119)</w:t>
            </w:r>
          </w:p>
        </w:tc>
      </w:tr>
      <w:tr w:rsidR="00B52DD2" w:rsidRPr="003F4BC8" w:rsidTr="00150C36">
        <w:trPr>
          <w:trHeight w:val="259"/>
        </w:trPr>
        <w:tc>
          <w:tcPr>
            <w:tcW w:w="2965" w:type="dxa"/>
          </w:tcPr>
          <w:p w:rsidR="00B52DD2" w:rsidRPr="003F4BC8" w:rsidRDefault="00B52DD2" w:rsidP="00150C36">
            <w:pPr>
              <w:spacing w:line="480" w:lineRule="auto"/>
              <w:rPr>
                <w:rFonts w:ascii="Times New Roman" w:hAnsi="Times New Roman" w:cs="Times New Roman"/>
                <w:color w:val="000000"/>
              </w:rPr>
            </w:pPr>
            <w:r w:rsidRPr="003F4BC8">
              <w:rPr>
                <w:rFonts w:ascii="Times New Roman" w:hAnsi="Times New Roman" w:cs="Times New Roman"/>
                <w:color w:val="000000"/>
              </w:rPr>
              <w:t>R-squared</w:t>
            </w:r>
          </w:p>
        </w:tc>
        <w:tc>
          <w:tcPr>
            <w:tcW w:w="172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0.107</w:t>
            </w:r>
          </w:p>
        </w:tc>
        <w:tc>
          <w:tcPr>
            <w:tcW w:w="171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0.036</w:t>
            </w:r>
          </w:p>
        </w:tc>
        <w:tc>
          <w:tcPr>
            <w:tcW w:w="162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0.071</w:t>
            </w:r>
          </w:p>
        </w:tc>
        <w:tc>
          <w:tcPr>
            <w:tcW w:w="1408"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0.015</w:t>
            </w:r>
          </w:p>
        </w:tc>
      </w:tr>
      <w:tr w:rsidR="00B52DD2" w:rsidRPr="003F4BC8" w:rsidTr="00150C36">
        <w:trPr>
          <w:trHeight w:val="245"/>
        </w:trPr>
        <w:tc>
          <w:tcPr>
            <w:tcW w:w="2965" w:type="dxa"/>
            <w:tcBorders>
              <w:bottom w:val="single" w:sz="12" w:space="0" w:color="auto"/>
            </w:tcBorders>
          </w:tcPr>
          <w:p w:rsidR="00B52DD2" w:rsidRPr="003F4BC8" w:rsidRDefault="00B52DD2" w:rsidP="00150C36">
            <w:pPr>
              <w:spacing w:line="480" w:lineRule="auto"/>
              <w:rPr>
                <w:rFonts w:ascii="Times New Roman" w:hAnsi="Times New Roman" w:cs="Times New Roman"/>
                <w:color w:val="000000"/>
              </w:rPr>
            </w:pPr>
            <w:r w:rsidRPr="003F4BC8">
              <w:rPr>
                <w:rFonts w:ascii="Times New Roman" w:hAnsi="Times New Roman" w:cs="Times New Roman"/>
                <w:color w:val="000000"/>
              </w:rPr>
              <w:t>N</w:t>
            </w:r>
          </w:p>
        </w:tc>
        <w:tc>
          <w:tcPr>
            <w:tcW w:w="1720" w:type="dxa"/>
            <w:tcBorders>
              <w:bottom w:val="single" w:sz="12" w:space="0" w:color="auto"/>
            </w:tcBorders>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238</w:t>
            </w:r>
          </w:p>
        </w:tc>
        <w:tc>
          <w:tcPr>
            <w:tcW w:w="1710" w:type="dxa"/>
            <w:tcBorders>
              <w:bottom w:val="single" w:sz="12" w:space="0" w:color="auto"/>
            </w:tcBorders>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238</w:t>
            </w:r>
          </w:p>
        </w:tc>
        <w:tc>
          <w:tcPr>
            <w:tcW w:w="1620" w:type="dxa"/>
            <w:tcBorders>
              <w:bottom w:val="single" w:sz="12" w:space="0" w:color="auto"/>
            </w:tcBorders>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238</w:t>
            </w:r>
          </w:p>
        </w:tc>
        <w:tc>
          <w:tcPr>
            <w:tcW w:w="1408" w:type="dxa"/>
            <w:tcBorders>
              <w:bottom w:val="single" w:sz="12" w:space="0" w:color="auto"/>
            </w:tcBorders>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238</w:t>
            </w:r>
          </w:p>
        </w:tc>
      </w:tr>
    </w:tbl>
    <w:p w:rsidR="00B52DD2" w:rsidRPr="003F4BC8" w:rsidRDefault="00B52DD2" w:rsidP="00B52DD2">
      <w:pPr>
        <w:pStyle w:val="NormalWeb"/>
        <w:rPr>
          <w:sz w:val="22"/>
          <w:szCs w:val="22"/>
        </w:rPr>
      </w:pPr>
      <w:r w:rsidRPr="003F4BC8">
        <w:rPr>
          <w:sz w:val="22"/>
          <w:szCs w:val="22"/>
        </w:rPr>
        <w:t xml:space="preserve">Note: Models include covariates and time fixed effects. </w:t>
      </w:r>
      <w:r w:rsidRPr="003F4BC8">
        <w:rPr>
          <w:color w:val="000000"/>
          <w:sz w:val="22"/>
          <w:szCs w:val="22"/>
        </w:rPr>
        <w:t xml:space="preserve">Standard errors in parentheses. </w:t>
      </w:r>
      <w:r w:rsidRPr="003F4BC8">
        <w:rPr>
          <w:sz w:val="22"/>
          <w:szCs w:val="22"/>
        </w:rPr>
        <w:t xml:space="preserve">Significant at * p &lt; 0.1; ** p &lt; 0.05; *** p &lt; 0.01 </w:t>
      </w:r>
    </w:p>
    <w:p w:rsidR="00B52DD2" w:rsidRPr="003F4BC8" w:rsidRDefault="00B52DD2" w:rsidP="00B52DD2">
      <w:pPr>
        <w:pStyle w:val="NormalWeb"/>
        <w:rPr>
          <w:sz w:val="22"/>
          <w:szCs w:val="22"/>
        </w:rPr>
      </w:pPr>
    </w:p>
    <w:p w:rsidR="00B52DD2" w:rsidRPr="003F4BC8" w:rsidRDefault="00B52DD2" w:rsidP="00B52DD2">
      <w:pPr>
        <w:pStyle w:val="NoSpacing"/>
        <w:spacing w:line="480" w:lineRule="auto"/>
        <w:ind w:firstLine="432"/>
        <w:jc w:val="both"/>
      </w:pPr>
      <w:r w:rsidRPr="003F4BC8">
        <w:t xml:space="preserve">To provide insight into the dynamic effects of NWPA on geographically affected counties over time, I present the event-study analyses in Table 4-4 and their illustrations in Figures </w:t>
      </w:r>
      <w:r>
        <w:t>4-</w:t>
      </w:r>
      <w:r w:rsidRPr="003F4BC8">
        <w:t>2</w:t>
      </w:r>
      <w:r>
        <w:t xml:space="preserve"> and 4-3</w:t>
      </w:r>
      <w:r w:rsidRPr="003F4BC8">
        <w:t>. This method allows the estimated effects to vary across years relative to the year of implementation.</w:t>
      </w:r>
    </w:p>
    <w:p w:rsidR="00B52DD2" w:rsidRDefault="00B52DD2" w:rsidP="00B52DD2">
      <w:pPr>
        <w:rPr>
          <w:rFonts w:ascii="Times New Roman" w:hAnsi="Times New Roman" w:cs="Times New Roman"/>
          <w:b/>
          <w:bCs/>
        </w:rPr>
      </w:pPr>
    </w:p>
    <w:p w:rsidR="00B52DD2" w:rsidRPr="003F4BC8" w:rsidRDefault="00B52DD2" w:rsidP="00B52DD2">
      <w:pPr>
        <w:rPr>
          <w:rFonts w:ascii="Times New Roman" w:hAnsi="Times New Roman" w:cs="Times New Roman"/>
          <w:b/>
          <w:bCs/>
        </w:rPr>
      </w:pPr>
    </w:p>
    <w:p w:rsidR="00B52DD2" w:rsidRPr="003F4BC8" w:rsidRDefault="00B52DD2" w:rsidP="00B52DD2">
      <w:pPr>
        <w:spacing w:line="480" w:lineRule="auto"/>
        <w:jc w:val="center"/>
        <w:rPr>
          <w:rFonts w:ascii="Times New Roman" w:hAnsi="Times New Roman" w:cs="Times New Roman"/>
          <w:b/>
          <w:bCs/>
          <w:color w:val="385623" w:themeColor="accent6" w:themeShade="80"/>
        </w:rPr>
      </w:pPr>
      <w:r w:rsidRPr="003F4BC8">
        <w:rPr>
          <w:rFonts w:ascii="Times New Roman" w:hAnsi="Times New Roman" w:cs="Times New Roman"/>
          <w:b/>
          <w:bCs/>
        </w:rPr>
        <w:lastRenderedPageBreak/>
        <w:t>Table</w:t>
      </w:r>
      <w:r w:rsidRPr="003F4BC8">
        <w:rPr>
          <w:rFonts w:ascii="Times New Roman" w:hAnsi="Times New Roman" w:cs="Times New Roman"/>
          <w:color w:val="000000"/>
          <w:sz w:val="21"/>
          <w:szCs w:val="21"/>
        </w:rPr>
        <w:t xml:space="preserve"> </w:t>
      </w:r>
      <w:r w:rsidRPr="003F4BC8">
        <w:rPr>
          <w:rFonts w:ascii="Times New Roman" w:hAnsi="Times New Roman" w:cs="Times New Roman"/>
          <w:b/>
          <w:bCs/>
        </w:rPr>
        <w:t xml:space="preserve">4-4. </w:t>
      </w:r>
      <w:r w:rsidRPr="003F4BC8">
        <w:rPr>
          <w:rFonts w:ascii="Times New Roman" w:hAnsi="Times New Roman" w:cs="Times New Roman"/>
          <w:bCs/>
        </w:rPr>
        <w:t>Event-Study</w:t>
      </w:r>
      <w:r w:rsidRPr="003F4BC8">
        <w:rPr>
          <w:rFonts w:ascii="Times New Roman" w:hAnsi="Times New Roman" w:cs="Times New Roman"/>
          <w:color w:val="000000"/>
          <w:sz w:val="21"/>
          <w:szCs w:val="21"/>
        </w:rPr>
        <w:t xml:space="preserve"> </w:t>
      </w:r>
      <w:r w:rsidRPr="003F4BC8">
        <w:rPr>
          <w:rFonts w:ascii="Times New Roman" w:hAnsi="Times New Roman" w:cs="Times New Roman"/>
          <w:bCs/>
        </w:rPr>
        <w:t>Results for the Effect of NWPA on Voting Behavior</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1980"/>
        <w:gridCol w:w="1980"/>
        <w:gridCol w:w="2340"/>
      </w:tblGrid>
      <w:tr w:rsidR="00B52DD2" w:rsidRPr="003F4BC8" w:rsidTr="00150C36">
        <w:trPr>
          <w:trHeight w:val="325"/>
        </w:trPr>
        <w:tc>
          <w:tcPr>
            <w:tcW w:w="2970" w:type="dxa"/>
          </w:tcPr>
          <w:p w:rsidR="00B52DD2" w:rsidRPr="003F4BC8" w:rsidRDefault="00B52DD2" w:rsidP="00150C36">
            <w:pPr>
              <w:spacing w:line="480" w:lineRule="auto"/>
              <w:rPr>
                <w:rFonts w:ascii="Times New Roman" w:hAnsi="Times New Roman" w:cs="Times New Roman"/>
              </w:rPr>
            </w:pPr>
          </w:p>
        </w:tc>
        <w:tc>
          <w:tcPr>
            <w:tcW w:w="198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Voted Democrat</w:t>
            </w:r>
          </w:p>
        </w:tc>
        <w:tc>
          <w:tcPr>
            <w:tcW w:w="198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Voted Republican</w:t>
            </w:r>
          </w:p>
        </w:tc>
        <w:tc>
          <w:tcPr>
            <w:tcW w:w="2340" w:type="dxa"/>
          </w:tcPr>
          <w:p w:rsidR="00B52DD2" w:rsidRPr="003F4BC8" w:rsidRDefault="00B52DD2" w:rsidP="00150C36">
            <w:pPr>
              <w:spacing w:line="480" w:lineRule="auto"/>
              <w:jc w:val="center"/>
              <w:rPr>
                <w:rFonts w:ascii="Times New Roman" w:hAnsi="Times New Roman" w:cs="Times New Roman"/>
              </w:rPr>
            </w:pPr>
            <w:r>
              <w:rPr>
                <w:rFonts w:ascii="Times New Roman" w:hAnsi="Times New Roman" w:cs="Times New Roman"/>
              </w:rPr>
              <w:t>Election Turnout</w:t>
            </w:r>
          </w:p>
        </w:tc>
      </w:tr>
      <w:tr w:rsidR="00B52DD2" w:rsidRPr="003F4BC8" w:rsidTr="00150C36">
        <w:trPr>
          <w:trHeight w:val="257"/>
        </w:trPr>
        <w:tc>
          <w:tcPr>
            <w:tcW w:w="2970" w:type="dxa"/>
          </w:tcPr>
          <w:p w:rsidR="00B52DD2" w:rsidRDefault="00B52DD2" w:rsidP="00150C36">
            <w:pPr>
              <w:spacing w:line="480" w:lineRule="auto"/>
              <w:rPr>
                <w:rFonts w:ascii="Times New Roman" w:hAnsi="Times New Roman" w:cs="Times New Roman"/>
              </w:rPr>
            </w:pPr>
            <w:r w:rsidRPr="003F4BC8">
              <w:rPr>
                <w:rFonts w:ascii="Times New Roman" w:hAnsi="Times New Roman" w:cs="Times New Roman"/>
              </w:rPr>
              <w:t>4 Elections before*</w:t>
            </w:r>
          </w:p>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Treatment Counties</w:t>
            </w:r>
          </w:p>
        </w:tc>
        <w:tc>
          <w:tcPr>
            <w:tcW w:w="1980" w:type="dxa"/>
          </w:tcPr>
          <w:p w:rsidR="00B52DD2" w:rsidRDefault="00B52DD2" w:rsidP="00150C36">
            <w:pPr>
              <w:spacing w:line="480" w:lineRule="auto"/>
              <w:jc w:val="center"/>
              <w:rPr>
                <w:rFonts w:ascii="Times New Roman" w:hAnsi="Times New Roman" w:cs="Times New Roman"/>
              </w:rPr>
            </w:pPr>
            <w:r w:rsidRPr="003F4BC8">
              <w:rPr>
                <w:rFonts w:ascii="Times New Roman" w:hAnsi="Times New Roman" w:cs="Times New Roman"/>
              </w:rPr>
              <w:t>9.856*</w:t>
            </w:r>
          </w:p>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(4.630)</w:t>
            </w:r>
          </w:p>
        </w:tc>
        <w:tc>
          <w:tcPr>
            <w:tcW w:w="1980" w:type="dxa"/>
          </w:tcPr>
          <w:p w:rsidR="00B52DD2" w:rsidRDefault="00B52DD2" w:rsidP="00150C36">
            <w:pPr>
              <w:spacing w:line="480" w:lineRule="auto"/>
              <w:jc w:val="center"/>
              <w:rPr>
                <w:rFonts w:ascii="Times New Roman" w:hAnsi="Times New Roman" w:cs="Times New Roman"/>
              </w:rPr>
            </w:pPr>
            <w:r w:rsidRPr="003F4BC8">
              <w:rPr>
                <w:rFonts w:ascii="Times New Roman" w:hAnsi="Times New Roman" w:cs="Times New Roman"/>
              </w:rPr>
              <w:t>-9.626*</w:t>
            </w:r>
          </w:p>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(4.412)</w:t>
            </w:r>
          </w:p>
        </w:tc>
        <w:tc>
          <w:tcPr>
            <w:tcW w:w="2340" w:type="dxa"/>
          </w:tcPr>
          <w:p w:rsidR="00B52DD2" w:rsidRDefault="00B52DD2" w:rsidP="00150C36">
            <w:pPr>
              <w:spacing w:line="480" w:lineRule="auto"/>
              <w:jc w:val="center"/>
              <w:rPr>
                <w:rFonts w:ascii="Times New Roman" w:hAnsi="Times New Roman" w:cs="Times New Roman"/>
              </w:rPr>
            </w:pPr>
            <w:r w:rsidRPr="005D6A58">
              <w:rPr>
                <w:rFonts w:ascii="Times New Roman" w:hAnsi="Times New Roman" w:cs="Times New Roman"/>
              </w:rPr>
              <w:t>-3.922</w:t>
            </w:r>
          </w:p>
          <w:p w:rsidR="00B52DD2" w:rsidRPr="003F4BC8" w:rsidRDefault="00B52DD2" w:rsidP="00150C36">
            <w:pPr>
              <w:spacing w:line="480" w:lineRule="auto"/>
              <w:jc w:val="center"/>
              <w:rPr>
                <w:rFonts w:ascii="Times New Roman" w:hAnsi="Times New Roman" w:cs="Times New Roman"/>
              </w:rPr>
            </w:pPr>
            <w:r>
              <w:rPr>
                <w:rFonts w:ascii="Times New Roman" w:hAnsi="Times New Roman" w:cs="Times New Roman"/>
              </w:rPr>
              <w:t>(</w:t>
            </w:r>
            <w:r w:rsidRPr="005D6A58">
              <w:rPr>
                <w:rFonts w:ascii="Times New Roman" w:hAnsi="Times New Roman" w:cs="Times New Roman"/>
              </w:rPr>
              <w:t>5.879</w:t>
            </w:r>
            <w:r>
              <w:rPr>
                <w:rFonts w:ascii="Times New Roman" w:hAnsi="Times New Roman" w:cs="Times New Roman"/>
              </w:rPr>
              <w:t>)</w:t>
            </w:r>
          </w:p>
        </w:tc>
      </w:tr>
      <w:tr w:rsidR="00B52DD2" w:rsidRPr="003F4BC8" w:rsidTr="00150C36">
        <w:trPr>
          <w:trHeight w:val="271"/>
        </w:trPr>
        <w:tc>
          <w:tcPr>
            <w:tcW w:w="2970" w:type="dxa"/>
          </w:tcPr>
          <w:p w:rsidR="00B52DD2" w:rsidRDefault="00B52DD2" w:rsidP="00150C36">
            <w:pPr>
              <w:spacing w:line="480" w:lineRule="auto"/>
              <w:rPr>
                <w:rFonts w:ascii="Times New Roman" w:hAnsi="Times New Roman" w:cs="Times New Roman"/>
              </w:rPr>
            </w:pPr>
            <w:r w:rsidRPr="003F4BC8">
              <w:rPr>
                <w:rFonts w:ascii="Times New Roman" w:hAnsi="Times New Roman" w:cs="Times New Roman"/>
              </w:rPr>
              <w:t>3 Elections before*</w:t>
            </w:r>
          </w:p>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Treatment Counties</w:t>
            </w:r>
          </w:p>
        </w:tc>
        <w:tc>
          <w:tcPr>
            <w:tcW w:w="1980" w:type="dxa"/>
          </w:tcPr>
          <w:p w:rsidR="00B52DD2" w:rsidRDefault="00B52DD2" w:rsidP="00150C36">
            <w:pPr>
              <w:spacing w:line="480" w:lineRule="auto"/>
              <w:jc w:val="center"/>
              <w:rPr>
                <w:rFonts w:ascii="Times New Roman" w:hAnsi="Times New Roman" w:cs="Times New Roman"/>
              </w:rPr>
            </w:pPr>
            <w:r w:rsidRPr="003F4BC8">
              <w:rPr>
                <w:rFonts w:ascii="Times New Roman" w:hAnsi="Times New Roman" w:cs="Times New Roman"/>
              </w:rPr>
              <w:t>11.601*</w:t>
            </w:r>
          </w:p>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(4.607)</w:t>
            </w:r>
          </w:p>
        </w:tc>
        <w:tc>
          <w:tcPr>
            <w:tcW w:w="1980" w:type="dxa"/>
          </w:tcPr>
          <w:p w:rsidR="00B52DD2" w:rsidRDefault="00B52DD2" w:rsidP="00150C36">
            <w:pPr>
              <w:spacing w:line="480" w:lineRule="auto"/>
              <w:jc w:val="center"/>
              <w:rPr>
                <w:rFonts w:ascii="Times New Roman" w:hAnsi="Times New Roman" w:cs="Times New Roman"/>
              </w:rPr>
            </w:pPr>
            <w:r w:rsidRPr="003F4BC8">
              <w:rPr>
                <w:rFonts w:ascii="Times New Roman" w:hAnsi="Times New Roman" w:cs="Times New Roman"/>
              </w:rPr>
              <w:t>-16.489***</w:t>
            </w:r>
          </w:p>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(4.390)</w:t>
            </w:r>
          </w:p>
        </w:tc>
        <w:tc>
          <w:tcPr>
            <w:tcW w:w="2340" w:type="dxa"/>
          </w:tcPr>
          <w:p w:rsidR="00B52DD2" w:rsidRDefault="00B52DD2" w:rsidP="00150C36">
            <w:pPr>
              <w:spacing w:line="480" w:lineRule="auto"/>
              <w:jc w:val="center"/>
              <w:rPr>
                <w:rFonts w:ascii="Times New Roman" w:hAnsi="Times New Roman" w:cs="Times New Roman"/>
              </w:rPr>
            </w:pPr>
            <w:r w:rsidRPr="005D6A58">
              <w:rPr>
                <w:rFonts w:ascii="Times New Roman" w:hAnsi="Times New Roman" w:cs="Times New Roman"/>
              </w:rPr>
              <w:t>-0.259</w:t>
            </w:r>
          </w:p>
          <w:p w:rsidR="00B52DD2" w:rsidRPr="003F4BC8" w:rsidRDefault="00B52DD2" w:rsidP="00150C36">
            <w:pPr>
              <w:spacing w:line="480" w:lineRule="auto"/>
              <w:jc w:val="center"/>
              <w:rPr>
                <w:rFonts w:ascii="Times New Roman" w:hAnsi="Times New Roman" w:cs="Times New Roman"/>
              </w:rPr>
            </w:pPr>
            <w:r>
              <w:rPr>
                <w:rFonts w:ascii="Times New Roman" w:hAnsi="Times New Roman" w:cs="Times New Roman"/>
              </w:rPr>
              <w:t>(</w:t>
            </w:r>
            <w:r w:rsidRPr="005D6A58">
              <w:rPr>
                <w:rFonts w:ascii="Times New Roman" w:hAnsi="Times New Roman" w:cs="Times New Roman"/>
              </w:rPr>
              <w:t>4.52</w:t>
            </w:r>
            <w:r>
              <w:rPr>
                <w:rFonts w:ascii="Times New Roman" w:hAnsi="Times New Roman" w:cs="Times New Roman"/>
              </w:rPr>
              <w:t>9)</w:t>
            </w:r>
          </w:p>
        </w:tc>
      </w:tr>
      <w:tr w:rsidR="00B52DD2" w:rsidRPr="003F4BC8" w:rsidTr="00150C36">
        <w:trPr>
          <w:trHeight w:val="257"/>
        </w:trPr>
        <w:tc>
          <w:tcPr>
            <w:tcW w:w="2970" w:type="dxa"/>
          </w:tcPr>
          <w:p w:rsidR="00B52DD2" w:rsidRDefault="00B52DD2" w:rsidP="00150C36">
            <w:pPr>
              <w:spacing w:line="480" w:lineRule="auto"/>
              <w:rPr>
                <w:rFonts w:ascii="Times New Roman" w:hAnsi="Times New Roman" w:cs="Times New Roman"/>
              </w:rPr>
            </w:pPr>
            <w:r w:rsidRPr="003F4BC8">
              <w:rPr>
                <w:rFonts w:ascii="Times New Roman" w:hAnsi="Times New Roman" w:cs="Times New Roman"/>
              </w:rPr>
              <w:t>2 Elections before*</w:t>
            </w:r>
          </w:p>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Treatment Counties</w:t>
            </w:r>
          </w:p>
        </w:tc>
        <w:tc>
          <w:tcPr>
            <w:tcW w:w="1980" w:type="dxa"/>
          </w:tcPr>
          <w:p w:rsidR="00B52DD2" w:rsidRDefault="00B52DD2" w:rsidP="00150C36">
            <w:pPr>
              <w:spacing w:line="480" w:lineRule="auto"/>
              <w:jc w:val="center"/>
              <w:rPr>
                <w:rFonts w:ascii="Times New Roman" w:hAnsi="Times New Roman" w:cs="Times New Roman"/>
              </w:rPr>
            </w:pPr>
            <w:r w:rsidRPr="003F4BC8">
              <w:rPr>
                <w:rFonts w:ascii="Times New Roman" w:hAnsi="Times New Roman" w:cs="Times New Roman"/>
              </w:rPr>
              <w:t>9.668*</w:t>
            </w:r>
          </w:p>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(4.412)</w:t>
            </w:r>
          </w:p>
        </w:tc>
        <w:tc>
          <w:tcPr>
            <w:tcW w:w="1980" w:type="dxa"/>
          </w:tcPr>
          <w:p w:rsidR="00B52DD2" w:rsidRDefault="00B52DD2" w:rsidP="00150C36">
            <w:pPr>
              <w:spacing w:line="480" w:lineRule="auto"/>
              <w:jc w:val="center"/>
              <w:rPr>
                <w:rFonts w:ascii="Times New Roman" w:hAnsi="Times New Roman" w:cs="Times New Roman"/>
              </w:rPr>
            </w:pPr>
            <w:r w:rsidRPr="003F4BC8">
              <w:rPr>
                <w:rFonts w:ascii="Times New Roman" w:hAnsi="Times New Roman" w:cs="Times New Roman"/>
              </w:rPr>
              <w:t>-9.521*</w:t>
            </w:r>
          </w:p>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(4.204)</w:t>
            </w:r>
          </w:p>
        </w:tc>
        <w:tc>
          <w:tcPr>
            <w:tcW w:w="2340" w:type="dxa"/>
          </w:tcPr>
          <w:p w:rsidR="00B52DD2" w:rsidRDefault="00B52DD2" w:rsidP="00150C36">
            <w:pPr>
              <w:spacing w:line="480" w:lineRule="auto"/>
              <w:jc w:val="center"/>
              <w:rPr>
                <w:rFonts w:ascii="Times New Roman" w:hAnsi="Times New Roman" w:cs="Times New Roman"/>
              </w:rPr>
            </w:pPr>
            <w:r w:rsidRPr="005D6A58">
              <w:rPr>
                <w:rFonts w:ascii="Times New Roman" w:hAnsi="Times New Roman" w:cs="Times New Roman"/>
              </w:rPr>
              <w:t>2.180</w:t>
            </w:r>
          </w:p>
          <w:p w:rsidR="00B52DD2" w:rsidRPr="003F4BC8" w:rsidRDefault="00B52DD2" w:rsidP="00150C36">
            <w:pPr>
              <w:spacing w:line="480" w:lineRule="auto"/>
              <w:jc w:val="center"/>
              <w:rPr>
                <w:rFonts w:ascii="Times New Roman" w:hAnsi="Times New Roman" w:cs="Times New Roman"/>
              </w:rPr>
            </w:pPr>
            <w:r>
              <w:rPr>
                <w:rFonts w:ascii="Times New Roman" w:hAnsi="Times New Roman" w:cs="Times New Roman"/>
              </w:rPr>
              <w:t>(</w:t>
            </w:r>
            <w:r w:rsidRPr="005D6A58">
              <w:rPr>
                <w:rFonts w:ascii="Times New Roman" w:hAnsi="Times New Roman" w:cs="Times New Roman"/>
              </w:rPr>
              <w:t>5.54</w:t>
            </w:r>
            <w:r>
              <w:rPr>
                <w:rFonts w:ascii="Times New Roman" w:hAnsi="Times New Roman" w:cs="Times New Roman"/>
              </w:rPr>
              <w:t>1)</w:t>
            </w:r>
          </w:p>
        </w:tc>
      </w:tr>
      <w:tr w:rsidR="00B52DD2" w:rsidRPr="003F4BC8" w:rsidTr="00150C36">
        <w:trPr>
          <w:trHeight w:val="271"/>
        </w:trPr>
        <w:tc>
          <w:tcPr>
            <w:tcW w:w="2970" w:type="dxa"/>
          </w:tcPr>
          <w:p w:rsidR="00B52DD2" w:rsidRDefault="00B52DD2" w:rsidP="00150C36">
            <w:pPr>
              <w:spacing w:line="480" w:lineRule="auto"/>
              <w:rPr>
                <w:rFonts w:ascii="Times New Roman" w:hAnsi="Times New Roman" w:cs="Times New Roman"/>
              </w:rPr>
            </w:pPr>
            <w:r w:rsidRPr="003F4BC8">
              <w:rPr>
                <w:rFonts w:ascii="Times New Roman" w:hAnsi="Times New Roman" w:cs="Times New Roman"/>
              </w:rPr>
              <w:t>1 Election before*</w:t>
            </w:r>
          </w:p>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Treatment Counties</w:t>
            </w:r>
          </w:p>
        </w:tc>
        <w:tc>
          <w:tcPr>
            <w:tcW w:w="1980" w:type="dxa"/>
          </w:tcPr>
          <w:p w:rsidR="00B52DD2" w:rsidRDefault="00B52DD2" w:rsidP="00150C36">
            <w:pPr>
              <w:spacing w:line="480" w:lineRule="auto"/>
              <w:jc w:val="center"/>
              <w:rPr>
                <w:rFonts w:ascii="Times New Roman" w:hAnsi="Times New Roman" w:cs="Times New Roman"/>
              </w:rPr>
            </w:pPr>
            <w:r w:rsidRPr="003F4BC8">
              <w:rPr>
                <w:rFonts w:ascii="Times New Roman" w:hAnsi="Times New Roman" w:cs="Times New Roman"/>
              </w:rPr>
              <w:t>10.242*</w:t>
            </w:r>
          </w:p>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(4.388)</w:t>
            </w:r>
          </w:p>
        </w:tc>
        <w:tc>
          <w:tcPr>
            <w:tcW w:w="1980" w:type="dxa"/>
          </w:tcPr>
          <w:p w:rsidR="00B52DD2" w:rsidRDefault="00B52DD2" w:rsidP="00150C36">
            <w:pPr>
              <w:spacing w:line="480" w:lineRule="auto"/>
              <w:jc w:val="center"/>
              <w:rPr>
                <w:rFonts w:ascii="Times New Roman" w:hAnsi="Times New Roman" w:cs="Times New Roman"/>
              </w:rPr>
            </w:pPr>
            <w:r w:rsidRPr="003F4BC8">
              <w:rPr>
                <w:rFonts w:ascii="Times New Roman" w:hAnsi="Times New Roman" w:cs="Times New Roman"/>
              </w:rPr>
              <w:t>-9.403*</w:t>
            </w:r>
          </w:p>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(4.181)</w:t>
            </w:r>
          </w:p>
        </w:tc>
        <w:tc>
          <w:tcPr>
            <w:tcW w:w="2340" w:type="dxa"/>
          </w:tcPr>
          <w:p w:rsidR="00B52DD2" w:rsidRDefault="00B52DD2" w:rsidP="00150C36">
            <w:pPr>
              <w:spacing w:line="480" w:lineRule="auto"/>
              <w:jc w:val="center"/>
              <w:rPr>
                <w:rFonts w:ascii="Times New Roman" w:hAnsi="Times New Roman" w:cs="Times New Roman"/>
              </w:rPr>
            </w:pPr>
            <w:r w:rsidRPr="005D6A58">
              <w:rPr>
                <w:rFonts w:ascii="Times New Roman" w:hAnsi="Times New Roman" w:cs="Times New Roman"/>
              </w:rPr>
              <w:t>-8.60</w:t>
            </w:r>
            <w:r>
              <w:rPr>
                <w:rFonts w:ascii="Times New Roman" w:hAnsi="Times New Roman" w:cs="Times New Roman"/>
              </w:rPr>
              <w:t>6*</w:t>
            </w:r>
          </w:p>
          <w:p w:rsidR="00B52DD2" w:rsidRPr="003F4BC8" w:rsidRDefault="00B52DD2" w:rsidP="00150C36">
            <w:pPr>
              <w:spacing w:line="480" w:lineRule="auto"/>
              <w:jc w:val="center"/>
              <w:rPr>
                <w:rFonts w:ascii="Times New Roman" w:hAnsi="Times New Roman" w:cs="Times New Roman"/>
              </w:rPr>
            </w:pPr>
            <w:r>
              <w:rPr>
                <w:rFonts w:ascii="Times New Roman" w:hAnsi="Times New Roman" w:cs="Times New Roman"/>
              </w:rPr>
              <w:t>(</w:t>
            </w:r>
            <w:r w:rsidRPr="005D6A58">
              <w:rPr>
                <w:rFonts w:ascii="Times New Roman" w:hAnsi="Times New Roman" w:cs="Times New Roman"/>
              </w:rPr>
              <w:t>3.928</w:t>
            </w:r>
            <w:r>
              <w:rPr>
                <w:rFonts w:ascii="Times New Roman" w:hAnsi="Times New Roman" w:cs="Times New Roman"/>
              </w:rPr>
              <w:t>)</w:t>
            </w:r>
          </w:p>
        </w:tc>
      </w:tr>
      <w:tr w:rsidR="00B52DD2" w:rsidRPr="003F4BC8" w:rsidTr="00150C36">
        <w:trPr>
          <w:trHeight w:val="257"/>
        </w:trPr>
        <w:tc>
          <w:tcPr>
            <w:tcW w:w="2970" w:type="dxa"/>
          </w:tcPr>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Base year</w:t>
            </w:r>
          </w:p>
        </w:tc>
        <w:tc>
          <w:tcPr>
            <w:tcW w:w="198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OMIT</w:t>
            </w:r>
          </w:p>
        </w:tc>
        <w:tc>
          <w:tcPr>
            <w:tcW w:w="198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OMIT</w:t>
            </w:r>
          </w:p>
        </w:tc>
        <w:tc>
          <w:tcPr>
            <w:tcW w:w="234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OMIT</w:t>
            </w:r>
          </w:p>
        </w:tc>
      </w:tr>
      <w:tr w:rsidR="00B52DD2" w:rsidRPr="003F4BC8" w:rsidTr="00150C36">
        <w:trPr>
          <w:trHeight w:val="271"/>
        </w:trPr>
        <w:tc>
          <w:tcPr>
            <w:tcW w:w="2970" w:type="dxa"/>
          </w:tcPr>
          <w:p w:rsidR="00B52DD2" w:rsidRDefault="00B52DD2" w:rsidP="00150C36">
            <w:pPr>
              <w:spacing w:line="480" w:lineRule="auto"/>
              <w:rPr>
                <w:rFonts w:ascii="Times New Roman" w:hAnsi="Times New Roman" w:cs="Times New Roman"/>
              </w:rPr>
            </w:pPr>
            <w:r w:rsidRPr="003F4BC8">
              <w:rPr>
                <w:rFonts w:ascii="Times New Roman" w:hAnsi="Times New Roman" w:cs="Times New Roman"/>
              </w:rPr>
              <w:t>1 Election after*</w:t>
            </w:r>
          </w:p>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Treatment Counties</w:t>
            </w:r>
          </w:p>
        </w:tc>
        <w:tc>
          <w:tcPr>
            <w:tcW w:w="1980" w:type="dxa"/>
          </w:tcPr>
          <w:p w:rsidR="00B52DD2" w:rsidRDefault="00B52DD2" w:rsidP="00150C36">
            <w:pPr>
              <w:spacing w:line="480" w:lineRule="auto"/>
              <w:jc w:val="center"/>
              <w:rPr>
                <w:rFonts w:ascii="Times New Roman" w:hAnsi="Times New Roman" w:cs="Times New Roman"/>
              </w:rPr>
            </w:pPr>
            <w:r w:rsidRPr="003F4BC8">
              <w:rPr>
                <w:rFonts w:ascii="Times New Roman" w:hAnsi="Times New Roman" w:cs="Times New Roman"/>
              </w:rPr>
              <w:t>5.439</w:t>
            </w:r>
          </w:p>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(4.392)</w:t>
            </w:r>
          </w:p>
        </w:tc>
        <w:tc>
          <w:tcPr>
            <w:tcW w:w="1980" w:type="dxa"/>
          </w:tcPr>
          <w:p w:rsidR="00B52DD2" w:rsidRDefault="00B52DD2" w:rsidP="00150C36">
            <w:pPr>
              <w:spacing w:line="480" w:lineRule="auto"/>
              <w:jc w:val="center"/>
              <w:rPr>
                <w:rFonts w:ascii="Times New Roman" w:hAnsi="Times New Roman" w:cs="Times New Roman"/>
              </w:rPr>
            </w:pPr>
            <w:r w:rsidRPr="003F4BC8">
              <w:rPr>
                <w:rFonts w:ascii="Times New Roman" w:hAnsi="Times New Roman" w:cs="Times New Roman"/>
              </w:rPr>
              <w:t>-5.649</w:t>
            </w:r>
          </w:p>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(4.185)</w:t>
            </w:r>
          </w:p>
        </w:tc>
        <w:tc>
          <w:tcPr>
            <w:tcW w:w="2340" w:type="dxa"/>
          </w:tcPr>
          <w:p w:rsidR="00B52DD2" w:rsidRDefault="00B52DD2" w:rsidP="00150C36">
            <w:pPr>
              <w:spacing w:line="480" w:lineRule="auto"/>
              <w:jc w:val="center"/>
              <w:rPr>
                <w:rFonts w:ascii="Times New Roman" w:hAnsi="Times New Roman" w:cs="Times New Roman"/>
              </w:rPr>
            </w:pPr>
            <w:r w:rsidRPr="005D6A58">
              <w:rPr>
                <w:rFonts w:ascii="Times New Roman" w:hAnsi="Times New Roman" w:cs="Times New Roman"/>
              </w:rPr>
              <w:t>4.719</w:t>
            </w:r>
          </w:p>
          <w:p w:rsidR="00B52DD2" w:rsidRPr="003F4BC8" w:rsidRDefault="00B52DD2" w:rsidP="00150C36">
            <w:pPr>
              <w:spacing w:line="480" w:lineRule="auto"/>
              <w:jc w:val="center"/>
              <w:rPr>
                <w:rFonts w:ascii="Times New Roman" w:hAnsi="Times New Roman" w:cs="Times New Roman"/>
              </w:rPr>
            </w:pPr>
            <w:r>
              <w:rPr>
                <w:rFonts w:ascii="Times New Roman" w:hAnsi="Times New Roman" w:cs="Times New Roman"/>
              </w:rPr>
              <w:t>(</w:t>
            </w:r>
            <w:r w:rsidRPr="005D6A58">
              <w:rPr>
                <w:rFonts w:ascii="Times New Roman" w:hAnsi="Times New Roman" w:cs="Times New Roman"/>
              </w:rPr>
              <w:t>3.346</w:t>
            </w:r>
            <w:r>
              <w:rPr>
                <w:rFonts w:ascii="Times New Roman" w:hAnsi="Times New Roman" w:cs="Times New Roman"/>
              </w:rPr>
              <w:t>)</w:t>
            </w:r>
          </w:p>
        </w:tc>
      </w:tr>
      <w:tr w:rsidR="00B52DD2" w:rsidRPr="003F4BC8" w:rsidTr="00150C36">
        <w:trPr>
          <w:trHeight w:val="257"/>
        </w:trPr>
        <w:tc>
          <w:tcPr>
            <w:tcW w:w="2970" w:type="dxa"/>
          </w:tcPr>
          <w:p w:rsidR="00B52DD2" w:rsidRDefault="00B52DD2" w:rsidP="00150C36">
            <w:pPr>
              <w:spacing w:line="480" w:lineRule="auto"/>
              <w:rPr>
                <w:rFonts w:ascii="Times New Roman" w:hAnsi="Times New Roman" w:cs="Times New Roman"/>
              </w:rPr>
            </w:pPr>
            <w:r w:rsidRPr="003F4BC8">
              <w:rPr>
                <w:rFonts w:ascii="Times New Roman" w:hAnsi="Times New Roman" w:cs="Times New Roman"/>
              </w:rPr>
              <w:t>2 Elections after*</w:t>
            </w:r>
          </w:p>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Treatment Counties</w:t>
            </w:r>
          </w:p>
        </w:tc>
        <w:tc>
          <w:tcPr>
            <w:tcW w:w="1980" w:type="dxa"/>
          </w:tcPr>
          <w:p w:rsidR="00B52DD2"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4.191</w:t>
            </w:r>
          </w:p>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(4.410)</w:t>
            </w:r>
          </w:p>
        </w:tc>
        <w:tc>
          <w:tcPr>
            <w:tcW w:w="1980" w:type="dxa"/>
          </w:tcPr>
          <w:p w:rsidR="00B52DD2" w:rsidRDefault="00B52DD2" w:rsidP="00150C36">
            <w:pPr>
              <w:spacing w:line="480" w:lineRule="auto"/>
              <w:jc w:val="center"/>
              <w:rPr>
                <w:rFonts w:ascii="Times New Roman" w:hAnsi="Times New Roman" w:cs="Times New Roman"/>
              </w:rPr>
            </w:pPr>
            <w:r w:rsidRPr="003F4BC8">
              <w:rPr>
                <w:rFonts w:ascii="Times New Roman" w:hAnsi="Times New Roman" w:cs="Times New Roman"/>
              </w:rPr>
              <w:t>-3.806</w:t>
            </w:r>
          </w:p>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(4.202)</w:t>
            </w:r>
          </w:p>
        </w:tc>
        <w:tc>
          <w:tcPr>
            <w:tcW w:w="2340" w:type="dxa"/>
          </w:tcPr>
          <w:p w:rsidR="00B52DD2" w:rsidRDefault="00B52DD2" w:rsidP="00150C36">
            <w:pPr>
              <w:spacing w:line="480" w:lineRule="auto"/>
              <w:jc w:val="center"/>
              <w:rPr>
                <w:rFonts w:ascii="Times New Roman" w:hAnsi="Times New Roman" w:cs="Times New Roman"/>
              </w:rPr>
            </w:pPr>
            <w:r w:rsidRPr="005D6A58">
              <w:rPr>
                <w:rFonts w:ascii="Times New Roman" w:hAnsi="Times New Roman" w:cs="Times New Roman"/>
              </w:rPr>
              <w:t>4.879</w:t>
            </w:r>
          </w:p>
          <w:p w:rsidR="00B52DD2" w:rsidRPr="003F4BC8" w:rsidRDefault="00B52DD2" w:rsidP="00150C36">
            <w:pPr>
              <w:spacing w:line="480" w:lineRule="auto"/>
              <w:jc w:val="center"/>
              <w:rPr>
                <w:rFonts w:ascii="Times New Roman" w:hAnsi="Times New Roman" w:cs="Times New Roman"/>
              </w:rPr>
            </w:pPr>
            <w:r>
              <w:rPr>
                <w:rFonts w:ascii="Times New Roman" w:hAnsi="Times New Roman" w:cs="Times New Roman"/>
              </w:rPr>
              <w:t>(</w:t>
            </w:r>
            <w:r w:rsidRPr="005D6A58">
              <w:rPr>
                <w:rFonts w:ascii="Times New Roman" w:hAnsi="Times New Roman" w:cs="Times New Roman"/>
              </w:rPr>
              <w:t>3.367</w:t>
            </w:r>
            <w:r>
              <w:rPr>
                <w:rFonts w:ascii="Times New Roman" w:hAnsi="Times New Roman" w:cs="Times New Roman"/>
              </w:rPr>
              <w:t>)</w:t>
            </w:r>
          </w:p>
        </w:tc>
      </w:tr>
      <w:tr w:rsidR="00B52DD2" w:rsidRPr="003F4BC8" w:rsidTr="00150C36">
        <w:trPr>
          <w:trHeight w:val="257"/>
        </w:trPr>
        <w:tc>
          <w:tcPr>
            <w:tcW w:w="2970" w:type="dxa"/>
          </w:tcPr>
          <w:p w:rsidR="00B52DD2" w:rsidRDefault="00B52DD2" w:rsidP="00150C36">
            <w:pPr>
              <w:spacing w:line="480" w:lineRule="auto"/>
              <w:rPr>
                <w:rFonts w:ascii="Times New Roman" w:hAnsi="Times New Roman" w:cs="Times New Roman"/>
              </w:rPr>
            </w:pPr>
            <w:r w:rsidRPr="003F4BC8">
              <w:rPr>
                <w:rFonts w:ascii="Times New Roman" w:hAnsi="Times New Roman" w:cs="Times New Roman"/>
              </w:rPr>
              <w:t>3 Elections after*</w:t>
            </w:r>
          </w:p>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Treatment Counties</w:t>
            </w:r>
          </w:p>
        </w:tc>
        <w:tc>
          <w:tcPr>
            <w:tcW w:w="1980" w:type="dxa"/>
          </w:tcPr>
          <w:p w:rsidR="00B52DD2" w:rsidRDefault="00B52DD2" w:rsidP="00150C36">
            <w:pPr>
              <w:spacing w:line="480" w:lineRule="auto"/>
              <w:jc w:val="center"/>
              <w:rPr>
                <w:rFonts w:ascii="Times New Roman" w:hAnsi="Times New Roman" w:cs="Times New Roman"/>
              </w:rPr>
            </w:pPr>
            <w:r w:rsidRPr="003F4BC8">
              <w:rPr>
                <w:rFonts w:ascii="Times New Roman" w:hAnsi="Times New Roman" w:cs="Times New Roman"/>
              </w:rPr>
              <w:t>5.803</w:t>
            </w:r>
          </w:p>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(4.650)</w:t>
            </w:r>
          </w:p>
        </w:tc>
        <w:tc>
          <w:tcPr>
            <w:tcW w:w="1980" w:type="dxa"/>
          </w:tcPr>
          <w:p w:rsidR="00B52DD2"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-4.857</w:t>
            </w:r>
          </w:p>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(4.431)</w:t>
            </w:r>
          </w:p>
        </w:tc>
        <w:tc>
          <w:tcPr>
            <w:tcW w:w="2340" w:type="dxa"/>
          </w:tcPr>
          <w:p w:rsidR="00B52DD2" w:rsidRDefault="00B52DD2" w:rsidP="00150C36">
            <w:pPr>
              <w:spacing w:line="480" w:lineRule="auto"/>
              <w:jc w:val="center"/>
              <w:rPr>
                <w:rFonts w:ascii="Times New Roman" w:hAnsi="Times New Roman" w:cs="Times New Roman"/>
              </w:rPr>
            </w:pPr>
            <w:r w:rsidRPr="005D6A58">
              <w:rPr>
                <w:rFonts w:ascii="Times New Roman" w:hAnsi="Times New Roman" w:cs="Times New Roman"/>
              </w:rPr>
              <w:t>4.64</w:t>
            </w:r>
            <w:r>
              <w:rPr>
                <w:rFonts w:ascii="Times New Roman" w:hAnsi="Times New Roman" w:cs="Times New Roman"/>
              </w:rPr>
              <w:t>7</w:t>
            </w:r>
          </w:p>
          <w:p w:rsidR="00B52DD2" w:rsidRPr="003F4BC8" w:rsidRDefault="00B52DD2" w:rsidP="00150C36">
            <w:pPr>
              <w:spacing w:line="480" w:lineRule="auto"/>
              <w:jc w:val="center"/>
              <w:rPr>
                <w:rFonts w:ascii="Times New Roman" w:hAnsi="Times New Roman" w:cs="Times New Roman"/>
              </w:rPr>
            </w:pPr>
            <w:r>
              <w:rPr>
                <w:rFonts w:ascii="Times New Roman" w:hAnsi="Times New Roman" w:cs="Times New Roman"/>
              </w:rPr>
              <w:t>(</w:t>
            </w:r>
            <w:r w:rsidRPr="005D6A58">
              <w:rPr>
                <w:rFonts w:ascii="Times New Roman" w:hAnsi="Times New Roman" w:cs="Times New Roman"/>
              </w:rPr>
              <w:t>3.55</w:t>
            </w:r>
            <w:r>
              <w:rPr>
                <w:rFonts w:ascii="Times New Roman" w:hAnsi="Times New Roman" w:cs="Times New Roman"/>
              </w:rPr>
              <w:t>9)</w:t>
            </w:r>
          </w:p>
        </w:tc>
      </w:tr>
      <w:tr w:rsidR="00B52DD2" w:rsidRPr="003F4BC8" w:rsidTr="00150C36">
        <w:trPr>
          <w:trHeight w:val="257"/>
        </w:trPr>
        <w:tc>
          <w:tcPr>
            <w:tcW w:w="2970" w:type="dxa"/>
          </w:tcPr>
          <w:p w:rsidR="00B52DD2" w:rsidRDefault="00B52DD2" w:rsidP="00150C36">
            <w:pPr>
              <w:spacing w:line="480" w:lineRule="auto"/>
              <w:rPr>
                <w:rFonts w:ascii="Times New Roman" w:hAnsi="Times New Roman" w:cs="Times New Roman"/>
              </w:rPr>
            </w:pPr>
            <w:r w:rsidRPr="003F4BC8">
              <w:rPr>
                <w:rFonts w:ascii="Times New Roman" w:hAnsi="Times New Roman" w:cs="Times New Roman"/>
              </w:rPr>
              <w:t>4 Elections after*</w:t>
            </w:r>
          </w:p>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Treatment Counties</w:t>
            </w:r>
          </w:p>
        </w:tc>
        <w:tc>
          <w:tcPr>
            <w:tcW w:w="1980" w:type="dxa"/>
          </w:tcPr>
          <w:p w:rsidR="00B52DD2"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4.112</w:t>
            </w:r>
          </w:p>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(4.514)</w:t>
            </w:r>
          </w:p>
        </w:tc>
        <w:tc>
          <w:tcPr>
            <w:tcW w:w="1980" w:type="dxa"/>
          </w:tcPr>
          <w:p w:rsidR="00B52DD2" w:rsidRDefault="00B52DD2" w:rsidP="00150C36">
            <w:pPr>
              <w:spacing w:line="480" w:lineRule="auto"/>
              <w:jc w:val="center"/>
              <w:rPr>
                <w:rFonts w:ascii="Times New Roman" w:hAnsi="Times New Roman" w:cs="Times New Roman"/>
              </w:rPr>
            </w:pPr>
            <w:r w:rsidRPr="003F4BC8">
              <w:rPr>
                <w:rFonts w:ascii="Times New Roman" w:hAnsi="Times New Roman" w:cs="Times New Roman"/>
              </w:rPr>
              <w:t>-8.433</w:t>
            </w:r>
          </w:p>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(4.302)</w:t>
            </w:r>
          </w:p>
        </w:tc>
        <w:tc>
          <w:tcPr>
            <w:tcW w:w="2340" w:type="dxa"/>
          </w:tcPr>
          <w:p w:rsidR="00B52DD2" w:rsidRDefault="00B52DD2" w:rsidP="00150C36">
            <w:pPr>
              <w:spacing w:line="480" w:lineRule="auto"/>
              <w:jc w:val="center"/>
              <w:rPr>
                <w:rFonts w:ascii="Times New Roman" w:hAnsi="Times New Roman" w:cs="Times New Roman"/>
              </w:rPr>
            </w:pPr>
            <w:r w:rsidRPr="005D6A58">
              <w:rPr>
                <w:rFonts w:ascii="Times New Roman" w:hAnsi="Times New Roman" w:cs="Times New Roman"/>
              </w:rPr>
              <w:t>2.88</w:t>
            </w:r>
            <w:r>
              <w:rPr>
                <w:rFonts w:ascii="Times New Roman" w:hAnsi="Times New Roman" w:cs="Times New Roman"/>
              </w:rPr>
              <w:t>9</w:t>
            </w:r>
          </w:p>
          <w:p w:rsidR="00B52DD2" w:rsidRPr="003F4BC8" w:rsidRDefault="00B52DD2" w:rsidP="00150C36">
            <w:pPr>
              <w:spacing w:line="480" w:lineRule="auto"/>
              <w:jc w:val="center"/>
              <w:rPr>
                <w:rFonts w:ascii="Times New Roman" w:hAnsi="Times New Roman" w:cs="Times New Roman"/>
              </w:rPr>
            </w:pPr>
            <w:r>
              <w:rPr>
                <w:rFonts w:ascii="Times New Roman" w:hAnsi="Times New Roman" w:cs="Times New Roman"/>
              </w:rPr>
              <w:t>(</w:t>
            </w:r>
            <w:r w:rsidRPr="005D6A58">
              <w:rPr>
                <w:rFonts w:ascii="Times New Roman" w:hAnsi="Times New Roman" w:cs="Times New Roman"/>
              </w:rPr>
              <w:t>3.45</w:t>
            </w:r>
            <w:r>
              <w:rPr>
                <w:rFonts w:ascii="Times New Roman" w:hAnsi="Times New Roman" w:cs="Times New Roman"/>
              </w:rPr>
              <w:t>8)</w:t>
            </w:r>
          </w:p>
        </w:tc>
      </w:tr>
      <w:tr w:rsidR="00B52DD2" w:rsidRPr="003F4BC8" w:rsidTr="00150C36">
        <w:trPr>
          <w:trHeight w:val="302"/>
        </w:trPr>
        <w:tc>
          <w:tcPr>
            <w:tcW w:w="2970" w:type="dxa"/>
          </w:tcPr>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R-squared</w:t>
            </w:r>
          </w:p>
        </w:tc>
        <w:tc>
          <w:tcPr>
            <w:tcW w:w="198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0.042</w:t>
            </w:r>
          </w:p>
        </w:tc>
        <w:tc>
          <w:tcPr>
            <w:tcW w:w="198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0.073</w:t>
            </w:r>
          </w:p>
        </w:tc>
        <w:tc>
          <w:tcPr>
            <w:tcW w:w="2340" w:type="dxa"/>
          </w:tcPr>
          <w:p w:rsidR="00B52DD2" w:rsidRPr="003F4BC8" w:rsidRDefault="00B52DD2" w:rsidP="00150C36">
            <w:pPr>
              <w:spacing w:line="480" w:lineRule="auto"/>
              <w:jc w:val="center"/>
              <w:rPr>
                <w:rFonts w:ascii="Times New Roman" w:hAnsi="Times New Roman" w:cs="Times New Roman"/>
              </w:rPr>
            </w:pPr>
            <w:r w:rsidRPr="005D6A58">
              <w:rPr>
                <w:rFonts w:ascii="Times New Roman" w:hAnsi="Times New Roman" w:cs="Times New Roman"/>
              </w:rPr>
              <w:t>0.177</w:t>
            </w:r>
          </w:p>
        </w:tc>
      </w:tr>
      <w:tr w:rsidR="00B52DD2" w:rsidRPr="003F4BC8" w:rsidTr="00150C36">
        <w:trPr>
          <w:trHeight w:val="287"/>
        </w:trPr>
        <w:tc>
          <w:tcPr>
            <w:tcW w:w="2970" w:type="dxa"/>
          </w:tcPr>
          <w:p w:rsidR="00B52DD2" w:rsidRPr="003F4BC8" w:rsidRDefault="00B52DD2" w:rsidP="00150C36">
            <w:pPr>
              <w:spacing w:line="480" w:lineRule="auto"/>
              <w:rPr>
                <w:rFonts w:ascii="Times New Roman" w:hAnsi="Times New Roman" w:cs="Times New Roman"/>
              </w:rPr>
            </w:pPr>
            <w:r w:rsidRPr="003F4BC8">
              <w:rPr>
                <w:rFonts w:ascii="Times New Roman" w:hAnsi="Times New Roman" w:cs="Times New Roman"/>
              </w:rPr>
              <w:t>N</w:t>
            </w:r>
          </w:p>
        </w:tc>
        <w:tc>
          <w:tcPr>
            <w:tcW w:w="198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238</w:t>
            </w:r>
          </w:p>
        </w:tc>
        <w:tc>
          <w:tcPr>
            <w:tcW w:w="1980" w:type="dxa"/>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238</w:t>
            </w:r>
          </w:p>
        </w:tc>
        <w:tc>
          <w:tcPr>
            <w:tcW w:w="2340" w:type="dxa"/>
          </w:tcPr>
          <w:p w:rsidR="00B52DD2" w:rsidRPr="003F4BC8" w:rsidRDefault="00B52DD2" w:rsidP="00150C36">
            <w:pPr>
              <w:spacing w:line="480" w:lineRule="auto"/>
              <w:jc w:val="center"/>
              <w:rPr>
                <w:rFonts w:ascii="Times New Roman" w:hAnsi="Times New Roman" w:cs="Times New Roman"/>
              </w:rPr>
            </w:pPr>
            <w:r w:rsidRPr="005D6A58">
              <w:rPr>
                <w:rFonts w:ascii="Times New Roman" w:hAnsi="Times New Roman" w:cs="Times New Roman"/>
              </w:rPr>
              <w:t>170</w:t>
            </w:r>
          </w:p>
        </w:tc>
      </w:tr>
    </w:tbl>
    <w:p w:rsidR="00B52DD2" w:rsidRDefault="00B52DD2" w:rsidP="00B52DD2">
      <w:pPr>
        <w:pStyle w:val="NormalWeb"/>
        <w:spacing w:before="0" w:beforeAutospacing="0" w:after="0" w:afterAutospacing="0"/>
        <w:rPr>
          <w:color w:val="000000"/>
          <w:sz w:val="22"/>
          <w:szCs w:val="22"/>
        </w:rPr>
      </w:pPr>
      <w:r w:rsidRPr="003F4BC8">
        <w:rPr>
          <w:color w:val="000000"/>
          <w:sz w:val="22"/>
          <w:szCs w:val="22"/>
        </w:rPr>
        <w:t xml:space="preserve">Note: The reference year utilized in both models is the election year that has taken place two years before NWPA adoption. This is the baseline year to compare whether the treatment and control groups were significantly different in pre-treatment years. Standard errors in parentheses. Significant at * p &lt; 0.1; ** p &lt; 0.05; *** p &lt; 0.01 </w:t>
      </w:r>
    </w:p>
    <w:p w:rsidR="00B52DD2" w:rsidRDefault="00B52DD2" w:rsidP="00B52DD2">
      <w:pPr>
        <w:pStyle w:val="NormalWeb"/>
        <w:spacing w:before="0" w:beforeAutospacing="0" w:after="0" w:afterAutospacing="0"/>
        <w:rPr>
          <w:color w:val="000000"/>
          <w:sz w:val="22"/>
          <w:szCs w:val="22"/>
        </w:rPr>
      </w:pPr>
    </w:p>
    <w:p w:rsidR="00B52DD2" w:rsidRPr="003F4BC8" w:rsidRDefault="00B52DD2" w:rsidP="00B52DD2">
      <w:pPr>
        <w:pStyle w:val="NormalWeb"/>
        <w:spacing w:before="0" w:beforeAutospacing="0" w:after="0" w:afterAutospacing="0"/>
        <w:rPr>
          <w:color w:val="000000"/>
          <w:sz w:val="22"/>
          <w:szCs w:val="22"/>
        </w:rPr>
      </w:pPr>
    </w:p>
    <w:p w:rsidR="00B52DD2" w:rsidRPr="003F4BC8" w:rsidRDefault="00B52DD2" w:rsidP="00B52DD2">
      <w:pPr>
        <w:pStyle w:val="NoSpacing"/>
        <w:spacing w:line="480" w:lineRule="auto"/>
        <w:ind w:firstLine="432"/>
        <w:jc w:val="both"/>
      </w:pPr>
      <w:r w:rsidRPr="003F4BC8">
        <w:t>The results of the event study analyses summarized in Table 4-4 and figures 4-</w:t>
      </w:r>
      <w:r>
        <w:t>2</w:t>
      </w:r>
      <w:r w:rsidRPr="003F4BC8">
        <w:t xml:space="preserve"> and 4-</w:t>
      </w:r>
      <w:r>
        <w:t>3</w:t>
      </w:r>
      <w:r w:rsidRPr="003F4BC8">
        <w:t xml:space="preserve"> reveal that </w:t>
      </w:r>
      <w:r w:rsidRPr="00E86A60">
        <w:t>the enactment of NWPA is not associated with political outcomes for post-treatment years if we observe the results on year by year basis. Overall, these models suggest that among treatment counties, before 1982, the percent voting Democrat was higher than it was in the control counties</w:t>
      </w:r>
      <w:r>
        <w:t>.</w:t>
      </w:r>
      <w:r w:rsidRPr="003F4BC8">
        <w:rPr>
          <w:rStyle w:val="FootnoteReference"/>
        </w:rPr>
        <w:footnoteReference w:id="19"/>
      </w:r>
      <w:r>
        <w:t xml:space="preserve"> In addition, when we compare voting outcomes for Democratic versus Republican candidates, the model coefficients suggest increased support for Democratic candidates.</w:t>
      </w:r>
    </w:p>
    <w:p w:rsidR="00B52DD2" w:rsidRPr="0083060E" w:rsidRDefault="00B52DD2" w:rsidP="00B52DD2">
      <w:pPr>
        <w:pStyle w:val="NoSpacing"/>
        <w:jc w:val="center"/>
      </w:pPr>
      <w:r>
        <w:rPr>
          <w:noProof/>
        </w:rPr>
        <w:drawing>
          <wp:inline distT="0" distB="0" distL="0" distR="0" wp14:anchorId="65D6074E" wp14:editId="5EE32AFA">
            <wp:extent cx="5134351" cy="509320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wo Coef Plots_updated05.08.20.pdf"/>
                    <pic:cNvPicPr/>
                  </pic:nvPicPr>
                  <pic:blipFill rotWithShape="1">
                    <a:blip r:embed="rId27">
                      <a:extLst>
                        <a:ext uri="{28A0092B-C50C-407E-A947-70E740481C1C}">
                          <a14:useLocalDpi xmlns:a14="http://schemas.microsoft.com/office/drawing/2010/main" val="0"/>
                        </a:ext>
                      </a:extLst>
                    </a:blip>
                    <a:srcRect l="11385" t="8916" r="12612" b="32825"/>
                    <a:stretch/>
                  </pic:blipFill>
                  <pic:spPr bwMode="auto">
                    <a:xfrm>
                      <a:off x="0" y="0"/>
                      <a:ext cx="5189879" cy="5148291"/>
                    </a:xfrm>
                    <a:prstGeom prst="rect">
                      <a:avLst/>
                    </a:prstGeom>
                    <a:ln>
                      <a:noFill/>
                    </a:ln>
                    <a:extLst>
                      <a:ext uri="{53640926-AAD7-44D8-BBD7-CCE9431645EC}">
                        <a14:shadowObscured xmlns:a14="http://schemas.microsoft.com/office/drawing/2010/main"/>
                      </a:ext>
                    </a:extLst>
                  </pic:spPr>
                </pic:pic>
              </a:graphicData>
            </a:graphic>
          </wp:inline>
        </w:drawing>
      </w:r>
    </w:p>
    <w:p w:rsidR="00B52DD2" w:rsidRPr="003F4BC8" w:rsidRDefault="00B52DD2" w:rsidP="00B52DD2">
      <w:pPr>
        <w:spacing w:line="480" w:lineRule="auto"/>
        <w:ind w:firstLine="720"/>
        <w:jc w:val="center"/>
        <w:rPr>
          <w:rFonts w:ascii="Times New Roman" w:hAnsi="Times New Roman" w:cs="Times New Roman"/>
          <w:b/>
          <w:bCs/>
        </w:rPr>
      </w:pPr>
      <w:r w:rsidRPr="003F4BC8">
        <w:rPr>
          <w:rFonts w:ascii="Times New Roman" w:hAnsi="Times New Roman" w:cs="Times New Roman"/>
          <w:b/>
          <w:bCs/>
        </w:rPr>
        <w:lastRenderedPageBreak/>
        <w:t>Discussion and Conclusion</w:t>
      </w:r>
    </w:p>
    <w:p w:rsidR="00B52DD2" w:rsidRPr="00B713EA" w:rsidRDefault="00B52DD2" w:rsidP="00B52DD2">
      <w:pPr>
        <w:spacing w:line="480" w:lineRule="auto"/>
        <w:ind w:firstLine="720"/>
        <w:jc w:val="both"/>
        <w:rPr>
          <w:rFonts w:ascii="Times New Roman" w:hAnsi="Times New Roman" w:cs="Times New Roman"/>
        </w:rPr>
      </w:pPr>
      <w:r w:rsidRPr="00B713EA">
        <w:rPr>
          <w:rFonts w:ascii="Times New Roman" w:hAnsi="Times New Roman" w:cs="Times New Roman"/>
        </w:rPr>
        <w:t>In this chapter I leveraged the political science literature on issue identification and voting behavior with policy feedback theory to examine whether a highly contested local spent nuclear waste siting issue reshaped partisan positions and political engagement in the state of Nevada. While policy feedback theory claims that policies shape politics, the literature has yet to investigate the explanatory power of this theory in nuclear energy policy domain. Building on the issue position and policy feedback literatures, this inquiry analyzed the effect of NWPA on the political outcomes in a quasi-experimental design.</w:t>
      </w:r>
    </w:p>
    <w:p w:rsidR="00B52DD2" w:rsidRDefault="00B52DD2" w:rsidP="00B52DD2">
      <w:pPr>
        <w:spacing w:line="480" w:lineRule="auto"/>
        <w:ind w:firstLine="720"/>
        <w:jc w:val="both"/>
        <w:rPr>
          <w:rFonts w:ascii="Times New Roman" w:hAnsi="Times New Roman" w:cs="Times New Roman"/>
        </w:rPr>
      </w:pPr>
      <w:bookmarkStart w:id="3" w:name="OLE_LINK1"/>
      <w:bookmarkStart w:id="4" w:name="OLE_LINK2"/>
      <w:r w:rsidRPr="00B713EA">
        <w:rPr>
          <w:rFonts w:ascii="Times New Roman" w:hAnsi="Times New Roman" w:cs="Times New Roman"/>
        </w:rPr>
        <w:t xml:space="preserve">By employing a difference-in-differences research design I tested hypotheses on the likely effect of NWPA on voting behavior and civic engagement for presidential general elections across seventeen counties in Nevada from 1970s to 2016. </w:t>
      </w:r>
      <w:r w:rsidRPr="00B713EA">
        <w:rPr>
          <w:rFonts w:ascii="Times New Roman" w:eastAsiaTheme="minorEastAsia" w:hAnsi="Times New Roman" w:cs="Times New Roman"/>
        </w:rPr>
        <w:t xml:space="preserve">While we do know that NWPA was adopted in 1982 and amended in 1987, we assume that the effect of the policy on voting behavior will likely follow its adoptions. However, it might be possible that public resentment or reaction and thus effect of the policy was before its enactment when it was being discussed. </w:t>
      </w:r>
      <w:bookmarkEnd w:id="3"/>
      <w:bookmarkEnd w:id="4"/>
      <w:r w:rsidRPr="00B713EA">
        <w:rPr>
          <w:rFonts w:ascii="Times New Roman" w:eastAsiaTheme="minorEastAsia" w:hAnsi="Times New Roman" w:cs="Times New Roman"/>
        </w:rPr>
        <w:t xml:space="preserve">To make sure that these dynamic changes are revealed in the analyses I also employ an event-study or dynamic DID approach. The event study approach </w:t>
      </w:r>
      <w:r w:rsidRPr="00B713EA">
        <w:rPr>
          <w:rFonts w:ascii="Times New Roman" w:hAnsi="Times New Roman" w:cs="Times New Roman"/>
        </w:rPr>
        <w:t>reveals predominantly null findings on the likely effect of NWPA on treatment counties. However, it does show higher vote support for Democratic candidates pre-NWPA in treatment counties as compared to control counties.</w:t>
      </w:r>
    </w:p>
    <w:p w:rsidR="00B52DD2" w:rsidRDefault="00B52DD2" w:rsidP="00B52DD2">
      <w:pPr>
        <w:spacing w:line="480" w:lineRule="auto"/>
        <w:ind w:firstLine="720"/>
        <w:jc w:val="both"/>
        <w:rPr>
          <w:rFonts w:ascii="Times New Roman" w:hAnsi="Times New Roman" w:cs="Times New Roman"/>
        </w:rPr>
      </w:pPr>
      <w:r w:rsidRPr="00BD68BB">
        <w:rPr>
          <w:rFonts w:ascii="Times New Roman" w:hAnsi="Times New Roman" w:cs="Times New Roman"/>
        </w:rPr>
        <w:t xml:space="preserve">In this chapter I utilized two methods for testing hypotheses about the effect of NWPA on voting behavior in Nevada. By testing the hypotheses with DID approach I found enough evidence to support the claim that NWPA affects voting behavior in treatment counties in Nevada. In particular NWPA is associated with a 7 percentage point decrease in the likelihood of voting for the Democratic candidates and increase in voting for Republican candidates at the same rate. </w:t>
      </w:r>
      <w:r>
        <w:rPr>
          <w:rFonts w:ascii="Times New Roman" w:hAnsi="Times New Roman" w:cs="Times New Roman"/>
        </w:rPr>
        <w:t xml:space="preserve">It is </w:t>
      </w:r>
      <w:r>
        <w:rPr>
          <w:rFonts w:ascii="Times New Roman" w:hAnsi="Times New Roman" w:cs="Times New Roman"/>
        </w:rPr>
        <w:lastRenderedPageBreak/>
        <w:t>important to underscore, that the direction of these findings is opposite to what I expected. While I did expect to find a shift in voting behavior due to NWPA, I expected that shift to be in favor of the Democratic party at the expense of the Republican party due to their nuclear energy issue positions and Nevada’s local opposition to nuclear energy.</w:t>
      </w:r>
    </w:p>
    <w:p w:rsidR="00B52DD2" w:rsidRPr="00BD68BB" w:rsidRDefault="00B52DD2" w:rsidP="00B52DD2">
      <w:pPr>
        <w:spacing w:line="480" w:lineRule="auto"/>
        <w:ind w:firstLine="720"/>
        <w:jc w:val="both"/>
        <w:rPr>
          <w:rFonts w:ascii="Times New Roman" w:hAnsi="Times New Roman" w:cs="Times New Roman"/>
        </w:rPr>
      </w:pPr>
      <w:r>
        <w:rPr>
          <w:rFonts w:ascii="Times New Roman" w:hAnsi="Times New Roman" w:cs="Times New Roman"/>
        </w:rPr>
        <w:t>In addition, t</w:t>
      </w:r>
      <w:r w:rsidRPr="00BD68BB">
        <w:rPr>
          <w:rFonts w:ascii="Times New Roman" w:hAnsi="Times New Roman" w:cs="Times New Roman"/>
        </w:rPr>
        <w:t>he analysis found no support for hypothesis 2. Although presidential general elections draw the highest election turnout in general, many missing values for this outcome variable of interest might be one of the reasons for the consistency in insignificant coefficients in these models. Therefore, there seem to be no significant changes and variation in election turnout across all counties in Nevada.</w:t>
      </w:r>
    </w:p>
    <w:p w:rsidR="00B52DD2" w:rsidRPr="00BD68BB" w:rsidRDefault="00B52DD2" w:rsidP="00B52DD2">
      <w:pPr>
        <w:spacing w:line="480" w:lineRule="auto"/>
        <w:ind w:firstLine="720"/>
        <w:jc w:val="both"/>
        <w:rPr>
          <w:rFonts w:ascii="Times New Roman" w:hAnsi="Times New Roman" w:cs="Times New Roman"/>
          <w:color w:val="222222"/>
          <w:shd w:val="clear" w:color="auto" w:fill="FFFFFF"/>
        </w:rPr>
      </w:pPr>
      <w:r w:rsidRPr="00BD68BB">
        <w:rPr>
          <w:rFonts w:ascii="Times New Roman" w:hAnsi="Times New Roman" w:cs="Times New Roman"/>
        </w:rPr>
        <w:t xml:space="preserve">While DID approach is very helpful in identifying the effect of intervention on treatment group in comparison to control group, it also has strong assumptions about the effect of time of intervention (Angrist and Pischke 2009; Greene 2000). In this study I have identified 1982 enactment of the NWPA as the time effect. However, critiques of this approach offer utilizing an event study approach as a remedy against the assumption of the time of the treatment effect </w:t>
      </w:r>
      <w:r w:rsidRPr="00BD68BB">
        <w:rPr>
          <w:rFonts w:ascii="Times New Roman" w:hAnsi="Times New Roman" w:cs="Times New Roman"/>
          <w:color w:val="222222"/>
          <w:shd w:val="clear" w:color="auto" w:fill="FFFFFF"/>
        </w:rPr>
        <w:t>(Abraham and Sun2018). The results of the event study approach showed increased support for Democratic votes at the expense of the Republican votes. While these results substantively are in line with the expected effect of the policy, they have no statistical significance.</w:t>
      </w:r>
    </w:p>
    <w:p w:rsidR="00B52DD2" w:rsidRDefault="00B52DD2" w:rsidP="00B52DD2">
      <w:pPr>
        <w:spacing w:line="480" w:lineRule="auto"/>
        <w:ind w:firstLine="720"/>
        <w:jc w:val="both"/>
        <w:rPr>
          <w:rFonts w:ascii="Times New Roman" w:hAnsi="Times New Roman" w:cs="Times New Roman"/>
        </w:rPr>
      </w:pPr>
      <w:r w:rsidRPr="00BD68BB">
        <w:rPr>
          <w:rFonts w:ascii="Times New Roman" w:hAnsi="Times New Roman" w:cs="Times New Roman"/>
        </w:rPr>
        <w:t xml:space="preserve">Overall, the major finding and the implications of this study show that local policy preferences and concerns in the long run have the potential to reshape local political landscape by changing public ideological dispositions and shifting their partisan preferences. The study confirms that regional stigma and risk perceptions are at the root of local opposition to spent nuclear fuel disposal policy in Nevada (Jenkins-Smith 1993; Jenkins-Smith, Silva and Gupta </w:t>
      </w:r>
      <w:r w:rsidRPr="00BD68BB">
        <w:rPr>
          <w:rFonts w:ascii="Times New Roman" w:hAnsi="Times New Roman" w:cs="Times New Roman"/>
        </w:rPr>
        <w:lastRenderedPageBreak/>
        <w:t xml:space="preserve">2017). </w:t>
      </w:r>
      <w:r>
        <w:rPr>
          <w:rFonts w:ascii="Times New Roman" w:hAnsi="Times New Roman" w:cs="Times New Roman"/>
        </w:rPr>
        <w:t xml:space="preserve">However, due to this finding being in an unexpected direction of change, it might undermine the explanatory power of the </w:t>
      </w:r>
      <w:r w:rsidRPr="00BD68BB">
        <w:rPr>
          <w:rFonts w:ascii="Times New Roman" w:hAnsi="Times New Roman" w:cs="Times New Roman"/>
        </w:rPr>
        <w:t>issue orientation hypothesis</w:t>
      </w:r>
      <w:r>
        <w:rPr>
          <w:rFonts w:ascii="Times New Roman" w:hAnsi="Times New Roman" w:cs="Times New Roman"/>
        </w:rPr>
        <w:t xml:space="preserve">. </w:t>
      </w:r>
    </w:p>
    <w:p w:rsidR="00B52DD2" w:rsidRDefault="00B52DD2" w:rsidP="00B52DD2">
      <w:pPr>
        <w:spacing w:line="480" w:lineRule="auto"/>
        <w:ind w:firstLine="720"/>
        <w:jc w:val="both"/>
        <w:rPr>
          <w:rFonts w:ascii="Times New Roman" w:hAnsi="Times New Roman" w:cs="Times New Roman"/>
          <w:color w:val="222222"/>
          <w:shd w:val="clear" w:color="auto" w:fill="FFFFFF"/>
        </w:rPr>
      </w:pPr>
      <w:r>
        <w:rPr>
          <w:rFonts w:ascii="Times New Roman" w:hAnsi="Times New Roman" w:cs="Times New Roman"/>
        </w:rPr>
        <w:t>There are different competing explanations for this outcome. Some scholars argue that presidential voters are different from congressional voters and having voting behavior data from all previous 14 general presidential elections might be the reason for the unexpected outcome (</w:t>
      </w:r>
      <w:r w:rsidRPr="00B12774">
        <w:rPr>
          <w:rFonts w:ascii="Times New Roman" w:hAnsi="Times New Roman" w:cs="Times New Roman"/>
        </w:rPr>
        <w:t>McDonald</w:t>
      </w:r>
      <w:r>
        <w:rPr>
          <w:rFonts w:ascii="Times New Roman" w:hAnsi="Times New Roman" w:cs="Times New Roman"/>
        </w:rPr>
        <w:t xml:space="preserve"> </w:t>
      </w:r>
      <w:r w:rsidRPr="00B12774">
        <w:rPr>
          <w:rFonts w:ascii="Times New Roman" w:hAnsi="Times New Roman" w:cs="Times New Roman"/>
        </w:rPr>
        <w:t>2011</w:t>
      </w:r>
      <w:r>
        <w:rPr>
          <w:rFonts w:ascii="Times New Roman" w:hAnsi="Times New Roman" w:cs="Times New Roman"/>
        </w:rPr>
        <w:t xml:space="preserve">; </w:t>
      </w:r>
      <w:r w:rsidRPr="002A48E8">
        <w:rPr>
          <w:rFonts w:ascii="Times New Roman" w:hAnsi="Times New Roman" w:cs="Times New Roman"/>
          <w:color w:val="222222"/>
          <w:shd w:val="clear" w:color="auto" w:fill="FFFFFF"/>
        </w:rPr>
        <w:t>Wolfinger, Rosenstone</w:t>
      </w:r>
      <w:r>
        <w:rPr>
          <w:rFonts w:ascii="Times New Roman" w:hAnsi="Times New Roman" w:cs="Times New Roman"/>
          <w:color w:val="222222"/>
          <w:shd w:val="clear" w:color="auto" w:fill="FFFFFF"/>
        </w:rPr>
        <w:t xml:space="preserve"> and</w:t>
      </w:r>
      <w:r w:rsidRPr="002A48E8">
        <w:rPr>
          <w:rFonts w:ascii="Times New Roman" w:hAnsi="Times New Roman" w:cs="Times New Roman"/>
          <w:color w:val="222222"/>
          <w:shd w:val="clear" w:color="auto" w:fill="FFFFFF"/>
        </w:rPr>
        <w:t xml:space="preserve"> McIntosh</w:t>
      </w:r>
      <w:r>
        <w:rPr>
          <w:rFonts w:ascii="Times New Roman" w:hAnsi="Times New Roman" w:cs="Times New Roman"/>
          <w:color w:val="222222"/>
          <w:shd w:val="clear" w:color="auto" w:fill="FFFFFF"/>
        </w:rPr>
        <w:t xml:space="preserve"> </w:t>
      </w:r>
      <w:r w:rsidRPr="002A48E8">
        <w:rPr>
          <w:rFonts w:ascii="Times New Roman" w:hAnsi="Times New Roman" w:cs="Times New Roman"/>
          <w:color w:val="222222"/>
          <w:shd w:val="clear" w:color="auto" w:fill="FFFFFF"/>
        </w:rPr>
        <w:t>1981).</w:t>
      </w:r>
      <w:r>
        <w:rPr>
          <w:rFonts w:ascii="Times New Roman" w:hAnsi="Times New Roman" w:cs="Times New Roman"/>
          <w:color w:val="222222"/>
          <w:shd w:val="clear" w:color="auto" w:fill="FFFFFF"/>
        </w:rPr>
        <w:t xml:space="preserve"> The counter-argument to this point is the explanation that those differences are mostly in their demographic characteristics and affect election turnout. Those differences also  distinguish voters from non-voters. However, it is difficult to assess whether the demographic differences in turnout between congressional and presidential elections would affect the outcome to that extent. A potential avenue for exploration is also a look into higher turnout and its effect on Democratic candidates (</w:t>
      </w:r>
      <w:r w:rsidRPr="00B8168F">
        <w:rPr>
          <w:rFonts w:ascii="Times New Roman" w:hAnsi="Times New Roman" w:cs="Times New Roman"/>
          <w:color w:val="222222"/>
          <w:shd w:val="clear" w:color="auto" w:fill="FFFFFF"/>
        </w:rPr>
        <w:t>Tucker</w:t>
      </w:r>
      <w:r>
        <w:rPr>
          <w:rFonts w:ascii="Times New Roman" w:hAnsi="Times New Roman" w:cs="Times New Roman"/>
          <w:color w:val="222222"/>
          <w:shd w:val="clear" w:color="auto" w:fill="FFFFFF"/>
        </w:rPr>
        <w:t xml:space="preserve"> et al. </w:t>
      </w:r>
      <w:r w:rsidRPr="00B8168F">
        <w:rPr>
          <w:rFonts w:ascii="Times New Roman" w:hAnsi="Times New Roman" w:cs="Times New Roman"/>
          <w:color w:val="222222"/>
          <w:shd w:val="clear" w:color="auto" w:fill="FFFFFF"/>
        </w:rPr>
        <w:t>1986</w:t>
      </w:r>
      <w:r>
        <w:rPr>
          <w:rFonts w:ascii="Times New Roman" w:hAnsi="Times New Roman" w:cs="Times New Roman"/>
          <w:color w:val="222222"/>
          <w:shd w:val="clear" w:color="auto" w:fill="FFFFFF"/>
        </w:rPr>
        <w:t xml:space="preserve">; </w:t>
      </w:r>
      <w:r w:rsidRPr="00B8168F">
        <w:rPr>
          <w:rFonts w:ascii="Times New Roman" w:hAnsi="Times New Roman" w:cs="Times New Roman"/>
          <w:color w:val="222222"/>
          <w:shd w:val="clear" w:color="auto" w:fill="FFFFFF"/>
        </w:rPr>
        <w:t>Radcliff</w:t>
      </w:r>
      <w:r>
        <w:rPr>
          <w:rFonts w:ascii="Times New Roman" w:hAnsi="Times New Roman" w:cs="Times New Roman"/>
          <w:color w:val="222222"/>
          <w:shd w:val="clear" w:color="auto" w:fill="FFFFFF"/>
        </w:rPr>
        <w:t xml:space="preserve"> </w:t>
      </w:r>
      <w:r w:rsidRPr="00B8168F">
        <w:rPr>
          <w:rFonts w:ascii="Times New Roman" w:hAnsi="Times New Roman" w:cs="Times New Roman"/>
          <w:color w:val="222222"/>
          <w:shd w:val="clear" w:color="auto" w:fill="FFFFFF"/>
        </w:rPr>
        <w:t>1994</w:t>
      </w:r>
      <w:r>
        <w:rPr>
          <w:rFonts w:ascii="Times New Roman" w:hAnsi="Times New Roman" w:cs="Times New Roman"/>
          <w:color w:val="222222"/>
          <w:shd w:val="clear" w:color="auto" w:fill="FFFFFF"/>
        </w:rPr>
        <w:t xml:space="preserve">; </w:t>
      </w:r>
      <w:r w:rsidRPr="00B8168F">
        <w:rPr>
          <w:rFonts w:ascii="Times New Roman" w:hAnsi="Times New Roman" w:cs="Times New Roman"/>
          <w:color w:val="222222"/>
          <w:shd w:val="clear" w:color="auto" w:fill="FFFFFF"/>
        </w:rPr>
        <w:t>Grofman</w:t>
      </w:r>
      <w:r>
        <w:rPr>
          <w:rFonts w:ascii="Times New Roman" w:hAnsi="Times New Roman" w:cs="Times New Roman"/>
          <w:color w:val="222222"/>
          <w:shd w:val="clear" w:color="auto" w:fill="FFFFFF"/>
        </w:rPr>
        <w:t xml:space="preserve"> et al. </w:t>
      </w:r>
      <w:r w:rsidRPr="00B8168F">
        <w:rPr>
          <w:rFonts w:ascii="Times New Roman" w:hAnsi="Times New Roman" w:cs="Times New Roman"/>
          <w:color w:val="222222"/>
          <w:shd w:val="clear" w:color="auto" w:fill="FFFFFF"/>
        </w:rPr>
        <w:t>1999</w:t>
      </w:r>
      <w:r>
        <w:rPr>
          <w:rFonts w:ascii="Times New Roman" w:hAnsi="Times New Roman" w:cs="Times New Roman"/>
          <w:color w:val="222222"/>
          <w:shd w:val="clear" w:color="auto" w:fill="FFFFFF"/>
        </w:rPr>
        <w:t xml:space="preserve">; </w:t>
      </w:r>
      <w:r w:rsidRPr="00B8168F">
        <w:rPr>
          <w:rFonts w:ascii="Times New Roman" w:hAnsi="Times New Roman" w:cs="Times New Roman"/>
          <w:color w:val="222222"/>
          <w:shd w:val="clear" w:color="auto" w:fill="FFFFFF"/>
        </w:rPr>
        <w:t>Martinez</w:t>
      </w:r>
      <w:r>
        <w:rPr>
          <w:rFonts w:ascii="Times New Roman" w:hAnsi="Times New Roman" w:cs="Times New Roman"/>
          <w:color w:val="222222"/>
          <w:shd w:val="clear" w:color="auto" w:fill="FFFFFF"/>
        </w:rPr>
        <w:t xml:space="preserve"> and </w:t>
      </w:r>
      <w:r w:rsidRPr="00B8168F">
        <w:rPr>
          <w:rFonts w:ascii="Times New Roman" w:hAnsi="Times New Roman" w:cs="Times New Roman"/>
          <w:color w:val="222222"/>
          <w:shd w:val="clear" w:color="auto" w:fill="FFFFFF"/>
        </w:rPr>
        <w:t>Gill</w:t>
      </w:r>
      <w:r>
        <w:rPr>
          <w:rFonts w:ascii="Times New Roman" w:hAnsi="Times New Roman" w:cs="Times New Roman"/>
          <w:color w:val="222222"/>
          <w:shd w:val="clear" w:color="auto" w:fill="FFFFFF"/>
        </w:rPr>
        <w:t xml:space="preserve"> </w:t>
      </w:r>
      <w:r w:rsidRPr="00B8168F">
        <w:rPr>
          <w:rFonts w:ascii="Times New Roman" w:hAnsi="Times New Roman" w:cs="Times New Roman"/>
          <w:color w:val="222222"/>
          <w:shd w:val="clear" w:color="auto" w:fill="FFFFFF"/>
        </w:rPr>
        <w:t>2005).</w:t>
      </w:r>
    </w:p>
    <w:p w:rsidR="00B52DD2" w:rsidRDefault="00B52DD2" w:rsidP="00B52DD2">
      <w:pPr>
        <w:spacing w:line="480" w:lineRule="auto"/>
        <w:ind w:firstLine="720"/>
        <w:jc w:val="both"/>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Another potential explanation for the findings being in the opposite direction can be the rebuttal of the issue orientation hypothesis and the confirmation of the party identification hypothesis (</w:t>
      </w:r>
      <w:r w:rsidRPr="007E1061">
        <w:rPr>
          <w:rFonts w:ascii="Times New Roman" w:hAnsi="Times New Roman" w:cs="Times New Roman"/>
          <w:color w:val="222222"/>
          <w:shd w:val="clear" w:color="auto" w:fill="FFFFFF"/>
        </w:rPr>
        <w:t>Levendusky 2009).</w:t>
      </w:r>
      <w:r>
        <w:rPr>
          <w:rFonts w:ascii="Times New Roman" w:hAnsi="Times New Roman" w:cs="Times New Roman"/>
          <w:color w:val="222222"/>
          <w:shd w:val="clear" w:color="auto" w:fill="FFFFFF"/>
        </w:rPr>
        <w:t xml:space="preserve"> One might argue that voting preferences and behavior are formulated mostly by individual’s political socialization and their socio-identification group. This argument especially gets traction if we consider recent population growth in the state of Nevada and population migration to the Sun Belt region. Population changes can significantly impact the outcome of elections in opposite direction as newly settled residents of Nevada would not share the historical opposition and contempt toward one party or another due to NWPA.</w:t>
      </w:r>
    </w:p>
    <w:p w:rsidR="00B52DD2" w:rsidRDefault="00B52DD2" w:rsidP="00B52DD2">
      <w:pPr>
        <w:spacing w:line="480" w:lineRule="auto"/>
        <w:ind w:firstLine="720"/>
        <w:jc w:val="both"/>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From the methodological standpoint, my theory suggests a systematic level of analysis. A major limitation of this data is the scarcity of observations after policy 1 and before policy 2 (there </w:t>
      </w:r>
      <w:r>
        <w:rPr>
          <w:rFonts w:ascii="Times New Roman" w:hAnsi="Times New Roman" w:cs="Times New Roman"/>
          <w:color w:val="222222"/>
          <w:shd w:val="clear" w:color="auto" w:fill="FFFFFF"/>
        </w:rPr>
        <w:lastRenderedPageBreak/>
        <w:t>is only 1 election between those two). A further robust analysis would entail using NWPA of 1885 and its 1987 revision separately in two different models.</w:t>
      </w:r>
    </w:p>
    <w:p w:rsidR="00B52DD2" w:rsidRPr="00BD68BB" w:rsidRDefault="00B52DD2" w:rsidP="00B52DD2">
      <w:pPr>
        <w:spacing w:line="480" w:lineRule="auto"/>
        <w:ind w:firstLine="720"/>
        <w:jc w:val="both"/>
        <w:rPr>
          <w:rFonts w:ascii="Times New Roman" w:hAnsi="Times New Roman" w:cs="Times New Roman"/>
        </w:rPr>
      </w:pPr>
      <w:r>
        <w:rPr>
          <w:rFonts w:ascii="Times New Roman" w:hAnsi="Times New Roman" w:cs="Times New Roman"/>
          <w:color w:val="222222"/>
          <w:shd w:val="clear" w:color="auto" w:fill="FFFFFF"/>
        </w:rPr>
        <w:t xml:space="preserve">While </w:t>
      </w:r>
      <w:r w:rsidRPr="00BD68BB">
        <w:rPr>
          <w:rFonts w:ascii="Times New Roman" w:hAnsi="Times New Roman" w:cs="Times New Roman"/>
        </w:rPr>
        <w:t>th</w:t>
      </w:r>
      <w:r>
        <w:rPr>
          <w:rFonts w:ascii="Times New Roman" w:hAnsi="Times New Roman" w:cs="Times New Roman"/>
        </w:rPr>
        <w:t>is</w:t>
      </w:r>
      <w:r w:rsidRPr="00BD68BB">
        <w:rPr>
          <w:rFonts w:ascii="Times New Roman" w:hAnsi="Times New Roman" w:cs="Times New Roman"/>
        </w:rPr>
        <w:t xml:space="preserve"> study is a demonstration of policies feeding back into the political environment and reformulating the distribution and shape of that environment</w:t>
      </w:r>
      <w:r>
        <w:rPr>
          <w:rFonts w:ascii="Times New Roman" w:hAnsi="Times New Roman" w:cs="Times New Roman"/>
        </w:rPr>
        <w:t xml:space="preserve">, it has also other limitations. </w:t>
      </w:r>
      <w:r w:rsidRPr="00BD68BB">
        <w:rPr>
          <w:rFonts w:ascii="Times New Roman" w:hAnsi="Times New Roman" w:cs="Times New Roman"/>
        </w:rPr>
        <w:t>The inferences drawn from this analys</w:t>
      </w:r>
      <w:r>
        <w:rPr>
          <w:rFonts w:ascii="Times New Roman" w:hAnsi="Times New Roman" w:cs="Times New Roman"/>
        </w:rPr>
        <w:t>e</w:t>
      </w:r>
      <w:r w:rsidRPr="00BD68BB">
        <w:rPr>
          <w:rFonts w:ascii="Times New Roman" w:hAnsi="Times New Roman" w:cs="Times New Roman"/>
        </w:rPr>
        <w:t xml:space="preserve">s are based on general presidential elections utilizing county level data. </w:t>
      </w:r>
      <w:r>
        <w:rPr>
          <w:rFonts w:ascii="Times New Roman" w:hAnsi="Times New Roman" w:cs="Times New Roman"/>
        </w:rPr>
        <w:t xml:space="preserve">If we recall, there are merely 17 counties in Nevada. </w:t>
      </w:r>
      <w:r w:rsidRPr="00BD68BB">
        <w:rPr>
          <w:rFonts w:ascii="Times New Roman" w:hAnsi="Times New Roman" w:cs="Times New Roman"/>
        </w:rPr>
        <w:t xml:space="preserve">The analysis would be more robust if the models could utilize precinct level data. </w:t>
      </w:r>
      <w:r>
        <w:rPr>
          <w:rFonts w:ascii="Times New Roman" w:hAnsi="Times New Roman" w:cs="Times New Roman"/>
        </w:rPr>
        <w:t xml:space="preserve">The data points will multiply and the big standard error will probably shrink after increasing the sample size of the observations. </w:t>
      </w:r>
      <w:r w:rsidRPr="00BD68BB">
        <w:rPr>
          <w:rFonts w:ascii="Times New Roman" w:hAnsi="Times New Roman" w:cs="Times New Roman"/>
        </w:rPr>
        <w:t xml:space="preserve">This is something that I intend to pursue in a follow up study. Yet another limitation is the absence of sufficiently nuanced control variables to capture important features for the local political context. In future work I will be adding measures of local economic and political trends as time-variant contextual factors to address this. </w:t>
      </w:r>
      <w:r>
        <w:rPr>
          <w:rFonts w:ascii="Times New Roman" w:hAnsi="Times New Roman" w:cs="Times New Roman"/>
        </w:rPr>
        <w:t xml:space="preserve">If the results of this analysis hold after addressing all these issues, a follow up qualitative study with focus group format will help determine the reasons for changing voting behavior in an unexpected direction. </w:t>
      </w:r>
      <w:r w:rsidRPr="00BD68BB">
        <w:rPr>
          <w:rFonts w:ascii="Times New Roman" w:hAnsi="Times New Roman" w:cs="Times New Roman"/>
        </w:rPr>
        <w:t>My future research will also investigate whether the NWPA has also impacted voting behavior in other local elections – for example, around the sites that had been candidates for a nuclear waste repository in the 1982 Act but were withdrawn in the 1987 amendments.</w:t>
      </w:r>
    </w:p>
    <w:p w:rsidR="00B52DD2" w:rsidRPr="00BD68BB" w:rsidRDefault="00B52DD2" w:rsidP="00B52DD2">
      <w:pPr>
        <w:spacing w:line="480" w:lineRule="auto"/>
        <w:jc w:val="both"/>
        <w:rPr>
          <w:rFonts w:ascii="Times New Roman" w:hAnsi="Times New Roman" w:cs="Times New Roman"/>
        </w:rPr>
      </w:pPr>
      <w:r w:rsidRPr="00BD68BB">
        <w:rPr>
          <w:rFonts w:ascii="Times New Roman" w:hAnsi="Times New Roman" w:cs="Times New Roman"/>
        </w:rPr>
        <w:br w:type="page"/>
      </w:r>
    </w:p>
    <w:p w:rsidR="00B52DD2" w:rsidRPr="003F4BC8" w:rsidRDefault="00B52DD2" w:rsidP="00B52DD2">
      <w:pPr>
        <w:spacing w:line="480" w:lineRule="auto"/>
        <w:jc w:val="both"/>
        <w:rPr>
          <w:rFonts w:ascii="Times New Roman" w:hAnsi="Times New Roman" w:cs="Times New Roman"/>
        </w:rPr>
      </w:pPr>
      <w:r w:rsidRPr="003F4BC8">
        <w:rPr>
          <w:rFonts w:ascii="Times New Roman" w:hAnsi="Times New Roman" w:cs="Times New Roman"/>
          <w:b/>
          <w:bCs/>
        </w:rPr>
        <w:lastRenderedPageBreak/>
        <w:t>Figure 4-A1.</w:t>
      </w:r>
      <w:r w:rsidRPr="003F4BC8">
        <w:rPr>
          <w:rFonts w:ascii="Times New Roman" w:hAnsi="Times New Roman" w:cs="Times New Roman"/>
        </w:rPr>
        <w:t xml:space="preserve"> The Map of the State of Nevada with NWPA Affected Counties</w:t>
      </w:r>
    </w:p>
    <w:p w:rsidR="00B52DD2" w:rsidRPr="003F4BC8" w:rsidRDefault="00B52DD2" w:rsidP="00B52DD2">
      <w:pPr>
        <w:jc w:val="both"/>
        <w:rPr>
          <w:rFonts w:ascii="Times New Roman" w:hAnsi="Times New Roman" w:cs="Times New Roman"/>
        </w:rPr>
      </w:pPr>
      <w:r w:rsidRPr="003F4BC8">
        <w:rPr>
          <w:rFonts w:ascii="Times New Roman" w:hAnsi="Times New Roman" w:cs="Times New Roman"/>
          <w:noProof/>
        </w:rPr>
        <w:drawing>
          <wp:inline distT="0" distB="0" distL="0" distR="0" wp14:anchorId="4BF4AB63" wp14:editId="045FC465">
            <wp:extent cx="4748403" cy="5969999"/>
            <wp:effectExtent l="0" t="0" r="1905" b="0"/>
            <wp:docPr id="9" name="Picture 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4-28 at 1.35.17 AM.png"/>
                    <pic:cNvPicPr/>
                  </pic:nvPicPr>
                  <pic:blipFill>
                    <a:blip r:embed="rId28">
                      <a:extLst>
                        <a:ext uri="{28A0092B-C50C-407E-A947-70E740481C1C}">
                          <a14:useLocalDpi xmlns:a14="http://schemas.microsoft.com/office/drawing/2010/main" val="0"/>
                        </a:ext>
                      </a:extLst>
                    </a:blip>
                    <a:stretch>
                      <a:fillRect/>
                    </a:stretch>
                  </pic:blipFill>
                  <pic:spPr>
                    <a:xfrm>
                      <a:off x="0" y="0"/>
                      <a:ext cx="4803655" cy="6039465"/>
                    </a:xfrm>
                    <a:prstGeom prst="rect">
                      <a:avLst/>
                    </a:prstGeom>
                  </pic:spPr>
                </pic:pic>
              </a:graphicData>
            </a:graphic>
          </wp:inline>
        </w:drawing>
      </w:r>
    </w:p>
    <w:p w:rsidR="00B52DD2" w:rsidRPr="003F4BC8" w:rsidRDefault="00B52DD2" w:rsidP="00B52DD2">
      <w:pPr>
        <w:jc w:val="both"/>
        <w:rPr>
          <w:rFonts w:ascii="Times New Roman" w:hAnsi="Times New Roman" w:cs="Times New Roman"/>
          <w:sz w:val="22"/>
          <w:szCs w:val="22"/>
        </w:rPr>
      </w:pPr>
      <w:r w:rsidRPr="003F4BC8">
        <w:rPr>
          <w:rFonts w:ascii="Times New Roman" w:hAnsi="Times New Roman" w:cs="Times New Roman"/>
          <w:sz w:val="22"/>
          <w:szCs w:val="22"/>
        </w:rPr>
        <w:t>Source: The source of this map is Eureka County Yucca Mountain Information Office, 2019.</w:t>
      </w:r>
    </w:p>
    <w:p w:rsidR="00B52DD2" w:rsidRPr="003F4BC8" w:rsidRDefault="00B52DD2" w:rsidP="00B52DD2">
      <w:pPr>
        <w:rPr>
          <w:rFonts w:ascii="Times New Roman" w:hAnsi="Times New Roman" w:cs="Times New Roman"/>
          <w:sz w:val="22"/>
          <w:szCs w:val="22"/>
        </w:rPr>
      </w:pPr>
      <w:r w:rsidRPr="003F4BC8">
        <w:rPr>
          <w:rFonts w:ascii="Times New Roman" w:hAnsi="Times New Roman" w:cs="Times New Roman"/>
          <w:sz w:val="22"/>
          <w:szCs w:val="22"/>
        </w:rPr>
        <w:br w:type="page"/>
      </w:r>
    </w:p>
    <w:p w:rsidR="00B52DD2" w:rsidRPr="003F4BC8" w:rsidRDefault="00B52DD2" w:rsidP="00B52DD2">
      <w:pPr>
        <w:spacing w:line="480" w:lineRule="auto"/>
        <w:jc w:val="center"/>
        <w:rPr>
          <w:rFonts w:ascii="Times New Roman" w:hAnsi="Times New Roman" w:cs="Times New Roman"/>
        </w:rPr>
      </w:pPr>
      <w:r w:rsidRPr="003F4BC8">
        <w:rPr>
          <w:rFonts w:ascii="Times New Roman" w:hAnsi="Times New Roman" w:cs="Times New Roman"/>
          <w:b/>
          <w:bCs/>
        </w:rPr>
        <w:lastRenderedPageBreak/>
        <w:t>Table 4-B1.</w:t>
      </w:r>
      <w:r w:rsidRPr="003F4BC8">
        <w:rPr>
          <w:rFonts w:ascii="Times New Roman" w:hAnsi="Times New Roman" w:cs="Times New Roman"/>
        </w:rPr>
        <w:t xml:space="preserve"> The Effect of NWPA of 1987 on Voting Behavior and Election Turnout in Geographically Affected Counties, Non-Affected Ones as Controls</w:t>
      </w:r>
    </w:p>
    <w:tbl>
      <w:tblPr>
        <w:tblStyle w:val="TableGrid"/>
        <w:tblpPr w:leftFromText="180" w:rightFromText="180" w:vertAnchor="text" w:horzAnchor="margin" w:tblpXSpec="center" w:tblpY="18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2065"/>
        <w:gridCol w:w="2050"/>
        <w:gridCol w:w="2166"/>
      </w:tblGrid>
      <w:tr w:rsidR="00B52DD2" w:rsidRPr="003F4BC8" w:rsidTr="00150C36">
        <w:trPr>
          <w:trHeight w:val="306"/>
        </w:trPr>
        <w:tc>
          <w:tcPr>
            <w:tcW w:w="2970" w:type="dxa"/>
            <w:tcBorders>
              <w:top w:val="single" w:sz="12" w:space="0" w:color="auto"/>
              <w:bottom w:val="single" w:sz="4" w:space="0" w:color="auto"/>
            </w:tcBorders>
          </w:tcPr>
          <w:p w:rsidR="00B52DD2" w:rsidRPr="003F4BC8" w:rsidRDefault="00B52DD2" w:rsidP="00150C36">
            <w:pPr>
              <w:spacing w:line="480" w:lineRule="auto"/>
              <w:rPr>
                <w:rFonts w:ascii="Times New Roman" w:hAnsi="Times New Roman" w:cs="Times New Roman"/>
                <w:color w:val="000000"/>
              </w:rPr>
            </w:pPr>
          </w:p>
        </w:tc>
        <w:tc>
          <w:tcPr>
            <w:tcW w:w="2065" w:type="dxa"/>
            <w:tcBorders>
              <w:top w:val="single" w:sz="12" w:space="0" w:color="auto"/>
              <w:bottom w:val="single" w:sz="4"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Voted Democrat</w:t>
            </w:r>
          </w:p>
        </w:tc>
        <w:tc>
          <w:tcPr>
            <w:tcW w:w="2050" w:type="dxa"/>
            <w:tcBorders>
              <w:top w:val="single" w:sz="12" w:space="0" w:color="auto"/>
              <w:bottom w:val="single" w:sz="4"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Voted Republican</w:t>
            </w:r>
          </w:p>
        </w:tc>
        <w:tc>
          <w:tcPr>
            <w:tcW w:w="2166" w:type="dxa"/>
            <w:tcBorders>
              <w:top w:val="single" w:sz="12" w:space="0" w:color="auto"/>
              <w:bottom w:val="single" w:sz="4" w:space="0" w:color="auto"/>
            </w:tcBorders>
          </w:tcPr>
          <w:p w:rsidR="00B52DD2" w:rsidRPr="003F4BC8" w:rsidRDefault="00B52DD2" w:rsidP="00150C36">
            <w:pPr>
              <w:spacing w:line="480" w:lineRule="auto"/>
              <w:jc w:val="center"/>
              <w:rPr>
                <w:rFonts w:ascii="Times New Roman" w:hAnsi="Times New Roman" w:cs="Times New Roman"/>
              </w:rPr>
            </w:pPr>
            <w:r w:rsidRPr="003F4BC8">
              <w:rPr>
                <w:rFonts w:ascii="Times New Roman" w:hAnsi="Times New Roman" w:cs="Times New Roman"/>
              </w:rPr>
              <w:t>Election Turnout</w:t>
            </w:r>
          </w:p>
        </w:tc>
      </w:tr>
      <w:tr w:rsidR="00B52DD2" w:rsidRPr="003F4BC8" w:rsidTr="00150C36">
        <w:trPr>
          <w:trHeight w:val="306"/>
        </w:trPr>
        <w:tc>
          <w:tcPr>
            <w:tcW w:w="2970" w:type="dxa"/>
            <w:tcBorders>
              <w:top w:val="single" w:sz="4" w:space="0" w:color="auto"/>
            </w:tcBorders>
          </w:tcPr>
          <w:p w:rsidR="00B52DD2" w:rsidRPr="003F4BC8" w:rsidRDefault="00B52DD2" w:rsidP="00150C36">
            <w:pPr>
              <w:spacing w:line="480" w:lineRule="auto"/>
              <w:rPr>
                <w:rFonts w:ascii="Times New Roman" w:hAnsi="Times New Roman" w:cs="Times New Roman"/>
                <w:color w:val="000000"/>
              </w:rPr>
            </w:pPr>
            <w:r w:rsidRPr="003F4BC8">
              <w:rPr>
                <w:rFonts w:ascii="Times New Roman" w:hAnsi="Times New Roman" w:cs="Times New Roman"/>
              </w:rPr>
              <w:t>Treatment Counties</w:t>
            </w:r>
          </w:p>
        </w:tc>
        <w:tc>
          <w:tcPr>
            <w:tcW w:w="2065" w:type="dxa"/>
            <w:tcBorders>
              <w:top w:val="single" w:sz="4" w:space="0" w:color="auto"/>
            </w:tcBorders>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3.339</w:t>
            </w:r>
          </w:p>
        </w:tc>
        <w:tc>
          <w:tcPr>
            <w:tcW w:w="2050" w:type="dxa"/>
            <w:tcBorders>
              <w:top w:val="single" w:sz="4" w:space="0" w:color="auto"/>
            </w:tcBorders>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-4.041</w:t>
            </w:r>
          </w:p>
        </w:tc>
        <w:tc>
          <w:tcPr>
            <w:tcW w:w="2166" w:type="dxa"/>
            <w:tcBorders>
              <w:top w:val="single" w:sz="4" w:space="0" w:color="auto"/>
            </w:tcBorders>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-0.655</w:t>
            </w:r>
          </w:p>
        </w:tc>
      </w:tr>
      <w:tr w:rsidR="00B52DD2" w:rsidRPr="003F4BC8" w:rsidTr="00150C36">
        <w:trPr>
          <w:trHeight w:val="325"/>
        </w:trPr>
        <w:tc>
          <w:tcPr>
            <w:tcW w:w="2970" w:type="dxa"/>
          </w:tcPr>
          <w:p w:rsidR="00B52DD2" w:rsidRPr="003F4BC8" w:rsidRDefault="00B52DD2" w:rsidP="00150C36">
            <w:pPr>
              <w:spacing w:line="480" w:lineRule="auto"/>
              <w:rPr>
                <w:rFonts w:ascii="Times New Roman" w:hAnsi="Times New Roman" w:cs="Times New Roman"/>
                <w:color w:val="000000"/>
              </w:rPr>
            </w:pPr>
          </w:p>
        </w:tc>
        <w:tc>
          <w:tcPr>
            <w:tcW w:w="2065"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(2.222)</w:t>
            </w:r>
          </w:p>
        </w:tc>
        <w:tc>
          <w:tcPr>
            <w:tcW w:w="205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(2.508)</w:t>
            </w:r>
          </w:p>
        </w:tc>
        <w:tc>
          <w:tcPr>
            <w:tcW w:w="2166"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(2.369)</w:t>
            </w:r>
          </w:p>
        </w:tc>
      </w:tr>
      <w:tr w:rsidR="00B52DD2" w:rsidRPr="003F4BC8" w:rsidTr="00150C36">
        <w:trPr>
          <w:trHeight w:val="306"/>
        </w:trPr>
        <w:tc>
          <w:tcPr>
            <w:tcW w:w="2970" w:type="dxa"/>
          </w:tcPr>
          <w:p w:rsidR="00B52DD2" w:rsidRPr="003F4BC8" w:rsidRDefault="00B52DD2" w:rsidP="00150C36">
            <w:pPr>
              <w:spacing w:line="480" w:lineRule="auto"/>
              <w:rPr>
                <w:rFonts w:ascii="Times New Roman" w:hAnsi="Times New Roman" w:cs="Times New Roman"/>
                <w:color w:val="000000"/>
              </w:rPr>
            </w:pPr>
            <w:r w:rsidRPr="003F4BC8">
              <w:rPr>
                <w:rFonts w:ascii="Times New Roman" w:hAnsi="Times New Roman" w:cs="Times New Roman"/>
              </w:rPr>
              <w:t>Post-NWPA</w:t>
            </w:r>
          </w:p>
        </w:tc>
        <w:tc>
          <w:tcPr>
            <w:tcW w:w="2065"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-1.522</w:t>
            </w:r>
          </w:p>
        </w:tc>
        <w:tc>
          <w:tcPr>
            <w:tcW w:w="205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-2.653</w:t>
            </w:r>
          </w:p>
        </w:tc>
        <w:tc>
          <w:tcPr>
            <w:tcW w:w="2166"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-2.103</w:t>
            </w:r>
          </w:p>
        </w:tc>
      </w:tr>
      <w:tr w:rsidR="00B52DD2" w:rsidRPr="003F4BC8" w:rsidTr="00150C36">
        <w:trPr>
          <w:trHeight w:val="306"/>
        </w:trPr>
        <w:tc>
          <w:tcPr>
            <w:tcW w:w="2970" w:type="dxa"/>
          </w:tcPr>
          <w:p w:rsidR="00B52DD2" w:rsidRPr="003F4BC8" w:rsidRDefault="00B52DD2" w:rsidP="00150C36">
            <w:pPr>
              <w:spacing w:line="480" w:lineRule="auto"/>
              <w:rPr>
                <w:rFonts w:ascii="Times New Roman" w:hAnsi="Times New Roman" w:cs="Times New Roman"/>
                <w:color w:val="000000"/>
              </w:rPr>
            </w:pPr>
          </w:p>
        </w:tc>
        <w:tc>
          <w:tcPr>
            <w:tcW w:w="2065"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(2.139)</w:t>
            </w:r>
          </w:p>
        </w:tc>
        <w:tc>
          <w:tcPr>
            <w:tcW w:w="205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(2.414)</w:t>
            </w:r>
          </w:p>
        </w:tc>
        <w:tc>
          <w:tcPr>
            <w:tcW w:w="2166"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(1.927)</w:t>
            </w:r>
          </w:p>
        </w:tc>
      </w:tr>
      <w:tr w:rsidR="00B52DD2" w:rsidRPr="003F4BC8" w:rsidTr="00150C36">
        <w:trPr>
          <w:trHeight w:val="325"/>
        </w:trPr>
        <w:tc>
          <w:tcPr>
            <w:tcW w:w="2970" w:type="dxa"/>
          </w:tcPr>
          <w:p w:rsidR="00B52DD2" w:rsidRPr="003F4BC8" w:rsidRDefault="00B52DD2" w:rsidP="00150C36">
            <w:pPr>
              <w:spacing w:line="480" w:lineRule="auto"/>
              <w:rPr>
                <w:rFonts w:ascii="Times New Roman" w:hAnsi="Times New Roman" w:cs="Times New Roman"/>
                <w:color w:val="000000"/>
              </w:rPr>
            </w:pPr>
            <w:r w:rsidRPr="003F4BC8">
              <w:rPr>
                <w:rFonts w:ascii="Times New Roman" w:hAnsi="Times New Roman" w:cs="Times New Roman"/>
              </w:rPr>
              <w:t>Post-NWPA x  Treatment</w:t>
            </w:r>
          </w:p>
        </w:tc>
        <w:tc>
          <w:tcPr>
            <w:tcW w:w="2065"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-7.117**</w:t>
            </w:r>
          </w:p>
        </w:tc>
        <w:tc>
          <w:tcPr>
            <w:tcW w:w="205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7.047**</w:t>
            </w:r>
          </w:p>
        </w:tc>
        <w:tc>
          <w:tcPr>
            <w:tcW w:w="2166"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-2.413</w:t>
            </w:r>
          </w:p>
        </w:tc>
      </w:tr>
      <w:tr w:rsidR="00B52DD2" w:rsidRPr="003F4BC8" w:rsidTr="00150C36">
        <w:trPr>
          <w:trHeight w:val="306"/>
        </w:trPr>
        <w:tc>
          <w:tcPr>
            <w:tcW w:w="2970" w:type="dxa"/>
          </w:tcPr>
          <w:p w:rsidR="00B52DD2" w:rsidRPr="003F4BC8" w:rsidRDefault="00B52DD2" w:rsidP="00150C36">
            <w:pPr>
              <w:spacing w:line="480" w:lineRule="auto"/>
              <w:rPr>
                <w:rFonts w:ascii="Times New Roman" w:hAnsi="Times New Roman" w:cs="Times New Roman"/>
                <w:color w:val="000000"/>
              </w:rPr>
            </w:pPr>
          </w:p>
        </w:tc>
        <w:tc>
          <w:tcPr>
            <w:tcW w:w="2065"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(2.939)</w:t>
            </w:r>
          </w:p>
        </w:tc>
        <w:tc>
          <w:tcPr>
            <w:tcW w:w="205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(3.318)</w:t>
            </w:r>
          </w:p>
        </w:tc>
        <w:tc>
          <w:tcPr>
            <w:tcW w:w="2166"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(2.649)</w:t>
            </w:r>
          </w:p>
        </w:tc>
      </w:tr>
      <w:tr w:rsidR="00B52DD2" w:rsidRPr="003F4BC8" w:rsidTr="00150C36">
        <w:trPr>
          <w:trHeight w:val="325"/>
        </w:trPr>
        <w:tc>
          <w:tcPr>
            <w:tcW w:w="2970" w:type="dxa"/>
          </w:tcPr>
          <w:p w:rsidR="00B52DD2" w:rsidRPr="003F4BC8" w:rsidRDefault="00B52DD2" w:rsidP="00150C36">
            <w:pPr>
              <w:spacing w:line="480" w:lineRule="auto"/>
              <w:rPr>
                <w:rFonts w:ascii="Times New Roman" w:hAnsi="Times New Roman" w:cs="Times New Roman"/>
                <w:color w:val="000000"/>
              </w:rPr>
            </w:pPr>
            <w:r w:rsidRPr="003F4BC8">
              <w:rPr>
                <w:rFonts w:ascii="Times New Roman" w:hAnsi="Times New Roman" w:cs="Times New Roman"/>
                <w:color w:val="000000"/>
              </w:rPr>
              <w:t>R-squared</w:t>
            </w:r>
          </w:p>
        </w:tc>
        <w:tc>
          <w:tcPr>
            <w:tcW w:w="2065"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0.076</w:t>
            </w:r>
          </w:p>
        </w:tc>
        <w:tc>
          <w:tcPr>
            <w:tcW w:w="2050"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0.021</w:t>
            </w:r>
          </w:p>
        </w:tc>
        <w:tc>
          <w:tcPr>
            <w:tcW w:w="2166" w:type="dxa"/>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0.074</w:t>
            </w:r>
          </w:p>
        </w:tc>
      </w:tr>
      <w:tr w:rsidR="00B52DD2" w:rsidRPr="003F4BC8" w:rsidTr="00150C36">
        <w:trPr>
          <w:trHeight w:val="306"/>
        </w:trPr>
        <w:tc>
          <w:tcPr>
            <w:tcW w:w="2970" w:type="dxa"/>
            <w:tcBorders>
              <w:bottom w:val="single" w:sz="12" w:space="0" w:color="auto"/>
            </w:tcBorders>
          </w:tcPr>
          <w:p w:rsidR="00B52DD2" w:rsidRPr="003F4BC8" w:rsidRDefault="00B52DD2" w:rsidP="00150C36">
            <w:pPr>
              <w:spacing w:line="480" w:lineRule="auto"/>
              <w:rPr>
                <w:rFonts w:ascii="Times New Roman" w:hAnsi="Times New Roman" w:cs="Times New Roman"/>
                <w:color w:val="000000"/>
              </w:rPr>
            </w:pPr>
            <w:r w:rsidRPr="003F4BC8">
              <w:rPr>
                <w:rFonts w:ascii="Times New Roman" w:hAnsi="Times New Roman" w:cs="Times New Roman"/>
                <w:color w:val="000000"/>
              </w:rPr>
              <w:t>N</w:t>
            </w:r>
          </w:p>
        </w:tc>
        <w:tc>
          <w:tcPr>
            <w:tcW w:w="2065" w:type="dxa"/>
            <w:tcBorders>
              <w:bottom w:val="single" w:sz="12" w:space="0" w:color="auto"/>
            </w:tcBorders>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238</w:t>
            </w:r>
          </w:p>
        </w:tc>
        <w:tc>
          <w:tcPr>
            <w:tcW w:w="2050" w:type="dxa"/>
            <w:tcBorders>
              <w:bottom w:val="single" w:sz="12" w:space="0" w:color="auto"/>
            </w:tcBorders>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238</w:t>
            </w:r>
          </w:p>
        </w:tc>
        <w:tc>
          <w:tcPr>
            <w:tcW w:w="2166" w:type="dxa"/>
            <w:tcBorders>
              <w:bottom w:val="single" w:sz="12" w:space="0" w:color="auto"/>
            </w:tcBorders>
          </w:tcPr>
          <w:p w:rsidR="00B52DD2" w:rsidRPr="003F4BC8" w:rsidRDefault="00B52DD2" w:rsidP="00150C36">
            <w:pPr>
              <w:spacing w:line="480" w:lineRule="auto"/>
              <w:jc w:val="center"/>
              <w:rPr>
                <w:rFonts w:ascii="Times New Roman" w:hAnsi="Times New Roman" w:cs="Times New Roman"/>
                <w:color w:val="000000"/>
              </w:rPr>
            </w:pPr>
            <w:r w:rsidRPr="003F4BC8">
              <w:rPr>
                <w:rFonts w:ascii="Times New Roman" w:hAnsi="Times New Roman" w:cs="Times New Roman"/>
                <w:color w:val="000000"/>
              </w:rPr>
              <w:t>170</w:t>
            </w:r>
          </w:p>
        </w:tc>
      </w:tr>
    </w:tbl>
    <w:p w:rsidR="00B52DD2" w:rsidRPr="003F4BC8" w:rsidRDefault="00B52DD2" w:rsidP="00B52DD2">
      <w:pPr>
        <w:pStyle w:val="NormalWeb"/>
        <w:spacing w:line="480" w:lineRule="auto"/>
      </w:pPr>
      <w:r w:rsidRPr="003F4BC8">
        <w:rPr>
          <w:sz w:val="20"/>
          <w:szCs w:val="20"/>
        </w:rPr>
        <w:t xml:space="preserve">Note: Models include covariates and time fixed effects. Significant at * p &lt; 0.1; ** p &lt; 0.05; *** p &lt; 0.01 </w:t>
      </w:r>
    </w:p>
    <w:p w:rsidR="00B52DD2" w:rsidRPr="003F4BC8" w:rsidRDefault="00B52DD2" w:rsidP="00B52DD2">
      <w:pPr>
        <w:spacing w:line="480" w:lineRule="auto"/>
        <w:rPr>
          <w:rFonts w:ascii="Times New Roman" w:hAnsi="Times New Roman" w:cs="Times New Roman"/>
          <w:sz w:val="22"/>
          <w:szCs w:val="22"/>
        </w:rPr>
      </w:pPr>
      <w:r w:rsidRPr="003F4BC8">
        <w:rPr>
          <w:rFonts w:ascii="Times New Roman" w:hAnsi="Times New Roman" w:cs="Times New Roman"/>
          <w:sz w:val="22"/>
          <w:szCs w:val="22"/>
        </w:rPr>
        <w:br w:type="page"/>
      </w:r>
    </w:p>
    <w:p w:rsidR="00B52DD2" w:rsidRPr="003F4BC8" w:rsidRDefault="00B52DD2" w:rsidP="00B52DD2">
      <w:pPr>
        <w:spacing w:line="480" w:lineRule="auto"/>
        <w:jc w:val="center"/>
        <w:rPr>
          <w:rFonts w:ascii="Times New Roman" w:hAnsi="Times New Roman" w:cs="Times New Roman"/>
        </w:rPr>
      </w:pPr>
      <w:r w:rsidRPr="003F4BC8">
        <w:rPr>
          <w:rFonts w:ascii="Times New Roman" w:hAnsi="Times New Roman" w:cs="Times New Roman"/>
          <w:b/>
          <w:bCs/>
        </w:rPr>
        <w:lastRenderedPageBreak/>
        <w:t>Figure 4-C1.</w:t>
      </w:r>
      <w:r w:rsidRPr="003F4BC8">
        <w:rPr>
          <w:rFonts w:ascii="Times New Roman" w:hAnsi="Times New Roman" w:cs="Times New Roman"/>
        </w:rPr>
        <w:t xml:space="preserve"> </w:t>
      </w:r>
      <w:r w:rsidRPr="003F4BC8">
        <w:rPr>
          <w:rFonts w:ascii="Times New Roman" w:hAnsi="Times New Roman" w:cs="Times New Roman"/>
          <w:color w:val="000000"/>
        </w:rPr>
        <w:t xml:space="preserve">Coefficient Plot for </w:t>
      </w:r>
      <w:r w:rsidRPr="003F4BC8">
        <w:rPr>
          <w:rFonts w:ascii="Times New Roman" w:hAnsi="Times New Roman" w:cs="Times New Roman"/>
        </w:rPr>
        <w:t>Event-Study</w:t>
      </w:r>
      <w:r w:rsidRPr="003F4BC8">
        <w:rPr>
          <w:rFonts w:ascii="Times New Roman" w:hAnsi="Times New Roman" w:cs="Times New Roman"/>
          <w:color w:val="000000"/>
        </w:rPr>
        <w:t xml:space="preserve"> Model Testing the </w:t>
      </w:r>
      <w:r w:rsidRPr="003F4BC8">
        <w:rPr>
          <w:rFonts w:ascii="Times New Roman" w:hAnsi="Times New Roman" w:cs="Times New Roman"/>
        </w:rPr>
        <w:t>Effect of NWPA on Election Turnout</w:t>
      </w:r>
    </w:p>
    <w:p w:rsidR="00B52DD2" w:rsidRPr="003F4BC8" w:rsidRDefault="00B52DD2" w:rsidP="00B52DD2">
      <w:pPr>
        <w:jc w:val="both"/>
        <w:rPr>
          <w:rFonts w:ascii="Times New Roman" w:hAnsi="Times New Roman" w:cs="Times New Roman"/>
        </w:rPr>
      </w:pPr>
    </w:p>
    <w:p w:rsidR="00B52DD2" w:rsidRPr="003F4BC8" w:rsidRDefault="00B52DD2" w:rsidP="00B52DD2">
      <w:pPr>
        <w:jc w:val="center"/>
        <w:rPr>
          <w:rFonts w:ascii="Times New Roman" w:hAnsi="Times New Roman" w:cs="Times New Roman"/>
        </w:rPr>
      </w:pPr>
      <w:r w:rsidRPr="003F4BC8">
        <w:rPr>
          <w:rFonts w:ascii="Times New Roman" w:hAnsi="Times New Roman" w:cs="Times New Roman"/>
          <w:noProof/>
        </w:rPr>
        <w:drawing>
          <wp:inline distT="0" distB="0" distL="0" distR="0" wp14:anchorId="68FDF87B" wp14:editId="723283D0">
            <wp:extent cx="5667214" cy="2660904"/>
            <wp:effectExtent l="0" t="0" r="0" b="6350"/>
            <wp:docPr id="10" name="Picture 10" descr="A picture containing object, antenna, full,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ventStudyTurnout.png"/>
                    <pic:cNvPicPr/>
                  </pic:nvPicPr>
                  <pic:blipFill>
                    <a:blip r:embed="rId29">
                      <a:extLst>
                        <a:ext uri="{28A0092B-C50C-407E-A947-70E740481C1C}">
                          <a14:useLocalDpi xmlns:a14="http://schemas.microsoft.com/office/drawing/2010/main" val="0"/>
                        </a:ext>
                      </a:extLst>
                    </a:blip>
                    <a:stretch>
                      <a:fillRect/>
                    </a:stretch>
                  </pic:blipFill>
                  <pic:spPr>
                    <a:xfrm>
                      <a:off x="0" y="0"/>
                      <a:ext cx="5765033" cy="2706832"/>
                    </a:xfrm>
                    <a:prstGeom prst="rect">
                      <a:avLst/>
                    </a:prstGeom>
                  </pic:spPr>
                </pic:pic>
              </a:graphicData>
            </a:graphic>
          </wp:inline>
        </w:drawing>
      </w:r>
    </w:p>
    <w:p w:rsidR="00B52DD2" w:rsidRPr="003F4BC8" w:rsidRDefault="00B52DD2" w:rsidP="00B52DD2">
      <w:pPr>
        <w:rPr>
          <w:rFonts w:ascii="Times New Roman" w:hAnsi="Times New Roman" w:cs="Times New Roman"/>
        </w:rPr>
      </w:pPr>
      <w:r w:rsidRPr="003F4BC8">
        <w:rPr>
          <w:rFonts w:ascii="Times New Roman" w:hAnsi="Times New Roman" w:cs="Times New Roman"/>
        </w:rPr>
        <w:br w:type="page"/>
      </w:r>
    </w:p>
    <w:p w:rsidR="00B52DD2" w:rsidRPr="00506EE4" w:rsidRDefault="00B52DD2" w:rsidP="00B52DD2">
      <w:pPr>
        <w:spacing w:line="480" w:lineRule="auto"/>
        <w:rPr>
          <w:rFonts w:ascii="Times New Roman" w:hAnsi="Times New Roman" w:cs="Times New Roman"/>
          <w:b/>
          <w:bCs/>
          <w:sz w:val="36"/>
          <w:szCs w:val="36"/>
        </w:rPr>
      </w:pPr>
      <w:r w:rsidRPr="00506EE4">
        <w:rPr>
          <w:rFonts w:ascii="Times New Roman" w:hAnsi="Times New Roman" w:cs="Times New Roman"/>
          <w:b/>
          <w:bCs/>
          <w:sz w:val="36"/>
          <w:szCs w:val="36"/>
        </w:rPr>
        <w:lastRenderedPageBreak/>
        <w:t>Chapter 5. Nuclear Impasse: The Cultural Bias in Support for Carbon-Free Energy Sources</w:t>
      </w:r>
    </w:p>
    <w:p w:rsidR="00B52DD2" w:rsidRPr="003F4BC8" w:rsidRDefault="00B52DD2" w:rsidP="00B52DD2">
      <w:pPr>
        <w:pStyle w:val="p1"/>
        <w:spacing w:line="480" w:lineRule="auto"/>
        <w:jc w:val="center"/>
        <w:rPr>
          <w:rFonts w:ascii="Times New Roman" w:hAnsi="Times New Roman"/>
          <w:sz w:val="24"/>
          <w:szCs w:val="24"/>
        </w:rPr>
      </w:pPr>
      <w:r w:rsidRPr="003F4BC8">
        <w:rPr>
          <w:rFonts w:ascii="Times New Roman" w:hAnsi="Times New Roman"/>
          <w:b/>
          <w:bCs/>
          <w:sz w:val="24"/>
          <w:szCs w:val="24"/>
        </w:rPr>
        <w:t>Abstract</w:t>
      </w:r>
    </w:p>
    <w:p w:rsidR="00B52DD2" w:rsidRPr="003F4BC8" w:rsidRDefault="00B52DD2" w:rsidP="00B52DD2">
      <w:pPr>
        <w:pStyle w:val="p1"/>
        <w:spacing w:line="480" w:lineRule="auto"/>
        <w:ind w:firstLine="432"/>
        <w:rPr>
          <w:rFonts w:ascii="Times New Roman" w:hAnsi="Times New Roman"/>
          <w:sz w:val="24"/>
          <w:szCs w:val="24"/>
        </w:rPr>
      </w:pPr>
      <w:r w:rsidRPr="003F4BC8">
        <w:rPr>
          <w:rFonts w:ascii="Times New Roman" w:hAnsi="Times New Roman"/>
          <w:sz w:val="24"/>
          <w:szCs w:val="24"/>
        </w:rPr>
        <w:t>Beliefs about climate change vary widely among members of the American public, including whether the climate is changing, what is causing it, and what humans can do (or should do) to combat its effects. Some policy elites and environmentalists have argued that nuclear energy – as the largest source of carbon-free energy in the US – will be an essential bridge in the shift to renewable energy, while others have maintained strong opposition to it. Using data from a nationwide Internet surveys including over 2000 American adults, I explore the relationship between beliefs about global warming and support for nuclear energy among members of the broader US public. Further, I investigate whether political ideology, cultural worldviews and other demographic characteristics underlie the differences among environmentalists over the future role of nuclear energy. The findings reveal that individuals who are more concerned with global warming tend to prefer energy coming from renewable sources rather than nuclear.</w:t>
      </w:r>
    </w:p>
    <w:p w:rsidR="00B52DD2" w:rsidRPr="003F4BC8" w:rsidRDefault="00B52DD2" w:rsidP="00B52DD2">
      <w:pPr>
        <w:pStyle w:val="p1"/>
        <w:spacing w:line="480" w:lineRule="auto"/>
        <w:jc w:val="center"/>
        <w:rPr>
          <w:rFonts w:ascii="Times New Roman" w:hAnsi="Times New Roman"/>
          <w:sz w:val="24"/>
          <w:szCs w:val="24"/>
        </w:rPr>
      </w:pPr>
    </w:p>
    <w:p w:rsidR="00B52DD2" w:rsidRPr="003F4BC8" w:rsidRDefault="00B52DD2" w:rsidP="00B52DD2">
      <w:pPr>
        <w:spacing w:line="480" w:lineRule="auto"/>
        <w:rPr>
          <w:rFonts w:ascii="Times New Roman" w:hAnsi="Times New Roman" w:cs="Times New Roman"/>
          <w:b/>
          <w:bCs/>
        </w:rPr>
      </w:pPr>
      <w:r w:rsidRPr="003F4BC8">
        <w:rPr>
          <w:rFonts w:ascii="Times New Roman" w:hAnsi="Times New Roman" w:cs="Times New Roman"/>
          <w:b/>
          <w:bCs/>
        </w:rPr>
        <w:t>Introduction</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 xml:space="preserve">Historically most of the consumption of energy in USA has originated from fossil fuels. In 2017, in line with these historic trends US primary energy production combined from three major fossil fuels was about 77.6% (petroleum 28%, natural gas 31.8% and coal 17.8%) with a 4% decline from 2016. Only 12.7% of energy production originated form renewable energy sources and only 9.6% from nuclear electric power (EIA 2017). While historic trends of energy consumption in USA show fossil fuels as major production source, starting from 1950s there were </w:t>
      </w:r>
      <w:r w:rsidRPr="003F4BC8">
        <w:rPr>
          <w:rFonts w:ascii="Times New Roman" w:hAnsi="Times New Roman" w:cs="Times New Roman"/>
        </w:rPr>
        <w:lastRenderedPageBreak/>
        <w:t>some emerging trends of searching alternative sources of energy. These trends have gradually increased because of the ecological consequences resulting from the consumption of fossil fuels (EIA 2017).</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Alarming discussions about the transportation and other fossil fuel combustion, inverse effects of coal surface mining, instances of petroleum and chemical spills in U.S. waters add to the concern for reducing the emission of pollutants (</w:t>
      </w:r>
      <w:r w:rsidRPr="003F4BC8">
        <w:rPr>
          <w:rFonts w:ascii="Times New Roman" w:eastAsia="Times New Roman" w:hAnsi="Times New Roman" w:cs="Times New Roman"/>
        </w:rPr>
        <w:t xml:space="preserve">Verweij 2011; </w:t>
      </w:r>
      <w:r w:rsidRPr="003F4BC8">
        <w:rPr>
          <w:rFonts w:ascii="Times New Roman" w:hAnsi="Times New Roman" w:cs="Times New Roman"/>
        </w:rPr>
        <w:t>Lynas 2013). It is well known that fossil fuels are a major pollutant that add carbon dioxide to the environment and create greenhouse gasses in the atmosphere (Lynas 2013). It is for this reason that recent policy debates both in government and private sector have focused on searching alternative energy sources as a solution to the climate change problem (</w:t>
      </w:r>
      <w:r w:rsidRPr="003F4BC8">
        <w:rPr>
          <w:rFonts w:ascii="Times New Roman" w:eastAsia="Times New Roman" w:hAnsi="Times New Roman" w:cs="Times New Roman"/>
        </w:rPr>
        <w:t xml:space="preserve">Verweij 2011; </w:t>
      </w:r>
      <w:r w:rsidRPr="003F4BC8">
        <w:rPr>
          <w:rFonts w:ascii="Times New Roman" w:hAnsi="Times New Roman" w:cs="Times New Roman"/>
        </w:rPr>
        <w:t>Lynas 2013). With emerging concerns about global climate change major policy makers and environmental activists have focused their attention to the nuclear solution to fight climate change.</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In this paper, we are interested to test whether the shift towards nuclear energy among environmental elites and policy makers is also apparent among broader public. We also explore whether beliefs about climate change influence public preferences for nuclear energy sources as a solution to climate change among some cultural and ideological subgroups of population. Using original data from a representative survey of 2000 American adults we explore the ways in which preferences for nuclear energy are influenced by individuals cultural worldview or political ideology.</w:t>
      </w:r>
    </w:p>
    <w:p w:rsidR="00B52DD2" w:rsidRPr="003F4BC8" w:rsidRDefault="00B52DD2" w:rsidP="00B52DD2">
      <w:pPr>
        <w:spacing w:line="480" w:lineRule="auto"/>
        <w:rPr>
          <w:rFonts w:ascii="Times New Roman" w:hAnsi="Times New Roman" w:cs="Times New Roman"/>
          <w:b/>
          <w:bCs/>
        </w:rPr>
      </w:pPr>
      <w:r w:rsidRPr="003F4BC8">
        <w:rPr>
          <w:rFonts w:ascii="Times New Roman" w:hAnsi="Times New Roman" w:cs="Times New Roman"/>
          <w:b/>
          <w:bCs/>
        </w:rPr>
        <w:t>Previous Literature</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From 1980s many resources were invested towards building infrastructure for renewable energy sources in developed Western European counties (</w:t>
      </w:r>
      <w:r w:rsidRPr="003F4BC8">
        <w:rPr>
          <w:rFonts w:ascii="Times New Roman" w:eastAsia="Times New Roman" w:hAnsi="Times New Roman" w:cs="Times New Roman"/>
        </w:rPr>
        <w:t>Verweij 2011)</w:t>
      </w:r>
      <w:r w:rsidRPr="003F4BC8">
        <w:rPr>
          <w:rFonts w:ascii="Times New Roman" w:hAnsi="Times New Roman" w:cs="Times New Roman"/>
        </w:rPr>
        <w:t xml:space="preserve">. Nuclear power plants were closed down due to the fear of accidents. However, there are some difficulties connected with </w:t>
      </w:r>
      <w:r w:rsidRPr="003F4BC8">
        <w:rPr>
          <w:rFonts w:ascii="Times New Roman" w:hAnsi="Times New Roman" w:cs="Times New Roman"/>
        </w:rPr>
        <w:lastRenderedPageBreak/>
        <w:t>renewable energy production. First, specific geographic and ecological conditions are necessary for renewable energy production (Clemmit 2011). Second, when it became clear that renewable energy sources do not have the potential to provide energy sufficient enough to cover all consumption demands, it resulted in “</w:t>
      </w:r>
      <w:r w:rsidRPr="003F4BC8">
        <w:rPr>
          <w:rFonts w:ascii="Times New Roman" w:eastAsia="Times New Roman" w:hAnsi="Times New Roman" w:cs="Times New Roman"/>
        </w:rPr>
        <w:t xml:space="preserve">unleashing the renewable revolution” (Verweij 2011, p. 25). Many developed countries, like Germany and the UK, including USA have turned to coal to satisfy the needs of energy consumption while harming the environment and intensifying the speed of global warming </w:t>
      </w:r>
      <w:r w:rsidRPr="003F4BC8">
        <w:rPr>
          <w:rFonts w:ascii="Times New Roman" w:hAnsi="Times New Roman" w:cs="Times New Roman"/>
        </w:rPr>
        <w:t xml:space="preserve">(Lynas 2013, </w:t>
      </w:r>
      <w:r w:rsidRPr="003F4BC8">
        <w:rPr>
          <w:rFonts w:ascii="Times New Roman" w:eastAsia="Times New Roman" w:hAnsi="Times New Roman" w:cs="Times New Roman"/>
        </w:rPr>
        <w:t>Jenkins, Nordhaus &amp; Shellenberger 2011).</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 xml:space="preserve">Seeing these developments environmental activities, scientists, and policy makers have come to consider nuclear energy as a solution to global climate change (Lynas 2013, </w:t>
      </w:r>
      <w:r w:rsidRPr="003F4BC8">
        <w:rPr>
          <w:rFonts w:ascii="Times New Roman" w:eastAsia="Times New Roman" w:hAnsi="Times New Roman" w:cs="Times New Roman"/>
        </w:rPr>
        <w:t xml:space="preserve">Jenkins, Nordhaus &amp; Shellenberger 2011, Conca 2017). Support for nuclear energy among these groups of individuals have several justifications. First, </w:t>
      </w:r>
      <w:r w:rsidRPr="003F4BC8">
        <w:rPr>
          <w:rFonts w:ascii="Times New Roman" w:hAnsi="Times New Roman" w:cs="Times New Roman"/>
        </w:rPr>
        <w:t xml:space="preserve">it has already been established that nuclear energy is economical and has the potential to satisfy energy consumption demands. Second, nuclear energy resources are limitless. Third, following the strict guidelines for nuclear plant construction, management and operation as well as safety standards for nuclear waste storage will eliminate the possibility of nuclear accidents. Fourth, nuclear energy production will reduce CO2 emissions (Lynas 2013, </w:t>
      </w:r>
      <w:r w:rsidRPr="003F4BC8">
        <w:rPr>
          <w:rFonts w:ascii="Times New Roman" w:eastAsia="Times New Roman" w:hAnsi="Times New Roman" w:cs="Times New Roman"/>
        </w:rPr>
        <w:t>Jenkins, Nordhaus &amp; Shellenberger 2011)</w:t>
      </w:r>
      <w:r w:rsidRPr="003F4BC8">
        <w:rPr>
          <w:rFonts w:ascii="Times New Roman" w:hAnsi="Times New Roman" w:cs="Times New Roman"/>
        </w:rPr>
        <w:t>.</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In this study, we explore whether preferences for energy sources among American public is shaped by individuals’ global warming risk perception mediated by their cultural orientation or political ideology as competing antecedents for explaining individual policy preferences.</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 xml:space="preserve">The role of individual beliefs shaping public preferences have long been studied by social scientists (Douglas and Wildavsky 1982; Wildavsky 1987; Thompson, Ellis and Wildavsky 1990; O’Connor, Bord, and Fisher 1999; Ellis and Thompson 1997; Herron and Jenkins Smith 2006; Ripberger et al. 2011). Using “group/grid” cultural theory by Mary Douglas and Aaron Wildavsly </w:t>
      </w:r>
      <w:r w:rsidRPr="003F4BC8">
        <w:rPr>
          <w:rFonts w:ascii="Times New Roman" w:hAnsi="Times New Roman" w:cs="Times New Roman"/>
        </w:rPr>
        <w:lastRenderedPageBreak/>
        <w:t>(1982) scholars have found strong egalitarians are highly concerned about the environment whereas individualists seem to be less concerned about the environment and do not object the usage of natural resources for economic activity (Douglas and Wildavsky 1982; Wildavsky 1987; Thompson, Ellis and Wildavsky 1990; O’Connor, Bord, and Fisher 1999; Ellis and Thompson 1997). Hierarchs consider the environment to be relatively robust and tend to be only concerned with the environment when they see an eminent threat to it. There is no evidence for fatalists to support any particular concern for the environment.</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 xml:space="preserve">The concepts of political ideology proposed by Anthony Downs (1957), the spatial differentiations between left (liberals) and right (conservatives) provides a competing explanation to individual differences for policy preferences. It has been a historical fact and well established knowledge that individuals with conservative ideology are less concerned for the environment than those individuals who hold liberal ideological leaning (Buttel and Flinn 1976; Rothman and Lichter 1987; Conover and Feldman 1981; Jenkins-Smith and Smith 1994; </w:t>
      </w:r>
      <w:r w:rsidRPr="003F4BC8">
        <w:rPr>
          <w:rFonts w:ascii="Times New Roman" w:eastAsia="Times New Roman" w:hAnsi="Times New Roman" w:cs="Times New Roman"/>
        </w:rPr>
        <w:t xml:space="preserve">Dryzek et al. 2003; </w:t>
      </w:r>
      <w:r w:rsidRPr="003F4BC8">
        <w:rPr>
          <w:rFonts w:ascii="Times New Roman" w:hAnsi="Times New Roman" w:cs="Times New Roman"/>
        </w:rPr>
        <w:t xml:space="preserve">Herron and Jenkins Smith 2006; Jacques, Dunlap and Freeman 2008; Ripberger et al. 2012; Frankovic 2015). </w:t>
      </w:r>
    </w:p>
    <w:p w:rsidR="00B52DD2"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In addition, we also include a number of demographic variables as covariates for the predicted relationships in our analytic models (Finucane et al. 2000, Handmer and Proudley 2007).</w:t>
      </w:r>
    </w:p>
    <w:p w:rsidR="00B52DD2" w:rsidRPr="003F4BC8" w:rsidRDefault="00B52DD2" w:rsidP="00B52DD2">
      <w:pPr>
        <w:spacing w:line="480" w:lineRule="auto"/>
        <w:ind w:firstLine="720"/>
        <w:jc w:val="both"/>
        <w:rPr>
          <w:rFonts w:ascii="Times New Roman" w:hAnsi="Times New Roman" w:cs="Times New Roman"/>
        </w:rPr>
      </w:pPr>
    </w:p>
    <w:p w:rsidR="00B52DD2" w:rsidRPr="003F4BC8" w:rsidRDefault="00B52DD2" w:rsidP="00B52DD2">
      <w:pPr>
        <w:spacing w:line="480" w:lineRule="auto"/>
        <w:rPr>
          <w:rFonts w:ascii="Times New Roman" w:hAnsi="Times New Roman" w:cs="Times New Roman"/>
          <w:b/>
          <w:bCs/>
        </w:rPr>
      </w:pPr>
      <w:r w:rsidRPr="003F4BC8">
        <w:rPr>
          <w:rFonts w:ascii="Times New Roman" w:hAnsi="Times New Roman" w:cs="Times New Roman"/>
          <w:b/>
          <w:bCs/>
        </w:rPr>
        <w:t>Data and Methods</w:t>
      </w:r>
    </w:p>
    <w:p w:rsidR="00B52DD2" w:rsidRPr="003F4BC8" w:rsidRDefault="00B52DD2" w:rsidP="00B52DD2">
      <w:pPr>
        <w:pStyle w:val="p1"/>
        <w:spacing w:line="480" w:lineRule="auto"/>
        <w:ind w:firstLine="432"/>
        <w:jc w:val="both"/>
        <w:rPr>
          <w:rFonts w:ascii="Times New Roman" w:hAnsi="Times New Roman"/>
          <w:sz w:val="24"/>
          <w:szCs w:val="24"/>
        </w:rPr>
      </w:pPr>
      <w:r w:rsidRPr="003F4BC8">
        <w:rPr>
          <w:rFonts w:ascii="Times New Roman" w:hAnsi="Times New Roman"/>
          <w:sz w:val="24"/>
          <w:szCs w:val="24"/>
        </w:rPr>
        <w:t>The Data used in the analysis is collected by a nationwide Internet survey administered in May 2017 to measure public preferences on Energy and Environmental policy. Respondents were recruited by Survey Sampling International (SSI) so that the demographic characteristics of the respondents mirrors national census characteristics.</w:t>
      </w:r>
    </w:p>
    <w:p w:rsidR="00B52DD2" w:rsidRPr="003F4BC8" w:rsidRDefault="00B52DD2" w:rsidP="00B52DD2">
      <w:pPr>
        <w:pStyle w:val="p1"/>
        <w:spacing w:line="480" w:lineRule="auto"/>
        <w:ind w:firstLine="432"/>
        <w:jc w:val="both"/>
        <w:rPr>
          <w:rFonts w:ascii="Times New Roman" w:hAnsi="Times New Roman"/>
          <w:sz w:val="24"/>
          <w:szCs w:val="24"/>
        </w:rPr>
      </w:pPr>
      <w:r w:rsidRPr="003F4BC8">
        <w:rPr>
          <w:rFonts w:ascii="Times New Roman" w:hAnsi="Times New Roman"/>
          <w:sz w:val="24"/>
          <w:szCs w:val="24"/>
        </w:rPr>
        <w:lastRenderedPageBreak/>
        <w:t>A total of 2,004 respondents completed the survey. The average age of the survey participants was 47 years old, 53% of survey respondents were female, 78% were non-Hispanic whites and 41% had at least two-year college degree or Associates degree. Survey respondents’ median annual household income fell between the range of $40,000 and $50,000.</w:t>
      </w:r>
    </w:p>
    <w:p w:rsidR="00B52DD2" w:rsidRPr="003F4BC8" w:rsidRDefault="00B52DD2" w:rsidP="00B52DD2">
      <w:pPr>
        <w:pStyle w:val="p1"/>
        <w:spacing w:line="480" w:lineRule="auto"/>
        <w:rPr>
          <w:rFonts w:ascii="Times New Roman" w:hAnsi="Times New Roman"/>
          <w:sz w:val="24"/>
          <w:szCs w:val="24"/>
          <w:u w:val="single"/>
        </w:rPr>
      </w:pPr>
      <w:r w:rsidRPr="003F4BC8">
        <w:rPr>
          <w:rFonts w:ascii="Times New Roman" w:hAnsi="Times New Roman"/>
          <w:sz w:val="24"/>
          <w:szCs w:val="24"/>
          <w:u w:val="single"/>
        </w:rPr>
        <w:t>Variables and Measures</w:t>
      </w:r>
    </w:p>
    <w:p w:rsidR="00B52DD2" w:rsidRDefault="00B52DD2" w:rsidP="00B52DD2">
      <w:pPr>
        <w:pStyle w:val="p1"/>
        <w:spacing w:line="480" w:lineRule="auto"/>
        <w:ind w:firstLine="432"/>
        <w:jc w:val="both"/>
        <w:rPr>
          <w:rFonts w:ascii="Times New Roman" w:hAnsi="Times New Roman"/>
          <w:b/>
          <w:bCs/>
          <w:sz w:val="24"/>
          <w:szCs w:val="24"/>
        </w:rPr>
      </w:pPr>
      <w:r w:rsidRPr="003F4BC8">
        <w:rPr>
          <w:rFonts w:ascii="Times New Roman" w:hAnsi="Times New Roman"/>
          <w:sz w:val="24"/>
          <w:szCs w:val="24"/>
        </w:rPr>
        <w:t>In order to test whether global climate change risk influences individual energy policy preferences contingent upon individual’s cultural worldview or political ideology we have employed ordinary least squares regression (OLS) with interaction terms. The variables and their corresponding models of analysis are presented in Table 5-1.</w:t>
      </w:r>
    </w:p>
    <w:p w:rsidR="00B52DD2" w:rsidRDefault="00B52DD2" w:rsidP="00B52DD2">
      <w:pPr>
        <w:pStyle w:val="p1"/>
        <w:spacing w:line="480" w:lineRule="auto"/>
        <w:ind w:firstLine="432"/>
        <w:jc w:val="center"/>
        <w:rPr>
          <w:rFonts w:ascii="Times New Roman" w:hAnsi="Times New Roman"/>
          <w:b/>
          <w:bCs/>
          <w:sz w:val="24"/>
          <w:szCs w:val="24"/>
        </w:rPr>
      </w:pPr>
    </w:p>
    <w:p w:rsidR="00B52DD2" w:rsidRPr="003F4BC8" w:rsidRDefault="00B52DD2" w:rsidP="00B52DD2">
      <w:pPr>
        <w:pStyle w:val="p1"/>
        <w:spacing w:line="480" w:lineRule="auto"/>
        <w:ind w:firstLine="432"/>
        <w:jc w:val="center"/>
        <w:rPr>
          <w:rFonts w:ascii="Times New Roman" w:hAnsi="Times New Roman"/>
          <w:sz w:val="24"/>
          <w:szCs w:val="24"/>
        </w:rPr>
      </w:pPr>
      <w:r w:rsidRPr="003F4BC8">
        <w:rPr>
          <w:rFonts w:ascii="Times New Roman" w:hAnsi="Times New Roman"/>
          <w:b/>
          <w:bCs/>
          <w:sz w:val="24"/>
          <w:szCs w:val="24"/>
        </w:rPr>
        <w:t>Table 5-1:</w:t>
      </w:r>
      <w:r w:rsidRPr="003F4BC8">
        <w:rPr>
          <w:rFonts w:ascii="Times New Roman" w:hAnsi="Times New Roman"/>
          <w:sz w:val="24"/>
          <w:szCs w:val="24"/>
        </w:rPr>
        <w:t xml:space="preserve"> Variables and Models</w:t>
      </w:r>
    </w:p>
    <w:p w:rsidR="00B52DD2" w:rsidRPr="003F4BC8" w:rsidRDefault="00B52DD2" w:rsidP="00B52DD2">
      <w:pPr>
        <w:pStyle w:val="p1"/>
        <w:spacing w:line="480" w:lineRule="auto"/>
        <w:rPr>
          <w:rFonts w:ascii="Times New Roman" w:hAnsi="Times New Roman"/>
          <w:sz w:val="24"/>
          <w:szCs w:val="24"/>
        </w:rPr>
      </w:pPr>
      <w:r w:rsidRPr="003F4BC8">
        <w:rPr>
          <w:rFonts w:ascii="Times New Roman" w:hAnsi="Times New Roman"/>
          <w:noProof/>
          <w:sz w:val="24"/>
          <w:szCs w:val="24"/>
        </w:rPr>
        <w:drawing>
          <wp:inline distT="0" distB="0" distL="0" distR="0" wp14:anchorId="16F7A971" wp14:editId="362C16AA">
            <wp:extent cx="5660565" cy="3320867"/>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le 1.pdf"/>
                    <pic:cNvPicPr/>
                  </pic:nvPicPr>
                  <pic:blipFill rotWithShape="1">
                    <a:blip r:embed="rId30">
                      <a:extLst>
                        <a:ext uri="{28A0092B-C50C-407E-A947-70E740481C1C}">
                          <a14:useLocalDpi xmlns:a14="http://schemas.microsoft.com/office/drawing/2010/main" val="0"/>
                        </a:ext>
                      </a:extLst>
                    </a:blip>
                    <a:srcRect l="11905" t="10585" r="14257" b="56571"/>
                    <a:stretch/>
                  </pic:blipFill>
                  <pic:spPr bwMode="auto">
                    <a:xfrm>
                      <a:off x="0" y="0"/>
                      <a:ext cx="5785672" cy="3394263"/>
                    </a:xfrm>
                    <a:prstGeom prst="rect">
                      <a:avLst/>
                    </a:prstGeom>
                    <a:ln>
                      <a:noFill/>
                    </a:ln>
                    <a:extLst>
                      <a:ext uri="{53640926-AAD7-44D8-BBD7-CCE9431645EC}">
                        <a14:shadowObscured xmlns:a14="http://schemas.microsoft.com/office/drawing/2010/main"/>
                      </a:ext>
                    </a:extLst>
                  </pic:spPr>
                </pic:pic>
              </a:graphicData>
            </a:graphic>
          </wp:inline>
        </w:drawing>
      </w:r>
    </w:p>
    <w:p w:rsidR="00B52DD2" w:rsidRDefault="00B52DD2" w:rsidP="00B52DD2">
      <w:pPr>
        <w:pStyle w:val="p1"/>
        <w:spacing w:line="480" w:lineRule="auto"/>
        <w:ind w:firstLine="432"/>
        <w:jc w:val="both"/>
        <w:rPr>
          <w:rFonts w:ascii="Times New Roman" w:hAnsi="Times New Roman"/>
          <w:sz w:val="24"/>
          <w:szCs w:val="24"/>
        </w:rPr>
      </w:pPr>
      <w:r w:rsidRPr="003F4BC8">
        <w:rPr>
          <w:rFonts w:ascii="Times New Roman" w:hAnsi="Times New Roman"/>
          <w:sz w:val="24"/>
          <w:szCs w:val="24"/>
        </w:rPr>
        <w:t xml:space="preserve">The dependent variable of the study is the preferences for overall mix of electricity for the U.S. Respondents provided their preferred energy mix percentage for fossil fuels, nuclear energy and renewable energy as the three primary sources of electricity. The sum of the expressed </w:t>
      </w:r>
      <w:r w:rsidRPr="003F4BC8">
        <w:rPr>
          <w:rFonts w:ascii="Times New Roman" w:hAnsi="Times New Roman"/>
          <w:sz w:val="24"/>
          <w:szCs w:val="24"/>
        </w:rPr>
        <w:lastRenderedPageBreak/>
        <w:t>preferences equals to 100 per individual respondent. Since our dependent variable can be characterized as a composition variable the ternary plot presented in Figure 1 demonstrates each respondent’s preferences in fossil fuel, nuclear and renewable energy sources.</w:t>
      </w:r>
    </w:p>
    <w:p w:rsidR="00B52DD2" w:rsidRDefault="00B52DD2" w:rsidP="00B52DD2">
      <w:pPr>
        <w:pStyle w:val="p1"/>
        <w:spacing w:line="480" w:lineRule="auto"/>
        <w:jc w:val="center"/>
        <w:rPr>
          <w:rFonts w:ascii="Times New Roman" w:hAnsi="Times New Roman"/>
          <w:b/>
          <w:bCs/>
          <w:sz w:val="24"/>
          <w:szCs w:val="24"/>
        </w:rPr>
      </w:pPr>
    </w:p>
    <w:p w:rsidR="00B52DD2" w:rsidRPr="003F4BC8" w:rsidRDefault="00B52DD2" w:rsidP="00B52DD2">
      <w:pPr>
        <w:pStyle w:val="p1"/>
        <w:spacing w:line="480" w:lineRule="auto"/>
        <w:jc w:val="center"/>
        <w:rPr>
          <w:rFonts w:ascii="Times New Roman" w:hAnsi="Times New Roman"/>
          <w:sz w:val="24"/>
          <w:szCs w:val="24"/>
        </w:rPr>
      </w:pPr>
      <w:r w:rsidRPr="003F4BC8">
        <w:rPr>
          <w:rFonts w:ascii="Times New Roman" w:hAnsi="Times New Roman"/>
          <w:b/>
          <w:bCs/>
          <w:sz w:val="24"/>
          <w:szCs w:val="24"/>
        </w:rPr>
        <w:t>Figure 5-1.</w:t>
      </w:r>
      <w:r w:rsidRPr="003F4BC8">
        <w:rPr>
          <w:rFonts w:ascii="Times New Roman" w:hAnsi="Times New Roman"/>
          <w:sz w:val="24"/>
          <w:szCs w:val="24"/>
        </w:rPr>
        <w:t xml:space="preserve"> Ternary Plot Demonstrating Respondents’ Energy Source Preferences.</w:t>
      </w:r>
      <w:r w:rsidRPr="003F4BC8">
        <w:rPr>
          <w:rFonts w:ascii="Times New Roman" w:hAnsi="Times New Roman"/>
          <w:noProof/>
          <w:sz w:val="24"/>
          <w:szCs w:val="24"/>
        </w:rPr>
        <w:drawing>
          <wp:inline distT="0" distB="0" distL="0" distR="0" wp14:anchorId="546E3D97" wp14:editId="243DAEC9">
            <wp:extent cx="5893478" cy="5698156"/>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ernary Plot_composition of energy source pref.pdf"/>
                    <pic:cNvPicPr/>
                  </pic:nvPicPr>
                  <pic:blipFill rotWithShape="1">
                    <a:blip r:embed="rId31">
                      <a:extLst>
                        <a:ext uri="{28A0092B-C50C-407E-A947-70E740481C1C}">
                          <a14:useLocalDpi xmlns:a14="http://schemas.microsoft.com/office/drawing/2010/main" val="0"/>
                        </a:ext>
                      </a:extLst>
                    </a:blip>
                    <a:srcRect l="11366" t="24744" r="13093" b="18818"/>
                    <a:stretch/>
                  </pic:blipFill>
                  <pic:spPr bwMode="auto">
                    <a:xfrm>
                      <a:off x="0" y="0"/>
                      <a:ext cx="5960764" cy="5763212"/>
                    </a:xfrm>
                    <a:prstGeom prst="rect">
                      <a:avLst/>
                    </a:prstGeom>
                    <a:ln>
                      <a:noFill/>
                    </a:ln>
                    <a:extLst>
                      <a:ext uri="{53640926-AAD7-44D8-BBD7-CCE9431645EC}">
                        <a14:shadowObscured xmlns:a14="http://schemas.microsoft.com/office/drawing/2010/main"/>
                      </a:ext>
                    </a:extLst>
                  </pic:spPr>
                </pic:pic>
              </a:graphicData>
            </a:graphic>
          </wp:inline>
        </w:drawing>
      </w:r>
    </w:p>
    <w:p w:rsidR="00B52DD2" w:rsidRPr="003F4BC8" w:rsidRDefault="00B52DD2" w:rsidP="00B52DD2">
      <w:pPr>
        <w:pStyle w:val="p1"/>
        <w:spacing w:line="480" w:lineRule="auto"/>
        <w:ind w:firstLine="432"/>
        <w:jc w:val="both"/>
        <w:rPr>
          <w:rFonts w:ascii="Times New Roman" w:hAnsi="Times New Roman"/>
          <w:sz w:val="24"/>
          <w:szCs w:val="24"/>
        </w:rPr>
      </w:pPr>
      <w:r w:rsidRPr="003F4BC8">
        <w:rPr>
          <w:rFonts w:ascii="Times New Roman" w:hAnsi="Times New Roman"/>
          <w:sz w:val="24"/>
          <w:szCs w:val="24"/>
        </w:rPr>
        <w:t xml:space="preserve">The primary independent variable is the individual perception of risk of global warming. With the help of randomization half of the respondents were asked to rate how much risk they think </w:t>
      </w:r>
      <w:r w:rsidRPr="003F4BC8">
        <w:rPr>
          <w:rFonts w:ascii="Times New Roman" w:hAnsi="Times New Roman"/>
          <w:sz w:val="24"/>
          <w:szCs w:val="24"/>
        </w:rPr>
        <w:lastRenderedPageBreak/>
        <w:t>global warming poses for people and environment on a scale from zero to ten. The other half of the respondents were asked the same question on a scale from one to five. For the purposes of our analysis the responses from ten-point scale measure were collapsed and were combined with those of the five-point scale to increase the sample size for the analysis.</w:t>
      </w:r>
    </w:p>
    <w:p w:rsidR="00B52DD2" w:rsidRPr="003F4BC8" w:rsidRDefault="00B52DD2" w:rsidP="00B52DD2">
      <w:pPr>
        <w:pStyle w:val="p1"/>
        <w:spacing w:line="480" w:lineRule="auto"/>
        <w:ind w:firstLine="432"/>
        <w:jc w:val="both"/>
        <w:rPr>
          <w:rFonts w:ascii="Times New Roman" w:hAnsi="Times New Roman"/>
          <w:sz w:val="24"/>
          <w:szCs w:val="24"/>
        </w:rPr>
      </w:pPr>
      <w:r w:rsidRPr="003F4BC8">
        <w:rPr>
          <w:rFonts w:ascii="Times New Roman" w:hAnsi="Times New Roman"/>
          <w:sz w:val="24"/>
          <w:szCs w:val="24"/>
        </w:rPr>
        <w:t>As we discussed in theoretical section the purpose of this paper is to estimate the effect of global warming risk on preferences for energy sources as a function of individuals’ cultural worldview or political ideology. Individual cultural worldviews were measured by asking the respondents to rate on a scale from zero to ten the degree to which each of the four groups of statements on hierarchism, individualism, egalitarianism and fatalism describes their own outlook on life. To capture political ideology respondents were asked to identify themselves on the ideological spectrum on a scale from one to seven where one indicates strongly liberal and seven indicates strongly conservative.</w:t>
      </w:r>
    </w:p>
    <w:p w:rsidR="00B52DD2" w:rsidRDefault="00B52DD2" w:rsidP="00B52DD2">
      <w:pPr>
        <w:pStyle w:val="p1"/>
        <w:spacing w:line="480" w:lineRule="auto"/>
        <w:ind w:firstLine="432"/>
        <w:jc w:val="both"/>
        <w:rPr>
          <w:rFonts w:ascii="Times New Roman" w:hAnsi="Times New Roman"/>
          <w:sz w:val="24"/>
          <w:szCs w:val="24"/>
        </w:rPr>
      </w:pPr>
      <w:r w:rsidRPr="003F4BC8">
        <w:rPr>
          <w:rFonts w:ascii="Times New Roman" w:hAnsi="Times New Roman"/>
          <w:sz w:val="24"/>
          <w:szCs w:val="24"/>
        </w:rPr>
        <w:t>To control for rivalry explanations demographic characteristics of the individuals were accounted for in the models as covariates. In particular, we included measures of age (in years), gender (one for male and zero for female), race (one for white and zero for non-white, one for Hispanic and zero for non-Hispanic), education (one for lowest level and eight for highest level of education) and the estimated total household income (measured on a twenty-one point scale). The exact wording of the measures for each variable is presented in table 5-A1 as an appendix to this chapter.</w:t>
      </w:r>
    </w:p>
    <w:p w:rsidR="00B52DD2" w:rsidRDefault="00B52DD2" w:rsidP="00B52DD2">
      <w:pPr>
        <w:pStyle w:val="p1"/>
        <w:spacing w:line="480" w:lineRule="auto"/>
        <w:ind w:firstLine="432"/>
        <w:jc w:val="both"/>
        <w:rPr>
          <w:rFonts w:ascii="Times New Roman" w:hAnsi="Times New Roman"/>
          <w:sz w:val="24"/>
          <w:szCs w:val="24"/>
        </w:rPr>
      </w:pPr>
    </w:p>
    <w:p w:rsidR="00B52DD2" w:rsidRDefault="00B52DD2" w:rsidP="00B52DD2">
      <w:pPr>
        <w:pStyle w:val="p1"/>
        <w:spacing w:line="480" w:lineRule="auto"/>
        <w:ind w:firstLine="432"/>
        <w:jc w:val="both"/>
        <w:rPr>
          <w:rFonts w:ascii="Times New Roman" w:hAnsi="Times New Roman"/>
          <w:sz w:val="24"/>
          <w:szCs w:val="24"/>
        </w:rPr>
      </w:pPr>
    </w:p>
    <w:p w:rsidR="00B52DD2" w:rsidRDefault="00B52DD2" w:rsidP="00B52DD2">
      <w:pPr>
        <w:pStyle w:val="p1"/>
        <w:spacing w:line="480" w:lineRule="auto"/>
        <w:ind w:firstLine="432"/>
        <w:jc w:val="both"/>
        <w:rPr>
          <w:rFonts w:ascii="Times New Roman" w:hAnsi="Times New Roman"/>
          <w:sz w:val="24"/>
          <w:szCs w:val="24"/>
        </w:rPr>
      </w:pPr>
    </w:p>
    <w:p w:rsidR="00B52DD2" w:rsidRDefault="00B52DD2" w:rsidP="00B52DD2">
      <w:pPr>
        <w:pStyle w:val="p1"/>
        <w:spacing w:line="480" w:lineRule="auto"/>
        <w:ind w:firstLine="432"/>
        <w:jc w:val="both"/>
        <w:rPr>
          <w:rFonts w:ascii="Times New Roman" w:hAnsi="Times New Roman"/>
          <w:sz w:val="24"/>
          <w:szCs w:val="24"/>
        </w:rPr>
      </w:pPr>
    </w:p>
    <w:p w:rsidR="00B52DD2" w:rsidRPr="003F4BC8" w:rsidRDefault="00B52DD2" w:rsidP="00B52DD2">
      <w:pPr>
        <w:pStyle w:val="p1"/>
        <w:spacing w:line="480" w:lineRule="auto"/>
        <w:ind w:firstLine="432"/>
        <w:jc w:val="both"/>
        <w:rPr>
          <w:rFonts w:ascii="Times New Roman" w:hAnsi="Times New Roman"/>
          <w:sz w:val="24"/>
          <w:szCs w:val="24"/>
        </w:rPr>
      </w:pPr>
    </w:p>
    <w:p w:rsidR="00B52DD2" w:rsidRPr="003F4BC8" w:rsidRDefault="00B52DD2" w:rsidP="00B52DD2">
      <w:pPr>
        <w:pStyle w:val="p1"/>
        <w:spacing w:line="480" w:lineRule="auto"/>
        <w:jc w:val="center"/>
        <w:rPr>
          <w:rFonts w:ascii="Times New Roman" w:hAnsi="Times New Roman"/>
          <w:sz w:val="24"/>
          <w:szCs w:val="24"/>
        </w:rPr>
      </w:pPr>
      <w:r w:rsidRPr="003F4BC8">
        <w:rPr>
          <w:rFonts w:ascii="Times New Roman" w:hAnsi="Times New Roman"/>
          <w:b/>
          <w:bCs/>
          <w:sz w:val="24"/>
          <w:szCs w:val="24"/>
        </w:rPr>
        <w:t>Table 5-2</w:t>
      </w:r>
      <w:r w:rsidRPr="003F4BC8">
        <w:rPr>
          <w:rFonts w:ascii="Times New Roman" w:hAnsi="Times New Roman"/>
          <w:sz w:val="24"/>
          <w:szCs w:val="24"/>
        </w:rPr>
        <w:t>: Descriptive Statistics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4"/>
        <w:gridCol w:w="767"/>
        <w:gridCol w:w="763"/>
        <w:gridCol w:w="869"/>
        <w:gridCol w:w="950"/>
        <w:gridCol w:w="651"/>
        <w:gridCol w:w="656"/>
      </w:tblGrid>
      <w:tr w:rsidR="00B52DD2" w:rsidRPr="003F4BC8" w:rsidTr="00150C36">
        <w:tc>
          <w:tcPr>
            <w:tcW w:w="5064" w:type="dxa"/>
            <w:tcBorders>
              <w:top w:val="single" w:sz="18" w:space="0" w:color="auto"/>
              <w:bottom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Variable</w:t>
            </w:r>
          </w:p>
        </w:tc>
        <w:tc>
          <w:tcPr>
            <w:tcW w:w="767" w:type="dxa"/>
            <w:tcBorders>
              <w:top w:val="single" w:sz="18" w:space="0" w:color="auto"/>
              <w:bottom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n</w:t>
            </w:r>
          </w:p>
        </w:tc>
        <w:tc>
          <w:tcPr>
            <w:tcW w:w="763" w:type="dxa"/>
            <w:tcBorders>
              <w:top w:val="single" w:sz="18" w:space="0" w:color="auto"/>
              <w:bottom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Mean</w:t>
            </w:r>
          </w:p>
        </w:tc>
        <w:tc>
          <w:tcPr>
            <w:tcW w:w="869" w:type="dxa"/>
            <w:tcBorders>
              <w:top w:val="single" w:sz="18" w:space="0" w:color="auto"/>
              <w:bottom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SD</w:t>
            </w:r>
          </w:p>
        </w:tc>
        <w:tc>
          <w:tcPr>
            <w:tcW w:w="950" w:type="dxa"/>
            <w:tcBorders>
              <w:top w:val="single" w:sz="18" w:space="0" w:color="auto"/>
              <w:bottom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Median</w:t>
            </w:r>
          </w:p>
        </w:tc>
        <w:tc>
          <w:tcPr>
            <w:tcW w:w="651" w:type="dxa"/>
            <w:tcBorders>
              <w:top w:val="single" w:sz="18" w:space="0" w:color="auto"/>
              <w:bottom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Min</w:t>
            </w:r>
          </w:p>
        </w:tc>
        <w:tc>
          <w:tcPr>
            <w:tcW w:w="656" w:type="dxa"/>
            <w:tcBorders>
              <w:top w:val="single" w:sz="18" w:space="0" w:color="auto"/>
              <w:bottom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Max</w:t>
            </w:r>
          </w:p>
        </w:tc>
      </w:tr>
      <w:tr w:rsidR="00B52DD2" w:rsidRPr="003F4BC8" w:rsidTr="00150C36">
        <w:tc>
          <w:tcPr>
            <w:tcW w:w="5064" w:type="dxa"/>
            <w:tcBorders>
              <w:top w:val="single" w:sz="12" w:space="0" w:color="auto"/>
            </w:tcBorders>
          </w:tcPr>
          <w:p w:rsidR="00B52DD2" w:rsidRPr="003F4BC8" w:rsidRDefault="00B52DD2" w:rsidP="00150C36">
            <w:pPr>
              <w:jc w:val="both"/>
              <w:rPr>
                <w:rFonts w:ascii="Times New Roman" w:hAnsi="Times New Roman" w:cs="Times New Roman"/>
              </w:rPr>
            </w:pPr>
            <w:r w:rsidRPr="003F4BC8">
              <w:rPr>
                <w:rFonts w:ascii="Times New Roman" w:hAnsi="Times New Roman" w:cs="Times New Roman"/>
              </w:rPr>
              <w:t>Percent of electricity to come from fossil fuels</w:t>
            </w:r>
          </w:p>
        </w:tc>
        <w:tc>
          <w:tcPr>
            <w:tcW w:w="767" w:type="dxa"/>
            <w:tcBorders>
              <w:top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2004</w:t>
            </w:r>
          </w:p>
        </w:tc>
        <w:tc>
          <w:tcPr>
            <w:tcW w:w="763" w:type="dxa"/>
            <w:tcBorders>
              <w:top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28.79</w:t>
            </w:r>
          </w:p>
        </w:tc>
        <w:tc>
          <w:tcPr>
            <w:tcW w:w="869" w:type="dxa"/>
            <w:tcBorders>
              <w:top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21.3</w:t>
            </w:r>
          </w:p>
        </w:tc>
        <w:tc>
          <w:tcPr>
            <w:tcW w:w="950" w:type="dxa"/>
            <w:tcBorders>
              <w:top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25</w:t>
            </w:r>
          </w:p>
        </w:tc>
        <w:tc>
          <w:tcPr>
            <w:tcW w:w="651" w:type="dxa"/>
            <w:tcBorders>
              <w:top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0</w:t>
            </w:r>
          </w:p>
        </w:tc>
        <w:tc>
          <w:tcPr>
            <w:tcW w:w="656" w:type="dxa"/>
            <w:tcBorders>
              <w:top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100</w:t>
            </w:r>
          </w:p>
        </w:tc>
      </w:tr>
      <w:tr w:rsidR="00B52DD2" w:rsidRPr="003F4BC8" w:rsidTr="00150C36">
        <w:tc>
          <w:tcPr>
            <w:tcW w:w="5064" w:type="dxa"/>
          </w:tcPr>
          <w:p w:rsidR="00B52DD2" w:rsidRPr="003F4BC8" w:rsidRDefault="00B52DD2" w:rsidP="00150C36">
            <w:pPr>
              <w:rPr>
                <w:rFonts w:ascii="Times New Roman" w:hAnsi="Times New Roman" w:cs="Times New Roman"/>
              </w:rPr>
            </w:pPr>
            <w:r w:rsidRPr="003F4BC8">
              <w:rPr>
                <w:rFonts w:ascii="Times New Roman" w:hAnsi="Times New Roman" w:cs="Times New Roman"/>
              </w:rPr>
              <w:t>Percent of electricity to come from nuclear energy</w:t>
            </w:r>
          </w:p>
        </w:tc>
        <w:tc>
          <w:tcPr>
            <w:tcW w:w="767"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2004</w:t>
            </w:r>
          </w:p>
        </w:tc>
        <w:tc>
          <w:tcPr>
            <w:tcW w:w="763"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19.32</w:t>
            </w:r>
          </w:p>
        </w:tc>
        <w:tc>
          <w:tcPr>
            <w:tcW w:w="869"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15.89</w:t>
            </w:r>
          </w:p>
        </w:tc>
        <w:tc>
          <w:tcPr>
            <w:tcW w:w="950"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20</w:t>
            </w:r>
          </w:p>
        </w:tc>
        <w:tc>
          <w:tcPr>
            <w:tcW w:w="651"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0</w:t>
            </w:r>
          </w:p>
        </w:tc>
        <w:tc>
          <w:tcPr>
            <w:tcW w:w="656"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100</w:t>
            </w:r>
          </w:p>
        </w:tc>
      </w:tr>
      <w:tr w:rsidR="00B52DD2" w:rsidRPr="003F4BC8" w:rsidTr="00150C36">
        <w:tc>
          <w:tcPr>
            <w:tcW w:w="5064" w:type="dxa"/>
          </w:tcPr>
          <w:p w:rsidR="00B52DD2" w:rsidRPr="003F4BC8" w:rsidRDefault="00B52DD2" w:rsidP="00150C36">
            <w:pPr>
              <w:rPr>
                <w:rFonts w:ascii="Times New Roman" w:hAnsi="Times New Roman" w:cs="Times New Roman"/>
              </w:rPr>
            </w:pPr>
            <w:r w:rsidRPr="003F4BC8">
              <w:rPr>
                <w:rFonts w:ascii="Times New Roman" w:hAnsi="Times New Roman" w:cs="Times New Roman"/>
              </w:rPr>
              <w:t>Percent of electricity to come from renewable sources</w:t>
            </w:r>
          </w:p>
        </w:tc>
        <w:tc>
          <w:tcPr>
            <w:tcW w:w="767"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2004</w:t>
            </w:r>
          </w:p>
        </w:tc>
        <w:tc>
          <w:tcPr>
            <w:tcW w:w="763"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51.89</w:t>
            </w:r>
          </w:p>
        </w:tc>
        <w:tc>
          <w:tcPr>
            <w:tcW w:w="869"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26.7</w:t>
            </w:r>
          </w:p>
        </w:tc>
        <w:tc>
          <w:tcPr>
            <w:tcW w:w="950"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50</w:t>
            </w:r>
          </w:p>
        </w:tc>
        <w:tc>
          <w:tcPr>
            <w:tcW w:w="651"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0</w:t>
            </w:r>
          </w:p>
        </w:tc>
        <w:tc>
          <w:tcPr>
            <w:tcW w:w="656"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100</w:t>
            </w:r>
          </w:p>
        </w:tc>
      </w:tr>
      <w:tr w:rsidR="00B52DD2" w:rsidRPr="003F4BC8" w:rsidTr="00150C36">
        <w:tc>
          <w:tcPr>
            <w:tcW w:w="5064" w:type="dxa"/>
          </w:tcPr>
          <w:p w:rsidR="00B52DD2" w:rsidRPr="003F4BC8" w:rsidRDefault="00B52DD2" w:rsidP="00150C36">
            <w:pPr>
              <w:rPr>
                <w:rFonts w:ascii="Times New Roman" w:hAnsi="Times New Roman" w:cs="Times New Roman"/>
              </w:rPr>
            </w:pPr>
            <w:r w:rsidRPr="003F4BC8">
              <w:rPr>
                <w:rFonts w:ascii="Times New Roman" w:hAnsi="Times New Roman" w:cs="Times New Roman"/>
              </w:rPr>
              <w:t>Global warming risk perception</w:t>
            </w:r>
          </w:p>
        </w:tc>
        <w:tc>
          <w:tcPr>
            <w:tcW w:w="767"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1994</w:t>
            </w:r>
          </w:p>
        </w:tc>
        <w:tc>
          <w:tcPr>
            <w:tcW w:w="763"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3.71</w:t>
            </w:r>
          </w:p>
        </w:tc>
        <w:tc>
          <w:tcPr>
            <w:tcW w:w="869"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1.06</w:t>
            </w:r>
          </w:p>
        </w:tc>
        <w:tc>
          <w:tcPr>
            <w:tcW w:w="950"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4</w:t>
            </w:r>
          </w:p>
        </w:tc>
        <w:tc>
          <w:tcPr>
            <w:tcW w:w="651"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w:t>
            </w:r>
          </w:p>
        </w:tc>
        <w:tc>
          <w:tcPr>
            <w:tcW w:w="656"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5</w:t>
            </w:r>
          </w:p>
        </w:tc>
      </w:tr>
      <w:tr w:rsidR="00B52DD2" w:rsidRPr="003F4BC8" w:rsidTr="00150C36">
        <w:tc>
          <w:tcPr>
            <w:tcW w:w="5064" w:type="dxa"/>
          </w:tcPr>
          <w:p w:rsidR="00B52DD2" w:rsidRPr="003F4BC8" w:rsidRDefault="00B52DD2" w:rsidP="00150C36">
            <w:pPr>
              <w:pStyle w:val="p1"/>
              <w:rPr>
                <w:rFonts w:ascii="Times New Roman" w:hAnsi="Times New Roman"/>
                <w:sz w:val="24"/>
                <w:szCs w:val="24"/>
              </w:rPr>
            </w:pPr>
            <w:r w:rsidRPr="003F4BC8">
              <w:rPr>
                <w:rFonts w:ascii="Times New Roman" w:hAnsi="Times New Roman"/>
                <w:sz w:val="24"/>
                <w:szCs w:val="24"/>
              </w:rPr>
              <w:t>Hierarchism index</w:t>
            </w:r>
          </w:p>
        </w:tc>
        <w:tc>
          <w:tcPr>
            <w:tcW w:w="767"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2004</w:t>
            </w:r>
          </w:p>
        </w:tc>
        <w:tc>
          <w:tcPr>
            <w:tcW w:w="763"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5.6</w:t>
            </w:r>
          </w:p>
        </w:tc>
        <w:tc>
          <w:tcPr>
            <w:tcW w:w="869"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2.77</w:t>
            </w:r>
          </w:p>
        </w:tc>
        <w:tc>
          <w:tcPr>
            <w:tcW w:w="950"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6</w:t>
            </w:r>
          </w:p>
        </w:tc>
        <w:tc>
          <w:tcPr>
            <w:tcW w:w="651"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0</w:t>
            </w:r>
          </w:p>
        </w:tc>
        <w:tc>
          <w:tcPr>
            <w:tcW w:w="656"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10</w:t>
            </w:r>
          </w:p>
        </w:tc>
      </w:tr>
      <w:tr w:rsidR="00B52DD2" w:rsidRPr="003F4BC8" w:rsidTr="00150C36">
        <w:tc>
          <w:tcPr>
            <w:tcW w:w="5064" w:type="dxa"/>
          </w:tcPr>
          <w:p w:rsidR="00B52DD2" w:rsidRPr="003F4BC8" w:rsidRDefault="00B52DD2" w:rsidP="00150C36">
            <w:pPr>
              <w:pStyle w:val="p1"/>
              <w:rPr>
                <w:rFonts w:ascii="Times New Roman" w:hAnsi="Times New Roman"/>
                <w:sz w:val="24"/>
                <w:szCs w:val="24"/>
              </w:rPr>
            </w:pPr>
            <w:r w:rsidRPr="003F4BC8">
              <w:rPr>
                <w:rFonts w:ascii="Times New Roman" w:hAnsi="Times New Roman"/>
                <w:sz w:val="24"/>
                <w:szCs w:val="24"/>
              </w:rPr>
              <w:t>Individualism index</w:t>
            </w:r>
          </w:p>
        </w:tc>
        <w:tc>
          <w:tcPr>
            <w:tcW w:w="767"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2004</w:t>
            </w:r>
          </w:p>
        </w:tc>
        <w:tc>
          <w:tcPr>
            <w:tcW w:w="763"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6.18</w:t>
            </w:r>
          </w:p>
        </w:tc>
        <w:tc>
          <w:tcPr>
            <w:tcW w:w="869"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2.79</w:t>
            </w:r>
          </w:p>
        </w:tc>
        <w:tc>
          <w:tcPr>
            <w:tcW w:w="950"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7</w:t>
            </w:r>
          </w:p>
        </w:tc>
        <w:tc>
          <w:tcPr>
            <w:tcW w:w="651"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0</w:t>
            </w:r>
          </w:p>
        </w:tc>
        <w:tc>
          <w:tcPr>
            <w:tcW w:w="656"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10</w:t>
            </w:r>
          </w:p>
        </w:tc>
      </w:tr>
      <w:tr w:rsidR="00B52DD2" w:rsidRPr="003F4BC8" w:rsidTr="00150C36">
        <w:tc>
          <w:tcPr>
            <w:tcW w:w="5064" w:type="dxa"/>
          </w:tcPr>
          <w:p w:rsidR="00B52DD2" w:rsidRPr="003F4BC8" w:rsidRDefault="00B52DD2" w:rsidP="00150C36">
            <w:pPr>
              <w:pStyle w:val="p1"/>
              <w:rPr>
                <w:rFonts w:ascii="Times New Roman" w:hAnsi="Times New Roman"/>
                <w:sz w:val="24"/>
                <w:szCs w:val="24"/>
              </w:rPr>
            </w:pPr>
            <w:r w:rsidRPr="003F4BC8">
              <w:rPr>
                <w:rFonts w:ascii="Times New Roman" w:hAnsi="Times New Roman"/>
                <w:sz w:val="24"/>
                <w:szCs w:val="24"/>
              </w:rPr>
              <w:t>Egalitarianism index</w:t>
            </w:r>
          </w:p>
        </w:tc>
        <w:tc>
          <w:tcPr>
            <w:tcW w:w="767"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2004</w:t>
            </w:r>
          </w:p>
        </w:tc>
        <w:tc>
          <w:tcPr>
            <w:tcW w:w="763"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5.27</w:t>
            </w:r>
          </w:p>
        </w:tc>
        <w:tc>
          <w:tcPr>
            <w:tcW w:w="869"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2.91</w:t>
            </w:r>
          </w:p>
        </w:tc>
        <w:tc>
          <w:tcPr>
            <w:tcW w:w="950"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5</w:t>
            </w:r>
          </w:p>
        </w:tc>
        <w:tc>
          <w:tcPr>
            <w:tcW w:w="651"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0</w:t>
            </w:r>
          </w:p>
        </w:tc>
        <w:tc>
          <w:tcPr>
            <w:tcW w:w="656"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10</w:t>
            </w:r>
          </w:p>
        </w:tc>
      </w:tr>
      <w:tr w:rsidR="00B52DD2" w:rsidRPr="003F4BC8" w:rsidTr="00150C36">
        <w:tc>
          <w:tcPr>
            <w:tcW w:w="5064" w:type="dxa"/>
          </w:tcPr>
          <w:p w:rsidR="00B52DD2" w:rsidRPr="003F4BC8" w:rsidRDefault="00B52DD2" w:rsidP="00150C36">
            <w:pPr>
              <w:pStyle w:val="p1"/>
              <w:rPr>
                <w:rFonts w:ascii="Times New Roman" w:hAnsi="Times New Roman"/>
                <w:sz w:val="24"/>
                <w:szCs w:val="24"/>
              </w:rPr>
            </w:pPr>
            <w:r w:rsidRPr="003F4BC8">
              <w:rPr>
                <w:rFonts w:ascii="Times New Roman" w:hAnsi="Times New Roman"/>
                <w:sz w:val="24"/>
                <w:szCs w:val="24"/>
              </w:rPr>
              <w:t>Fatalism index</w:t>
            </w:r>
          </w:p>
        </w:tc>
        <w:tc>
          <w:tcPr>
            <w:tcW w:w="767"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2004</w:t>
            </w:r>
          </w:p>
        </w:tc>
        <w:tc>
          <w:tcPr>
            <w:tcW w:w="763"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4.87</w:t>
            </w:r>
          </w:p>
        </w:tc>
        <w:tc>
          <w:tcPr>
            <w:tcW w:w="869"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2.92</w:t>
            </w:r>
          </w:p>
        </w:tc>
        <w:tc>
          <w:tcPr>
            <w:tcW w:w="950"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5</w:t>
            </w:r>
          </w:p>
        </w:tc>
        <w:tc>
          <w:tcPr>
            <w:tcW w:w="651"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0</w:t>
            </w:r>
          </w:p>
        </w:tc>
        <w:tc>
          <w:tcPr>
            <w:tcW w:w="656"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10</w:t>
            </w:r>
          </w:p>
        </w:tc>
      </w:tr>
      <w:tr w:rsidR="00B52DD2" w:rsidRPr="003F4BC8" w:rsidTr="00150C36">
        <w:tc>
          <w:tcPr>
            <w:tcW w:w="5064" w:type="dxa"/>
          </w:tcPr>
          <w:p w:rsidR="00B52DD2" w:rsidRPr="003F4BC8" w:rsidRDefault="00B52DD2" w:rsidP="00150C36">
            <w:pPr>
              <w:pStyle w:val="p1"/>
              <w:rPr>
                <w:rFonts w:ascii="Times New Roman" w:hAnsi="Times New Roman"/>
                <w:sz w:val="24"/>
                <w:szCs w:val="24"/>
              </w:rPr>
            </w:pPr>
            <w:r w:rsidRPr="003F4BC8">
              <w:rPr>
                <w:rFonts w:ascii="Times New Roman" w:hAnsi="Times New Roman"/>
                <w:sz w:val="24"/>
                <w:szCs w:val="24"/>
              </w:rPr>
              <w:t>Political ideology</w:t>
            </w:r>
          </w:p>
        </w:tc>
        <w:tc>
          <w:tcPr>
            <w:tcW w:w="767"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1995</w:t>
            </w:r>
          </w:p>
        </w:tc>
        <w:tc>
          <w:tcPr>
            <w:tcW w:w="763"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3.94</w:t>
            </w:r>
          </w:p>
        </w:tc>
        <w:tc>
          <w:tcPr>
            <w:tcW w:w="869"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1.64</w:t>
            </w:r>
          </w:p>
        </w:tc>
        <w:tc>
          <w:tcPr>
            <w:tcW w:w="950"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4</w:t>
            </w:r>
          </w:p>
        </w:tc>
        <w:tc>
          <w:tcPr>
            <w:tcW w:w="651"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w:t>
            </w:r>
          </w:p>
        </w:tc>
        <w:tc>
          <w:tcPr>
            <w:tcW w:w="656"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7</w:t>
            </w:r>
          </w:p>
        </w:tc>
      </w:tr>
      <w:tr w:rsidR="00B52DD2" w:rsidRPr="003F4BC8" w:rsidTr="00150C36">
        <w:tc>
          <w:tcPr>
            <w:tcW w:w="5064" w:type="dxa"/>
          </w:tcPr>
          <w:p w:rsidR="00B52DD2" w:rsidRPr="003F4BC8" w:rsidRDefault="00B52DD2" w:rsidP="00150C36">
            <w:pPr>
              <w:pStyle w:val="p1"/>
              <w:rPr>
                <w:rFonts w:ascii="Times New Roman" w:hAnsi="Times New Roman"/>
                <w:sz w:val="24"/>
                <w:szCs w:val="24"/>
              </w:rPr>
            </w:pPr>
            <w:r w:rsidRPr="003F4BC8">
              <w:rPr>
                <w:rFonts w:ascii="Times New Roman" w:hAnsi="Times New Roman"/>
                <w:sz w:val="24"/>
                <w:szCs w:val="24"/>
              </w:rPr>
              <w:t>Age</w:t>
            </w:r>
          </w:p>
        </w:tc>
        <w:tc>
          <w:tcPr>
            <w:tcW w:w="767"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2004</w:t>
            </w:r>
          </w:p>
        </w:tc>
        <w:tc>
          <w:tcPr>
            <w:tcW w:w="763"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47.15</w:t>
            </w:r>
          </w:p>
        </w:tc>
        <w:tc>
          <w:tcPr>
            <w:tcW w:w="869"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16.96</w:t>
            </w:r>
          </w:p>
        </w:tc>
        <w:tc>
          <w:tcPr>
            <w:tcW w:w="950"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47</w:t>
            </w:r>
          </w:p>
        </w:tc>
        <w:tc>
          <w:tcPr>
            <w:tcW w:w="651"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18</w:t>
            </w:r>
          </w:p>
        </w:tc>
        <w:tc>
          <w:tcPr>
            <w:tcW w:w="656"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93</w:t>
            </w:r>
          </w:p>
        </w:tc>
      </w:tr>
      <w:tr w:rsidR="00B52DD2" w:rsidRPr="003F4BC8" w:rsidTr="00150C36">
        <w:tc>
          <w:tcPr>
            <w:tcW w:w="5064" w:type="dxa"/>
          </w:tcPr>
          <w:p w:rsidR="00B52DD2" w:rsidRPr="003F4BC8" w:rsidRDefault="00B52DD2" w:rsidP="00150C36">
            <w:pPr>
              <w:pStyle w:val="p1"/>
              <w:rPr>
                <w:rFonts w:ascii="Times New Roman" w:hAnsi="Times New Roman"/>
                <w:sz w:val="24"/>
                <w:szCs w:val="24"/>
              </w:rPr>
            </w:pPr>
            <w:r w:rsidRPr="003F4BC8">
              <w:rPr>
                <w:rFonts w:ascii="Times New Roman" w:hAnsi="Times New Roman"/>
                <w:sz w:val="24"/>
                <w:szCs w:val="24"/>
              </w:rPr>
              <w:t>Education</w:t>
            </w:r>
          </w:p>
        </w:tc>
        <w:tc>
          <w:tcPr>
            <w:tcW w:w="767"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1993</w:t>
            </w:r>
          </w:p>
        </w:tc>
        <w:tc>
          <w:tcPr>
            <w:tcW w:w="763"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4.15</w:t>
            </w:r>
          </w:p>
        </w:tc>
        <w:tc>
          <w:tcPr>
            <w:tcW w:w="869"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1.89</w:t>
            </w:r>
          </w:p>
        </w:tc>
        <w:tc>
          <w:tcPr>
            <w:tcW w:w="950"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4</w:t>
            </w:r>
          </w:p>
        </w:tc>
        <w:tc>
          <w:tcPr>
            <w:tcW w:w="651"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w:t>
            </w:r>
          </w:p>
        </w:tc>
        <w:tc>
          <w:tcPr>
            <w:tcW w:w="656" w:type="dxa"/>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8</w:t>
            </w:r>
          </w:p>
        </w:tc>
      </w:tr>
      <w:tr w:rsidR="00B52DD2" w:rsidRPr="003F4BC8" w:rsidTr="00150C36">
        <w:tc>
          <w:tcPr>
            <w:tcW w:w="5064" w:type="dxa"/>
            <w:tcBorders>
              <w:bottom w:val="single" w:sz="18" w:space="0" w:color="auto"/>
            </w:tcBorders>
          </w:tcPr>
          <w:p w:rsidR="00B52DD2" w:rsidRPr="003F4BC8" w:rsidRDefault="00B52DD2" w:rsidP="00150C36">
            <w:pPr>
              <w:pStyle w:val="p1"/>
              <w:rPr>
                <w:rFonts w:ascii="Times New Roman" w:hAnsi="Times New Roman"/>
                <w:sz w:val="24"/>
                <w:szCs w:val="24"/>
              </w:rPr>
            </w:pPr>
            <w:r w:rsidRPr="003F4BC8">
              <w:rPr>
                <w:rFonts w:ascii="Times New Roman" w:hAnsi="Times New Roman"/>
                <w:sz w:val="24"/>
                <w:szCs w:val="24"/>
              </w:rPr>
              <w:t>Income</w:t>
            </w:r>
          </w:p>
        </w:tc>
        <w:tc>
          <w:tcPr>
            <w:tcW w:w="767" w:type="dxa"/>
            <w:tcBorders>
              <w:bottom w:val="single" w:sz="18"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1983</w:t>
            </w:r>
          </w:p>
        </w:tc>
        <w:tc>
          <w:tcPr>
            <w:tcW w:w="763" w:type="dxa"/>
            <w:tcBorders>
              <w:bottom w:val="single" w:sz="18"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6.47</w:t>
            </w:r>
          </w:p>
        </w:tc>
        <w:tc>
          <w:tcPr>
            <w:tcW w:w="869" w:type="dxa"/>
            <w:tcBorders>
              <w:bottom w:val="single" w:sz="18"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4.59</w:t>
            </w:r>
          </w:p>
        </w:tc>
        <w:tc>
          <w:tcPr>
            <w:tcW w:w="950" w:type="dxa"/>
            <w:tcBorders>
              <w:bottom w:val="single" w:sz="18"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6</w:t>
            </w:r>
          </w:p>
        </w:tc>
        <w:tc>
          <w:tcPr>
            <w:tcW w:w="651" w:type="dxa"/>
            <w:tcBorders>
              <w:bottom w:val="single" w:sz="18"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1</w:t>
            </w:r>
          </w:p>
        </w:tc>
        <w:tc>
          <w:tcPr>
            <w:tcW w:w="656" w:type="dxa"/>
            <w:tcBorders>
              <w:bottom w:val="single" w:sz="18"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21</w:t>
            </w:r>
          </w:p>
        </w:tc>
      </w:tr>
    </w:tbl>
    <w:p w:rsidR="00B52DD2" w:rsidRDefault="00B52DD2" w:rsidP="00B52DD2">
      <w:pPr>
        <w:pStyle w:val="p1"/>
        <w:spacing w:line="480" w:lineRule="auto"/>
        <w:ind w:firstLine="720"/>
        <w:jc w:val="both"/>
        <w:rPr>
          <w:rFonts w:ascii="Times New Roman" w:hAnsi="Times New Roman"/>
          <w:sz w:val="24"/>
          <w:szCs w:val="24"/>
        </w:rPr>
      </w:pPr>
    </w:p>
    <w:p w:rsidR="00B52DD2" w:rsidRPr="003F4BC8" w:rsidRDefault="00B52DD2" w:rsidP="00B52DD2">
      <w:pPr>
        <w:pStyle w:val="p1"/>
        <w:spacing w:line="480" w:lineRule="auto"/>
        <w:ind w:firstLine="720"/>
        <w:jc w:val="both"/>
        <w:rPr>
          <w:rFonts w:ascii="Times New Roman" w:hAnsi="Times New Roman"/>
          <w:sz w:val="24"/>
          <w:szCs w:val="24"/>
        </w:rPr>
      </w:pPr>
      <w:r w:rsidRPr="003F4BC8">
        <w:rPr>
          <w:rFonts w:ascii="Times New Roman" w:hAnsi="Times New Roman"/>
          <w:sz w:val="24"/>
          <w:szCs w:val="24"/>
        </w:rPr>
        <w:t xml:space="preserve">As descriptive statistical analysis demonstrates in Table 5-2 there are no extreme values that would make us believe that the data are not normally distributed. In general, respondents give higher preferences to electricity coming from renewable sources (mean percent is 51.89 from the hundred possible). This is not surprising having in mind that respondents have demonstrated higher concern for global warming (mean score is 3.71 on a scale from 1 to 5). However, the surprising element is the fact that the respondents’ second preference for energy source is electricity coming from fossil fuels (mean percent is 28.79 from the 100 possible) as opposed to nuclear energy (mean percent is 19.32 from the hundred possible) despite their concern for the environment. As for their cultural worldview, respondents are more prone to individualism (mean score of 6.18 on a scale from 0 to 10), followed by hierarchism (mean score of 5.6 on a scale from 0 to 10) and egalitarianism (mean score of 5.3 on a scale from 0 to 10). Fatalistic worldview (mean score of 4.9 on a scale from 0 to 10) has comparatively the lowest disposition in our distribution, however it is not very low in its absolute value. In terms of their political ideology, on average respondents lean </w:t>
      </w:r>
      <w:r w:rsidRPr="003F4BC8">
        <w:rPr>
          <w:rFonts w:ascii="Times New Roman" w:hAnsi="Times New Roman"/>
          <w:sz w:val="24"/>
          <w:szCs w:val="24"/>
        </w:rPr>
        <w:lastRenderedPageBreak/>
        <w:t>more to the liberal spectrum of the ideological continuum (mean score of 3.94 on a scale from 1 to 7, where 1 means strongly liberal and 7 means strongly conservative). Table 5-3 displays the frequency distribution of the categorical demographic covariates.</w:t>
      </w:r>
    </w:p>
    <w:p w:rsidR="00B52DD2" w:rsidRPr="003F4BC8" w:rsidRDefault="00B52DD2" w:rsidP="00B52DD2">
      <w:pPr>
        <w:pStyle w:val="p1"/>
        <w:spacing w:line="480" w:lineRule="auto"/>
        <w:jc w:val="center"/>
        <w:rPr>
          <w:rFonts w:ascii="Times New Roman" w:hAnsi="Times New Roman"/>
          <w:sz w:val="24"/>
          <w:szCs w:val="24"/>
        </w:rPr>
      </w:pPr>
      <w:r w:rsidRPr="003F4BC8">
        <w:rPr>
          <w:rFonts w:ascii="Times New Roman" w:hAnsi="Times New Roman"/>
          <w:b/>
          <w:bCs/>
          <w:sz w:val="24"/>
          <w:szCs w:val="24"/>
        </w:rPr>
        <w:t>Table 5-3:</w:t>
      </w:r>
      <w:r w:rsidRPr="003F4BC8">
        <w:rPr>
          <w:rFonts w:ascii="Times New Roman" w:hAnsi="Times New Roman"/>
          <w:sz w:val="24"/>
          <w:szCs w:val="24"/>
        </w:rPr>
        <w:t xml:space="preserve"> Frequency Distribution of Demographic Covariates</w:t>
      </w:r>
    </w:p>
    <w:p w:rsidR="00B52DD2" w:rsidRPr="003F4BC8" w:rsidRDefault="00B52DD2" w:rsidP="00B52DD2">
      <w:pPr>
        <w:pStyle w:val="p1"/>
        <w:spacing w:line="480" w:lineRule="auto"/>
        <w:jc w:val="center"/>
        <w:rPr>
          <w:rFonts w:ascii="Times New Roman" w:hAnsi="Times New Roman"/>
          <w:sz w:val="24"/>
          <w:szCs w:val="24"/>
        </w:rPr>
      </w:pPr>
      <w:r w:rsidRPr="003F4BC8">
        <w:rPr>
          <w:rFonts w:ascii="Times New Roman" w:hAnsi="Times New Roman"/>
          <w:noProof/>
          <w:sz w:val="24"/>
          <w:szCs w:val="24"/>
        </w:rPr>
        <w:drawing>
          <wp:inline distT="0" distB="0" distL="0" distR="0" wp14:anchorId="6D672231" wp14:editId="2897B574">
            <wp:extent cx="5604891" cy="85592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able 3_weighted.pdf"/>
                    <pic:cNvPicPr/>
                  </pic:nvPicPr>
                  <pic:blipFill rotWithShape="1">
                    <a:blip r:embed="rId32">
                      <a:extLst>
                        <a:ext uri="{28A0092B-C50C-407E-A947-70E740481C1C}">
                          <a14:useLocalDpi xmlns:a14="http://schemas.microsoft.com/office/drawing/2010/main" val="0"/>
                        </a:ext>
                      </a:extLst>
                    </a:blip>
                    <a:srcRect l="17674" t="15945" r="26204" b="72964"/>
                    <a:stretch/>
                  </pic:blipFill>
                  <pic:spPr bwMode="auto">
                    <a:xfrm>
                      <a:off x="0" y="0"/>
                      <a:ext cx="5610942" cy="856847"/>
                    </a:xfrm>
                    <a:prstGeom prst="rect">
                      <a:avLst/>
                    </a:prstGeom>
                    <a:ln>
                      <a:noFill/>
                    </a:ln>
                    <a:extLst>
                      <a:ext uri="{53640926-AAD7-44D8-BBD7-CCE9431645EC}">
                        <a14:shadowObscured xmlns:a14="http://schemas.microsoft.com/office/drawing/2010/main"/>
                      </a:ext>
                    </a:extLst>
                  </pic:spPr>
                </pic:pic>
              </a:graphicData>
            </a:graphic>
          </wp:inline>
        </w:drawing>
      </w:r>
    </w:p>
    <w:p w:rsidR="00B52DD2" w:rsidRPr="003F4BC8" w:rsidRDefault="00B52DD2" w:rsidP="00B52DD2">
      <w:pPr>
        <w:pStyle w:val="p1"/>
        <w:spacing w:line="480" w:lineRule="auto"/>
        <w:rPr>
          <w:rFonts w:ascii="Times New Roman" w:hAnsi="Times New Roman"/>
          <w:b/>
          <w:bCs/>
          <w:sz w:val="24"/>
          <w:szCs w:val="24"/>
        </w:rPr>
      </w:pPr>
      <w:r w:rsidRPr="003F4BC8">
        <w:rPr>
          <w:rFonts w:ascii="Times New Roman" w:hAnsi="Times New Roman"/>
          <w:b/>
          <w:bCs/>
          <w:sz w:val="24"/>
          <w:szCs w:val="24"/>
        </w:rPr>
        <w:t>Findings and Discussion</w:t>
      </w:r>
    </w:p>
    <w:p w:rsidR="00B52DD2" w:rsidRDefault="00B52DD2" w:rsidP="00B52DD2">
      <w:pPr>
        <w:pStyle w:val="p1"/>
        <w:spacing w:line="480" w:lineRule="auto"/>
        <w:ind w:firstLine="432"/>
        <w:jc w:val="both"/>
        <w:rPr>
          <w:rFonts w:ascii="Times New Roman" w:hAnsi="Times New Roman"/>
          <w:sz w:val="24"/>
          <w:szCs w:val="24"/>
        </w:rPr>
      </w:pPr>
      <w:r w:rsidRPr="003F4BC8">
        <w:rPr>
          <w:rFonts w:ascii="Times New Roman" w:hAnsi="Times New Roman"/>
          <w:sz w:val="24"/>
          <w:szCs w:val="24"/>
        </w:rPr>
        <w:t>We tested number of hypotheses concerning the preferences of energy sources among American public influenced by their global warming risk perceptions that we proposed might be mediated through their cultural worldview (Model 1), political ideology (Model 3) or demographic characteristics (Models 2 and 4). Each of these hypotheses were tested first using polynomial regression with interaction terms. However, due to the number of problems associated with interpreting interactions between two continuous variables OLS regression models were run with standardized interaction terms (Aiken and West 1991; Dawson 2013; Dawson and Richter 2006; Jaccard, Turrisi and Wan 2003). Following the procedures described by Aiken and West (1991), Dawson (2013) and Dawson and Richter (2006) the variables of interest were first centered (the mean is subtracted from each case) and then standardized to a z-score. The outcomes of standardized regression coefficients allow more substantive interpretation of the magnitude of the observed interaction effects (Aiken and West 1991; Dawson 2013; Dawson and Richter 2006; Jaccard, Turrisi and Wan 2003).</w:t>
      </w:r>
    </w:p>
    <w:p w:rsidR="00B52DD2" w:rsidRDefault="00B52DD2" w:rsidP="00B52DD2">
      <w:pPr>
        <w:pStyle w:val="p1"/>
        <w:spacing w:line="480" w:lineRule="auto"/>
        <w:ind w:firstLine="432"/>
        <w:jc w:val="both"/>
        <w:rPr>
          <w:rFonts w:ascii="Times New Roman" w:hAnsi="Times New Roman"/>
          <w:sz w:val="24"/>
          <w:szCs w:val="24"/>
        </w:rPr>
      </w:pPr>
    </w:p>
    <w:p w:rsidR="00B52DD2" w:rsidRPr="003F4BC8" w:rsidRDefault="00B52DD2" w:rsidP="00B52DD2">
      <w:pPr>
        <w:pStyle w:val="p1"/>
        <w:spacing w:line="480" w:lineRule="auto"/>
        <w:ind w:firstLine="432"/>
        <w:jc w:val="both"/>
        <w:rPr>
          <w:rFonts w:ascii="Times New Roman" w:hAnsi="Times New Roman"/>
          <w:sz w:val="24"/>
          <w:szCs w:val="24"/>
        </w:rPr>
      </w:pPr>
    </w:p>
    <w:p w:rsidR="00B52DD2" w:rsidRDefault="00B52DD2" w:rsidP="00B52DD2">
      <w:pPr>
        <w:pStyle w:val="p1"/>
        <w:ind w:left="720" w:hanging="720"/>
        <w:jc w:val="center"/>
        <w:rPr>
          <w:rFonts w:ascii="Times New Roman" w:hAnsi="Times New Roman"/>
          <w:sz w:val="24"/>
          <w:szCs w:val="24"/>
        </w:rPr>
      </w:pPr>
      <w:r w:rsidRPr="003F4BC8">
        <w:rPr>
          <w:rFonts w:ascii="Times New Roman" w:hAnsi="Times New Roman"/>
          <w:b/>
          <w:bCs/>
          <w:sz w:val="24"/>
          <w:szCs w:val="24"/>
        </w:rPr>
        <w:lastRenderedPageBreak/>
        <w:t>Table 5-4:</w:t>
      </w:r>
      <w:r w:rsidRPr="003F4BC8">
        <w:rPr>
          <w:rFonts w:ascii="Times New Roman" w:hAnsi="Times New Roman"/>
          <w:sz w:val="24"/>
          <w:szCs w:val="24"/>
        </w:rPr>
        <w:t xml:space="preserve"> OLS Regression Results for Energy Source Preferences in Interaction with Cultural Worldviews</w:t>
      </w:r>
    </w:p>
    <w:p w:rsidR="00B52DD2" w:rsidRPr="003F4BC8" w:rsidRDefault="00B52DD2" w:rsidP="00B52DD2">
      <w:pPr>
        <w:pStyle w:val="p1"/>
        <w:ind w:left="720" w:hanging="720"/>
        <w:jc w:val="center"/>
        <w:rPr>
          <w:rFonts w:ascii="Times New Roman" w:hAnsi="Times New Roman"/>
          <w:sz w:val="24"/>
          <w:szCs w:val="24"/>
        </w:rPr>
      </w:pPr>
      <w:r w:rsidRPr="003F4BC8">
        <w:rPr>
          <w:rFonts w:ascii="Times New Roman" w:hAnsi="Times New Roman"/>
          <w:sz w:val="24"/>
          <w:szCs w:val="24"/>
        </w:rPr>
        <w:t xml:space="preserve">                                </w:t>
      </w:r>
    </w:p>
    <w:p w:rsidR="00B52DD2" w:rsidRPr="003F4BC8" w:rsidRDefault="00B52DD2" w:rsidP="00B52DD2">
      <w:pPr>
        <w:pStyle w:val="p1"/>
        <w:spacing w:line="480" w:lineRule="auto"/>
        <w:jc w:val="center"/>
        <w:rPr>
          <w:rFonts w:ascii="Times New Roman" w:hAnsi="Times New Roman"/>
          <w:sz w:val="24"/>
          <w:szCs w:val="24"/>
        </w:rPr>
      </w:pPr>
      <w:r w:rsidRPr="003F4BC8">
        <w:rPr>
          <w:rFonts w:ascii="Times New Roman" w:hAnsi="Times New Roman"/>
          <w:noProof/>
          <w:sz w:val="24"/>
          <w:szCs w:val="24"/>
        </w:rPr>
        <w:drawing>
          <wp:inline distT="0" distB="0" distL="0" distR="0" wp14:anchorId="5F18DC29" wp14:editId="57C2F380">
            <wp:extent cx="5689278" cy="6327648"/>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able 4_weighted final.pdf"/>
                    <pic:cNvPicPr/>
                  </pic:nvPicPr>
                  <pic:blipFill rotWithShape="1">
                    <a:blip r:embed="rId33">
                      <a:extLst>
                        <a:ext uri="{28A0092B-C50C-407E-A947-70E740481C1C}">
                          <a14:useLocalDpi xmlns:a14="http://schemas.microsoft.com/office/drawing/2010/main" val="0"/>
                        </a:ext>
                      </a:extLst>
                    </a:blip>
                    <a:srcRect l="12183" t="9167" r="23054" b="35175"/>
                    <a:stretch/>
                  </pic:blipFill>
                  <pic:spPr bwMode="auto">
                    <a:xfrm>
                      <a:off x="0" y="0"/>
                      <a:ext cx="5721760" cy="6363775"/>
                    </a:xfrm>
                    <a:prstGeom prst="rect">
                      <a:avLst/>
                    </a:prstGeom>
                    <a:ln>
                      <a:noFill/>
                    </a:ln>
                    <a:extLst>
                      <a:ext uri="{53640926-AAD7-44D8-BBD7-CCE9431645EC}">
                        <a14:shadowObscured xmlns:a14="http://schemas.microsoft.com/office/drawing/2010/main"/>
                      </a:ext>
                    </a:extLst>
                  </pic:spPr>
                </pic:pic>
              </a:graphicData>
            </a:graphic>
          </wp:inline>
        </w:drawing>
      </w:r>
    </w:p>
    <w:p w:rsidR="00B52DD2" w:rsidRPr="003F4BC8" w:rsidRDefault="00B52DD2" w:rsidP="00B52DD2">
      <w:pPr>
        <w:pStyle w:val="p1"/>
        <w:spacing w:line="480" w:lineRule="auto"/>
        <w:ind w:firstLine="432"/>
        <w:jc w:val="both"/>
        <w:rPr>
          <w:rFonts w:ascii="Times New Roman" w:hAnsi="Times New Roman"/>
          <w:sz w:val="24"/>
          <w:szCs w:val="24"/>
        </w:rPr>
      </w:pPr>
      <w:r w:rsidRPr="003F4BC8">
        <w:rPr>
          <w:rFonts w:ascii="Times New Roman" w:hAnsi="Times New Roman"/>
          <w:sz w:val="24"/>
          <w:szCs w:val="24"/>
        </w:rPr>
        <w:t xml:space="preserve">OLS Regression results of energy source preferences with interaction effects representing different cultural subgroups of American public are presented in table 5-4. The results of the analysis show that global warming risk perceptions for some instances in interaction with cultural </w:t>
      </w:r>
      <w:r w:rsidRPr="003F4BC8">
        <w:rPr>
          <w:rFonts w:ascii="Times New Roman" w:hAnsi="Times New Roman"/>
          <w:sz w:val="24"/>
          <w:szCs w:val="24"/>
        </w:rPr>
        <w:lastRenderedPageBreak/>
        <w:t>worldview (for individualistic and egalitarian cultural types) systematically effects energy mix preferences among respondents even when holding the influence of other co-variates on the dependent variable constant. Consistent with our theoretical expectations there is a strong negative relationship between global warming risk perception and the likelihood of preferring fossil fuels as a prime energy source when individual’s cultural worldview is held at its mean (-7.165, p &lt; 0.001 in Model 1 and -7,151, p &lt; 0.001 in Model 2). Similarly, we found statistically significant positive relationship between global warming risk perception and the likelihood of respondents to choose renewable energy as a primary energy source when individual’s cultural worldview is held at its mean (+9.334, p &lt; 0.001 in Model 1 and +9.392, p &lt; 0.001 in Model 2). We also found statistically significant negative relationship between global warming risk perception and the likelihood of selection of nuclear energy as a primary energy source preferences when individual’s cultural worldview is held at its mean (-2.170, p &lt; 0.001 in Model 1 and -2.241, p &lt; 0.001 in Model 2). This finding does not correspond with our initial theoretical expectations.</w:t>
      </w:r>
    </w:p>
    <w:p w:rsidR="00B52DD2" w:rsidRPr="003F4BC8" w:rsidRDefault="00B52DD2" w:rsidP="00B52DD2">
      <w:pPr>
        <w:pStyle w:val="p1"/>
        <w:spacing w:line="480" w:lineRule="auto"/>
        <w:ind w:firstLine="432"/>
        <w:jc w:val="both"/>
        <w:rPr>
          <w:rFonts w:ascii="Times New Roman" w:hAnsi="Times New Roman"/>
          <w:sz w:val="24"/>
          <w:szCs w:val="24"/>
        </w:rPr>
      </w:pPr>
      <w:r w:rsidRPr="003F4BC8">
        <w:rPr>
          <w:rFonts w:ascii="Times New Roman" w:hAnsi="Times New Roman"/>
          <w:sz w:val="24"/>
          <w:szCs w:val="24"/>
        </w:rPr>
        <w:t xml:space="preserve">When observing the effect of cultural subtypes on energy source preferences when individual’s global warming risk perception is held on its mean, we do not find results consistent with our theoretical expectations. We found a statistically significant negative relationship between egalitarianism and the likelihood of respondents to choose nuclear energy as a primary energy source when individual’s global warming risk perception is held constant (-0.391, p &lt; 0.05 in Model 1 and -0.421, p &lt; 0.05 in Model 2). Our findings demonstrate that hierarchs have stronger preferences for fossil fuels (+0.686, p &lt; 0.001 in Model 1 and +0.671, p &lt; 0.001 in Model 2) and nuclear energy (+0.424, p &lt; 0.05 in Model 1 and +0.352, p &lt; 0.10 in Model 2) and are less likely to select renewable energy (-1.109, p &lt; 0.001 in Model 1 and -1.023, p &lt; 0.001 in Model 2) in the energy mix when their global warming risk perception is held on its mean. Our findings show </w:t>
      </w:r>
      <w:r w:rsidRPr="003F4BC8">
        <w:rPr>
          <w:rFonts w:ascii="Times New Roman" w:hAnsi="Times New Roman"/>
          <w:sz w:val="24"/>
          <w:szCs w:val="24"/>
        </w:rPr>
        <w:lastRenderedPageBreak/>
        <w:t>similar results for fatalists. According to our results fatalists have stronger preferences for fossil fuels (+0.505, p &lt; 0.05 in Model 1 and +0.509, p &lt; 0.05 in Model 2) and nuclear energy (+0.400, p &lt; 0.05 in Model 1 and +0.427, p &lt; 0.001 in Model 2) and are less likely to select renewable energy (-0.905, p &lt; 0.001 in Model 1 and -0.937, p &lt; 0.001 in Model 2) in the energy mix when their global warming risk perception is held on its mean.</w:t>
      </w:r>
    </w:p>
    <w:p w:rsidR="00B52DD2" w:rsidRPr="003F4BC8" w:rsidRDefault="00B52DD2" w:rsidP="00B52DD2">
      <w:pPr>
        <w:pStyle w:val="p1"/>
        <w:spacing w:line="480" w:lineRule="auto"/>
        <w:ind w:firstLine="432"/>
        <w:jc w:val="both"/>
        <w:rPr>
          <w:rFonts w:ascii="Times New Roman" w:hAnsi="Times New Roman"/>
          <w:sz w:val="24"/>
          <w:szCs w:val="24"/>
        </w:rPr>
      </w:pPr>
      <w:r w:rsidRPr="003F4BC8">
        <w:rPr>
          <w:rFonts w:ascii="Times New Roman" w:hAnsi="Times New Roman"/>
          <w:sz w:val="24"/>
          <w:szCs w:val="24"/>
        </w:rPr>
        <w:t>The findings of interaction effects of are consistent with our theoretical expectations. There is statistically significant and positive, yet mild interaction effect between individualistic cultural archetype on respondents’ preferences for nuclear energy sources at different values of respondents’ global warming risk perception (+0.274, p &lt; 0.10 in Model 1 and +0.293, p &lt; 0.10 in Model 2). Likewise, for those respondents who are more prone to egalitarian cultural worldview, we observed statistically significant and positive, but mild interaction effect on their preferences for nuclear energy sources at different values of respondents’ global warming risk perception (+0.227, p &lt; 0.10 in Model 1 and +0.244, p &lt; 0.10 in Model 2).</w:t>
      </w:r>
    </w:p>
    <w:p w:rsidR="00B52DD2" w:rsidRPr="003F4BC8" w:rsidRDefault="00B52DD2" w:rsidP="00B52DD2">
      <w:pPr>
        <w:pStyle w:val="p1"/>
        <w:spacing w:line="480" w:lineRule="auto"/>
        <w:ind w:firstLine="432"/>
        <w:jc w:val="both"/>
        <w:rPr>
          <w:rFonts w:ascii="Times New Roman" w:hAnsi="Times New Roman"/>
          <w:sz w:val="24"/>
          <w:szCs w:val="24"/>
        </w:rPr>
      </w:pPr>
      <w:r w:rsidRPr="003F4BC8">
        <w:rPr>
          <w:rFonts w:ascii="Times New Roman" w:hAnsi="Times New Roman"/>
          <w:sz w:val="24"/>
          <w:szCs w:val="24"/>
        </w:rPr>
        <w:t xml:space="preserve">Table 5-5 shows the OLS Regression results of energy source preferences influenced by the respondents global warming risk perception in interaction with political ideology. As we had predicated respondents who have demonstrated higher global warming risk perception have little preference for energy originating from fossil fuels (-6.091, p &lt; 0.001 in Model 3) and more likely to prefer energy originating from renewable sources (+8.196, p &lt; 0.001 in Model 3) when their political ideology was held on its mean. These findings were true when these hypotheses were tested with demographic covariates (-6.084, p &lt; 0.001 for fossil fuels in Model 4 and +8.294, p &lt; 0.001 for renewable sources in Model 4). However, some of our findings are not consistent with our original theoretical expectations. Among those, first, we found a statistically significant negative relationship between respondents’ global warming risk perception and their preference </w:t>
      </w:r>
      <w:r w:rsidRPr="003F4BC8">
        <w:rPr>
          <w:rFonts w:ascii="Times New Roman" w:hAnsi="Times New Roman"/>
          <w:sz w:val="24"/>
          <w:szCs w:val="24"/>
        </w:rPr>
        <w:lastRenderedPageBreak/>
        <w:t>for nuclear energy sources when their political ideology is held on its mean (-2.105, p &lt; 0.001 in Model 3 and -2.210, p &lt; 0.001 in Model 4). Second, our data demonstrates that respondents with liberal political ideology are less likely to prefer fossil fuel (+1.472, p &lt; 0.001 in Model 3 and +1.482, p &lt; 0.001 in Model 4) and are more likely to prefer renewable energy sources (-2.051, p &lt; 0.001 in Model 3 and -2.068, p &lt; 0.001 in Model 4) when their global warming risk perception is held on its mean. However, respondents with liberal political ideology are less likely to prefer nuclear energy sources (+0.579, p &lt; 0.10 in Model 3 and +0.586, p &lt; 0.10 in Model 4).</w:t>
      </w:r>
    </w:p>
    <w:p w:rsidR="00B52DD2" w:rsidRDefault="00B52DD2" w:rsidP="00B52DD2">
      <w:pPr>
        <w:pStyle w:val="p1"/>
        <w:spacing w:line="480" w:lineRule="auto"/>
        <w:ind w:firstLine="432"/>
        <w:jc w:val="both"/>
        <w:rPr>
          <w:rFonts w:ascii="Times New Roman" w:hAnsi="Times New Roman"/>
          <w:sz w:val="24"/>
          <w:szCs w:val="24"/>
        </w:rPr>
      </w:pPr>
      <w:r w:rsidRPr="003F4BC8">
        <w:rPr>
          <w:rFonts w:ascii="Times New Roman" w:hAnsi="Times New Roman"/>
          <w:sz w:val="24"/>
          <w:szCs w:val="24"/>
        </w:rPr>
        <w:t>Finally, our findings of interaction effects are consistent with our theoretical expectations. We found a negative significant interaction effect of global warming risk perception on respondents’ renewable energy source preferences at different values of respondents’ political ideology (-0.618, p &lt; 0.10 in Model 3). However, this is a mild interaction effect and it did not hold true when this hypothesis was tested along with other demographic covariates (Model 4).</w:t>
      </w:r>
    </w:p>
    <w:p w:rsidR="00B52DD2" w:rsidRDefault="00B52DD2" w:rsidP="00B52DD2">
      <w:pPr>
        <w:pStyle w:val="p1"/>
        <w:spacing w:line="480" w:lineRule="auto"/>
        <w:jc w:val="both"/>
        <w:rPr>
          <w:rFonts w:ascii="Times New Roman" w:hAnsi="Times New Roman"/>
          <w:sz w:val="24"/>
          <w:szCs w:val="24"/>
        </w:rPr>
      </w:pPr>
    </w:p>
    <w:p w:rsidR="00B52DD2" w:rsidRDefault="00B52DD2" w:rsidP="00B52DD2">
      <w:pPr>
        <w:pStyle w:val="p1"/>
        <w:spacing w:line="480" w:lineRule="auto"/>
        <w:jc w:val="both"/>
        <w:rPr>
          <w:rFonts w:ascii="Times New Roman" w:hAnsi="Times New Roman"/>
          <w:sz w:val="24"/>
          <w:szCs w:val="24"/>
        </w:rPr>
      </w:pPr>
    </w:p>
    <w:p w:rsidR="00B52DD2" w:rsidRDefault="00B52DD2" w:rsidP="00B52DD2">
      <w:pPr>
        <w:pStyle w:val="p1"/>
        <w:spacing w:line="480" w:lineRule="auto"/>
        <w:jc w:val="both"/>
        <w:rPr>
          <w:rFonts w:ascii="Times New Roman" w:hAnsi="Times New Roman"/>
          <w:sz w:val="24"/>
          <w:szCs w:val="24"/>
        </w:rPr>
      </w:pPr>
    </w:p>
    <w:p w:rsidR="00B52DD2" w:rsidRDefault="00B52DD2" w:rsidP="00B52DD2">
      <w:pPr>
        <w:pStyle w:val="p1"/>
        <w:spacing w:line="480" w:lineRule="auto"/>
        <w:jc w:val="both"/>
        <w:rPr>
          <w:rFonts w:ascii="Times New Roman" w:hAnsi="Times New Roman"/>
          <w:sz w:val="24"/>
          <w:szCs w:val="24"/>
        </w:rPr>
      </w:pPr>
    </w:p>
    <w:p w:rsidR="00B52DD2" w:rsidRDefault="00B52DD2" w:rsidP="00B52DD2">
      <w:pPr>
        <w:pStyle w:val="p1"/>
        <w:spacing w:line="480" w:lineRule="auto"/>
        <w:jc w:val="both"/>
        <w:rPr>
          <w:rFonts w:ascii="Times New Roman" w:hAnsi="Times New Roman"/>
          <w:sz w:val="24"/>
          <w:szCs w:val="24"/>
        </w:rPr>
      </w:pPr>
    </w:p>
    <w:p w:rsidR="00B52DD2" w:rsidRDefault="00B52DD2" w:rsidP="00B52DD2">
      <w:pPr>
        <w:pStyle w:val="p1"/>
        <w:spacing w:line="480" w:lineRule="auto"/>
        <w:jc w:val="both"/>
        <w:rPr>
          <w:rFonts w:ascii="Times New Roman" w:hAnsi="Times New Roman"/>
          <w:sz w:val="24"/>
          <w:szCs w:val="24"/>
        </w:rPr>
      </w:pPr>
    </w:p>
    <w:p w:rsidR="00B52DD2" w:rsidRDefault="00B52DD2" w:rsidP="00B52DD2">
      <w:pPr>
        <w:pStyle w:val="p1"/>
        <w:spacing w:line="480" w:lineRule="auto"/>
        <w:jc w:val="both"/>
        <w:rPr>
          <w:rFonts w:ascii="Times New Roman" w:hAnsi="Times New Roman"/>
          <w:sz w:val="24"/>
          <w:szCs w:val="24"/>
        </w:rPr>
      </w:pPr>
    </w:p>
    <w:p w:rsidR="00B52DD2" w:rsidRDefault="00B52DD2" w:rsidP="00B52DD2">
      <w:pPr>
        <w:pStyle w:val="p1"/>
        <w:spacing w:line="480" w:lineRule="auto"/>
        <w:jc w:val="both"/>
        <w:rPr>
          <w:rFonts w:ascii="Times New Roman" w:hAnsi="Times New Roman"/>
          <w:sz w:val="24"/>
          <w:szCs w:val="24"/>
        </w:rPr>
      </w:pPr>
    </w:p>
    <w:p w:rsidR="00B52DD2" w:rsidRDefault="00B52DD2" w:rsidP="00B52DD2">
      <w:pPr>
        <w:pStyle w:val="p1"/>
        <w:spacing w:line="480" w:lineRule="auto"/>
        <w:jc w:val="both"/>
        <w:rPr>
          <w:rFonts w:ascii="Times New Roman" w:hAnsi="Times New Roman"/>
          <w:sz w:val="24"/>
          <w:szCs w:val="24"/>
        </w:rPr>
      </w:pPr>
    </w:p>
    <w:p w:rsidR="00B52DD2" w:rsidRDefault="00B52DD2" w:rsidP="00B52DD2">
      <w:pPr>
        <w:pStyle w:val="p1"/>
        <w:spacing w:line="480" w:lineRule="auto"/>
        <w:jc w:val="both"/>
        <w:rPr>
          <w:rFonts w:ascii="Times New Roman" w:hAnsi="Times New Roman"/>
          <w:sz w:val="24"/>
          <w:szCs w:val="24"/>
        </w:rPr>
      </w:pPr>
    </w:p>
    <w:p w:rsidR="00B52DD2" w:rsidRPr="003F4BC8" w:rsidRDefault="00B52DD2" w:rsidP="00B52DD2">
      <w:pPr>
        <w:pStyle w:val="p1"/>
        <w:spacing w:line="480" w:lineRule="auto"/>
        <w:jc w:val="both"/>
        <w:rPr>
          <w:rFonts w:ascii="Times New Roman" w:hAnsi="Times New Roman"/>
          <w:sz w:val="24"/>
          <w:szCs w:val="24"/>
        </w:rPr>
      </w:pPr>
    </w:p>
    <w:p w:rsidR="00B52DD2" w:rsidRDefault="00B52DD2" w:rsidP="00B52DD2">
      <w:pPr>
        <w:pStyle w:val="p1"/>
        <w:ind w:left="720" w:hanging="720"/>
        <w:jc w:val="center"/>
        <w:rPr>
          <w:rFonts w:ascii="Times New Roman" w:hAnsi="Times New Roman"/>
          <w:sz w:val="24"/>
          <w:szCs w:val="24"/>
        </w:rPr>
      </w:pPr>
      <w:r w:rsidRPr="003F4BC8">
        <w:rPr>
          <w:rFonts w:ascii="Times New Roman" w:hAnsi="Times New Roman"/>
          <w:b/>
          <w:bCs/>
          <w:sz w:val="24"/>
          <w:szCs w:val="24"/>
        </w:rPr>
        <w:lastRenderedPageBreak/>
        <w:t>Table 5-5:</w:t>
      </w:r>
      <w:r w:rsidRPr="003F4BC8">
        <w:rPr>
          <w:rFonts w:ascii="Times New Roman" w:hAnsi="Times New Roman"/>
          <w:sz w:val="24"/>
          <w:szCs w:val="24"/>
        </w:rPr>
        <w:t xml:space="preserve"> OLS Regression Results for Energy Source Preferences in Interaction with Political Ideology.</w:t>
      </w:r>
    </w:p>
    <w:p w:rsidR="00B52DD2" w:rsidRPr="003F4BC8" w:rsidRDefault="00B52DD2" w:rsidP="00B52DD2">
      <w:pPr>
        <w:pStyle w:val="p1"/>
        <w:ind w:left="720" w:hanging="720"/>
        <w:jc w:val="center"/>
        <w:rPr>
          <w:rFonts w:ascii="Times New Roman" w:hAnsi="Times New Roman"/>
          <w:sz w:val="24"/>
          <w:szCs w:val="24"/>
        </w:rPr>
      </w:pPr>
    </w:p>
    <w:p w:rsidR="00B52DD2" w:rsidRPr="003F4BC8" w:rsidRDefault="00B52DD2" w:rsidP="00B52DD2">
      <w:pPr>
        <w:pStyle w:val="p1"/>
        <w:spacing w:line="480" w:lineRule="auto"/>
        <w:rPr>
          <w:rFonts w:ascii="Times New Roman" w:hAnsi="Times New Roman"/>
          <w:sz w:val="24"/>
          <w:szCs w:val="24"/>
        </w:rPr>
      </w:pPr>
      <w:r w:rsidRPr="003F4BC8">
        <w:rPr>
          <w:rFonts w:ascii="Times New Roman" w:hAnsi="Times New Roman"/>
          <w:noProof/>
          <w:sz w:val="24"/>
          <w:szCs w:val="24"/>
        </w:rPr>
        <w:drawing>
          <wp:inline distT="0" distB="0" distL="0" distR="0" wp14:anchorId="6D0450D6" wp14:editId="599E0BB1">
            <wp:extent cx="5852160" cy="4149708"/>
            <wp:effectExtent l="0" t="0" r="254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able 5_Weighted final.pdf"/>
                    <pic:cNvPicPr/>
                  </pic:nvPicPr>
                  <pic:blipFill rotWithShape="1">
                    <a:blip r:embed="rId34">
                      <a:extLst>
                        <a:ext uri="{28A0092B-C50C-407E-A947-70E740481C1C}">
                          <a14:useLocalDpi xmlns:a14="http://schemas.microsoft.com/office/drawing/2010/main" val="0"/>
                        </a:ext>
                      </a:extLst>
                    </a:blip>
                    <a:srcRect l="12582" t="14179" r="14793" b="46026"/>
                    <a:stretch/>
                  </pic:blipFill>
                  <pic:spPr bwMode="auto">
                    <a:xfrm>
                      <a:off x="0" y="0"/>
                      <a:ext cx="6002344" cy="4256202"/>
                    </a:xfrm>
                    <a:prstGeom prst="rect">
                      <a:avLst/>
                    </a:prstGeom>
                    <a:ln>
                      <a:noFill/>
                    </a:ln>
                    <a:extLst>
                      <a:ext uri="{53640926-AAD7-44D8-BBD7-CCE9431645EC}">
                        <a14:shadowObscured xmlns:a14="http://schemas.microsoft.com/office/drawing/2010/main"/>
                      </a:ext>
                    </a:extLst>
                  </pic:spPr>
                </pic:pic>
              </a:graphicData>
            </a:graphic>
          </wp:inline>
        </w:drawing>
      </w:r>
    </w:p>
    <w:p w:rsidR="00B52DD2" w:rsidRPr="003F4BC8" w:rsidRDefault="00B52DD2" w:rsidP="00B52DD2">
      <w:pPr>
        <w:pStyle w:val="p1"/>
        <w:spacing w:line="480" w:lineRule="auto"/>
        <w:ind w:firstLine="432"/>
        <w:jc w:val="both"/>
        <w:rPr>
          <w:rFonts w:ascii="Times New Roman" w:hAnsi="Times New Roman"/>
          <w:sz w:val="24"/>
          <w:szCs w:val="24"/>
        </w:rPr>
      </w:pPr>
      <w:r w:rsidRPr="003F4BC8">
        <w:rPr>
          <w:rFonts w:ascii="Times New Roman" w:hAnsi="Times New Roman"/>
          <w:sz w:val="24"/>
          <w:szCs w:val="24"/>
        </w:rPr>
        <w:t>There are some noteworthy results when testing our proposed hypotheses with demographic covariates. We found statistically significant positive relationship between respondents’ preferences for nuclear energy sources and their gender (+3.646, p &lt; 0.001 in Model 2 and +3.668, p &lt; 0.001 in Model 4), Hispanic race (+2.971, p &lt; 0.05 in Model 2 and +3.030, p &lt; 0.05 in Model 4), income (+0.236, p &lt; 0.05 in Model 2 and +0.228, p &lt; 0.05 in Model 4) and level of education (+0.453, p &lt; 0.10 in Model 2). We also found statistically significant negative relationship between respondents’ preferences for renewable energy sources and their gender (-2.587, p &lt; 0.10 in Model 2 and -3.076, p &lt; 0.05 in Model 4) and income (-0.442, p &lt; 0.001 in Model 2 and -0.398, p &lt; 0.05 in Model 4).</w:t>
      </w:r>
    </w:p>
    <w:p w:rsidR="00B52DD2" w:rsidRDefault="00B52DD2" w:rsidP="00B52DD2">
      <w:pPr>
        <w:pStyle w:val="p1"/>
        <w:spacing w:line="480" w:lineRule="auto"/>
        <w:ind w:firstLine="432"/>
        <w:jc w:val="both"/>
        <w:rPr>
          <w:rFonts w:ascii="Times New Roman" w:hAnsi="Times New Roman"/>
          <w:sz w:val="24"/>
          <w:szCs w:val="24"/>
        </w:rPr>
      </w:pPr>
      <w:r w:rsidRPr="003F4BC8">
        <w:rPr>
          <w:rFonts w:ascii="Times New Roman" w:hAnsi="Times New Roman"/>
          <w:sz w:val="24"/>
          <w:szCs w:val="24"/>
        </w:rPr>
        <w:lastRenderedPageBreak/>
        <w:t>Up until now, we explored how beliefs about global warming influence individuals’ energy source preferences based on their cultural worldview and political ideology. We also look at the predicted probabilities of respondents’ preferences for energy sources contingent upon their strong cultural subtype (2 points higher than the mean).</w:t>
      </w:r>
    </w:p>
    <w:p w:rsidR="00B52DD2" w:rsidRPr="003F4BC8" w:rsidRDefault="00B52DD2" w:rsidP="00B52DD2">
      <w:pPr>
        <w:pStyle w:val="p1"/>
        <w:spacing w:line="480" w:lineRule="auto"/>
        <w:ind w:firstLine="432"/>
        <w:jc w:val="both"/>
        <w:rPr>
          <w:rFonts w:ascii="Times New Roman" w:hAnsi="Times New Roman"/>
          <w:sz w:val="24"/>
          <w:szCs w:val="24"/>
        </w:rPr>
      </w:pPr>
    </w:p>
    <w:p w:rsidR="00B52DD2" w:rsidRPr="003F4BC8" w:rsidRDefault="00B52DD2" w:rsidP="00B52DD2">
      <w:pPr>
        <w:pStyle w:val="p1"/>
        <w:spacing w:line="480" w:lineRule="auto"/>
        <w:jc w:val="center"/>
        <w:rPr>
          <w:rFonts w:ascii="Times New Roman" w:hAnsi="Times New Roman"/>
          <w:sz w:val="24"/>
          <w:szCs w:val="24"/>
        </w:rPr>
      </w:pPr>
      <w:r w:rsidRPr="003F4BC8">
        <w:rPr>
          <w:rFonts w:ascii="Times New Roman" w:hAnsi="Times New Roman"/>
          <w:b/>
          <w:bCs/>
          <w:sz w:val="24"/>
          <w:szCs w:val="24"/>
        </w:rPr>
        <w:t>Figure 5-2.</w:t>
      </w:r>
      <w:r w:rsidRPr="003F4BC8">
        <w:rPr>
          <w:rFonts w:ascii="Times New Roman" w:hAnsi="Times New Roman"/>
          <w:sz w:val="24"/>
          <w:szCs w:val="24"/>
        </w:rPr>
        <w:t xml:space="preserve"> The Probability of Energy Source Preference among Cultural Subgroups</w:t>
      </w:r>
    </w:p>
    <w:p w:rsidR="00B52DD2" w:rsidRPr="003F4BC8" w:rsidRDefault="00B52DD2" w:rsidP="00B52DD2">
      <w:pPr>
        <w:pStyle w:val="p1"/>
        <w:spacing w:line="480" w:lineRule="auto"/>
        <w:rPr>
          <w:rFonts w:ascii="Times New Roman" w:hAnsi="Times New Roman"/>
          <w:sz w:val="24"/>
          <w:szCs w:val="24"/>
        </w:rPr>
      </w:pPr>
      <w:r w:rsidRPr="003F4BC8">
        <w:rPr>
          <w:rFonts w:ascii="Times New Roman" w:hAnsi="Times New Roman"/>
          <w:noProof/>
          <w:sz w:val="24"/>
          <w:szCs w:val="24"/>
        </w:rPr>
        <w:drawing>
          <wp:inline distT="0" distB="0" distL="0" distR="0" wp14:anchorId="1F335926" wp14:editId="0FEFC419">
            <wp:extent cx="5467149" cy="197294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ulture1 with gccrsk.pdf"/>
                    <pic:cNvPicPr/>
                  </pic:nvPicPr>
                  <pic:blipFill rotWithShape="1">
                    <a:blip r:embed="rId35">
                      <a:extLst>
                        <a:ext uri="{28A0092B-C50C-407E-A947-70E740481C1C}">
                          <a14:useLocalDpi xmlns:a14="http://schemas.microsoft.com/office/drawing/2010/main" val="0"/>
                        </a:ext>
                      </a:extLst>
                    </a:blip>
                    <a:srcRect l="1990" t="4032" r="2578" b="8140"/>
                    <a:stretch/>
                  </pic:blipFill>
                  <pic:spPr bwMode="auto">
                    <a:xfrm>
                      <a:off x="0" y="0"/>
                      <a:ext cx="5470513" cy="1974159"/>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89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2790"/>
        <w:gridCol w:w="3060"/>
      </w:tblGrid>
      <w:tr w:rsidR="00B52DD2" w:rsidRPr="003F4BC8" w:rsidTr="00150C36">
        <w:trPr>
          <w:jc w:val="center"/>
        </w:trPr>
        <w:tc>
          <w:tcPr>
            <w:tcW w:w="3060" w:type="dxa"/>
          </w:tcPr>
          <w:p w:rsidR="00B52DD2" w:rsidRPr="003F4BC8" w:rsidRDefault="00B52DD2" w:rsidP="00150C36">
            <w:pPr>
              <w:pStyle w:val="p1"/>
              <w:jc w:val="both"/>
              <w:rPr>
                <w:rFonts w:ascii="Times New Roman" w:hAnsi="Times New Roman"/>
                <w:sz w:val="18"/>
                <w:szCs w:val="18"/>
              </w:rPr>
            </w:pPr>
            <w:r w:rsidRPr="003F4BC8">
              <w:rPr>
                <w:rFonts w:ascii="Times New Roman" w:hAnsi="Times New Roman"/>
                <w:sz w:val="18"/>
                <w:szCs w:val="18"/>
              </w:rPr>
              <w:t>Red – hierarchs</w:t>
            </w:r>
          </w:p>
          <w:p w:rsidR="00B52DD2" w:rsidRPr="003F4BC8" w:rsidRDefault="00B52DD2" w:rsidP="00150C36">
            <w:pPr>
              <w:pStyle w:val="p1"/>
              <w:jc w:val="both"/>
              <w:rPr>
                <w:rFonts w:ascii="Times New Roman" w:hAnsi="Times New Roman"/>
                <w:sz w:val="18"/>
                <w:szCs w:val="18"/>
              </w:rPr>
            </w:pPr>
            <w:r w:rsidRPr="003F4BC8">
              <w:rPr>
                <w:rFonts w:ascii="Times New Roman" w:hAnsi="Times New Roman"/>
                <w:sz w:val="18"/>
                <w:szCs w:val="18"/>
              </w:rPr>
              <w:t>Blue – individualists</w:t>
            </w:r>
          </w:p>
        </w:tc>
        <w:tc>
          <w:tcPr>
            <w:tcW w:w="2790" w:type="dxa"/>
          </w:tcPr>
          <w:p w:rsidR="00B52DD2" w:rsidRPr="003F4BC8" w:rsidRDefault="00B52DD2" w:rsidP="00150C36">
            <w:pPr>
              <w:pStyle w:val="p1"/>
              <w:jc w:val="both"/>
              <w:rPr>
                <w:rFonts w:ascii="Times New Roman" w:hAnsi="Times New Roman"/>
                <w:sz w:val="18"/>
                <w:szCs w:val="18"/>
              </w:rPr>
            </w:pPr>
            <w:r w:rsidRPr="003F4BC8">
              <w:rPr>
                <w:rFonts w:ascii="Times New Roman" w:hAnsi="Times New Roman"/>
                <w:sz w:val="18"/>
                <w:szCs w:val="18"/>
              </w:rPr>
              <w:t>Green – egalitarians</w:t>
            </w:r>
          </w:p>
          <w:p w:rsidR="00B52DD2" w:rsidRPr="003F4BC8" w:rsidRDefault="00B52DD2" w:rsidP="00150C36">
            <w:pPr>
              <w:pStyle w:val="p1"/>
              <w:jc w:val="both"/>
              <w:rPr>
                <w:rFonts w:ascii="Times New Roman" w:hAnsi="Times New Roman"/>
                <w:sz w:val="18"/>
                <w:szCs w:val="18"/>
              </w:rPr>
            </w:pPr>
            <w:r w:rsidRPr="003F4BC8">
              <w:rPr>
                <w:rFonts w:ascii="Times New Roman" w:hAnsi="Times New Roman"/>
                <w:sz w:val="18"/>
                <w:szCs w:val="18"/>
              </w:rPr>
              <w:t>Grey – fatalists</w:t>
            </w:r>
          </w:p>
        </w:tc>
        <w:tc>
          <w:tcPr>
            <w:tcW w:w="3060" w:type="dxa"/>
          </w:tcPr>
          <w:p w:rsidR="00B52DD2" w:rsidRPr="003F4BC8" w:rsidRDefault="00B52DD2" w:rsidP="00150C36">
            <w:pPr>
              <w:pStyle w:val="p1"/>
              <w:jc w:val="both"/>
              <w:rPr>
                <w:rFonts w:ascii="Times New Roman" w:hAnsi="Times New Roman"/>
                <w:sz w:val="18"/>
                <w:szCs w:val="18"/>
              </w:rPr>
            </w:pPr>
            <w:r w:rsidRPr="003F4BC8">
              <w:rPr>
                <w:rFonts w:ascii="Times New Roman" w:hAnsi="Times New Roman"/>
                <w:sz w:val="18"/>
                <w:szCs w:val="18"/>
              </w:rPr>
              <w:t>Black – non-affiliated respondents</w:t>
            </w:r>
          </w:p>
          <w:p w:rsidR="00B52DD2" w:rsidRPr="003F4BC8" w:rsidRDefault="00B52DD2" w:rsidP="00150C36">
            <w:pPr>
              <w:pStyle w:val="p1"/>
              <w:jc w:val="both"/>
              <w:rPr>
                <w:rFonts w:ascii="Times New Roman" w:hAnsi="Times New Roman"/>
                <w:sz w:val="18"/>
                <w:szCs w:val="18"/>
              </w:rPr>
            </w:pPr>
          </w:p>
        </w:tc>
      </w:tr>
    </w:tbl>
    <w:p w:rsidR="00B52DD2" w:rsidRPr="003F4BC8" w:rsidRDefault="00B52DD2" w:rsidP="00B52DD2">
      <w:pPr>
        <w:pStyle w:val="p1"/>
        <w:spacing w:line="480" w:lineRule="auto"/>
        <w:ind w:firstLine="432"/>
        <w:jc w:val="both"/>
        <w:rPr>
          <w:rFonts w:ascii="Times New Roman" w:hAnsi="Times New Roman"/>
          <w:sz w:val="24"/>
          <w:szCs w:val="24"/>
        </w:rPr>
      </w:pPr>
    </w:p>
    <w:p w:rsidR="00B52DD2" w:rsidRDefault="00B52DD2" w:rsidP="00B52DD2">
      <w:pPr>
        <w:pStyle w:val="p1"/>
        <w:spacing w:line="480" w:lineRule="auto"/>
        <w:ind w:firstLine="432"/>
        <w:jc w:val="both"/>
        <w:rPr>
          <w:rFonts w:ascii="Times New Roman" w:hAnsi="Times New Roman"/>
          <w:sz w:val="24"/>
          <w:szCs w:val="24"/>
        </w:rPr>
      </w:pPr>
      <w:r w:rsidRPr="003F4BC8">
        <w:rPr>
          <w:rFonts w:ascii="Times New Roman" w:hAnsi="Times New Roman"/>
          <w:sz w:val="24"/>
          <w:szCs w:val="24"/>
        </w:rPr>
        <w:t>As we can see from figure 5- 2, for each value of global warming risk perception the predicted probability of energy source preferences among respondents is consistent with the results discussed above and presented in model 1 and model 2 in Table 5-4.</w:t>
      </w:r>
    </w:p>
    <w:p w:rsidR="00B52DD2" w:rsidRDefault="00B52DD2" w:rsidP="00B52DD2">
      <w:pPr>
        <w:pStyle w:val="p1"/>
        <w:spacing w:line="480" w:lineRule="auto"/>
        <w:ind w:firstLine="432"/>
        <w:jc w:val="both"/>
        <w:rPr>
          <w:rFonts w:ascii="Times New Roman" w:hAnsi="Times New Roman"/>
          <w:sz w:val="24"/>
          <w:szCs w:val="24"/>
        </w:rPr>
      </w:pPr>
    </w:p>
    <w:p w:rsidR="00B52DD2" w:rsidRDefault="00B52DD2" w:rsidP="00B52DD2">
      <w:pPr>
        <w:pStyle w:val="p1"/>
        <w:spacing w:line="480" w:lineRule="auto"/>
        <w:ind w:firstLine="432"/>
        <w:jc w:val="both"/>
        <w:rPr>
          <w:rFonts w:ascii="Times New Roman" w:hAnsi="Times New Roman"/>
          <w:sz w:val="24"/>
          <w:szCs w:val="24"/>
        </w:rPr>
      </w:pPr>
    </w:p>
    <w:p w:rsidR="00B52DD2" w:rsidRDefault="00B52DD2" w:rsidP="00B52DD2">
      <w:pPr>
        <w:pStyle w:val="p1"/>
        <w:spacing w:line="480" w:lineRule="auto"/>
        <w:ind w:firstLine="432"/>
        <w:jc w:val="both"/>
        <w:rPr>
          <w:rFonts w:ascii="Times New Roman" w:hAnsi="Times New Roman"/>
          <w:sz w:val="24"/>
          <w:szCs w:val="24"/>
        </w:rPr>
      </w:pPr>
    </w:p>
    <w:p w:rsidR="00B52DD2" w:rsidRDefault="00B52DD2" w:rsidP="00B52DD2">
      <w:pPr>
        <w:pStyle w:val="p1"/>
        <w:spacing w:line="480" w:lineRule="auto"/>
        <w:ind w:firstLine="432"/>
        <w:jc w:val="both"/>
        <w:rPr>
          <w:rFonts w:ascii="Times New Roman" w:hAnsi="Times New Roman"/>
          <w:sz w:val="24"/>
          <w:szCs w:val="24"/>
        </w:rPr>
      </w:pPr>
    </w:p>
    <w:p w:rsidR="00B52DD2" w:rsidRDefault="00B52DD2" w:rsidP="00B52DD2">
      <w:pPr>
        <w:pStyle w:val="p1"/>
        <w:spacing w:line="480" w:lineRule="auto"/>
        <w:ind w:firstLine="432"/>
        <w:jc w:val="both"/>
        <w:rPr>
          <w:rFonts w:ascii="Times New Roman" w:hAnsi="Times New Roman"/>
          <w:sz w:val="24"/>
          <w:szCs w:val="24"/>
        </w:rPr>
      </w:pPr>
    </w:p>
    <w:p w:rsidR="00B52DD2" w:rsidRDefault="00B52DD2" w:rsidP="00B52DD2">
      <w:pPr>
        <w:pStyle w:val="p1"/>
        <w:spacing w:line="480" w:lineRule="auto"/>
        <w:ind w:firstLine="432"/>
        <w:jc w:val="both"/>
        <w:rPr>
          <w:rFonts w:ascii="Times New Roman" w:hAnsi="Times New Roman"/>
          <w:sz w:val="24"/>
          <w:szCs w:val="24"/>
        </w:rPr>
      </w:pPr>
    </w:p>
    <w:p w:rsidR="00B52DD2" w:rsidRPr="003F4BC8" w:rsidRDefault="00B52DD2" w:rsidP="00B52DD2">
      <w:pPr>
        <w:pStyle w:val="p1"/>
        <w:spacing w:line="480" w:lineRule="auto"/>
        <w:ind w:firstLine="432"/>
        <w:jc w:val="both"/>
        <w:rPr>
          <w:rFonts w:ascii="Times New Roman" w:hAnsi="Times New Roman"/>
          <w:sz w:val="24"/>
          <w:szCs w:val="24"/>
        </w:rPr>
      </w:pPr>
    </w:p>
    <w:p w:rsidR="00B52DD2" w:rsidRPr="003F4BC8" w:rsidRDefault="00B52DD2" w:rsidP="00B52DD2">
      <w:pPr>
        <w:pStyle w:val="p1"/>
        <w:spacing w:line="480" w:lineRule="auto"/>
        <w:jc w:val="center"/>
        <w:rPr>
          <w:rFonts w:ascii="Times New Roman" w:hAnsi="Times New Roman"/>
          <w:sz w:val="24"/>
          <w:szCs w:val="24"/>
        </w:rPr>
      </w:pPr>
      <w:r w:rsidRPr="003F4BC8">
        <w:rPr>
          <w:rFonts w:ascii="Times New Roman" w:hAnsi="Times New Roman"/>
          <w:b/>
          <w:bCs/>
          <w:sz w:val="24"/>
          <w:szCs w:val="24"/>
        </w:rPr>
        <w:lastRenderedPageBreak/>
        <w:t>Figure 5-3.</w:t>
      </w:r>
      <w:r w:rsidRPr="003F4BC8">
        <w:rPr>
          <w:rFonts w:ascii="Times New Roman" w:hAnsi="Times New Roman"/>
          <w:sz w:val="24"/>
          <w:szCs w:val="24"/>
        </w:rPr>
        <w:t xml:space="preserve"> The Probability of Energy Source Preference among Strong Cultural Subgroups</w:t>
      </w:r>
    </w:p>
    <w:p w:rsidR="00B52DD2" w:rsidRPr="003F4BC8" w:rsidRDefault="00B52DD2" w:rsidP="00B52DD2">
      <w:pPr>
        <w:pStyle w:val="p1"/>
        <w:spacing w:line="480" w:lineRule="auto"/>
        <w:rPr>
          <w:rFonts w:ascii="Times New Roman" w:hAnsi="Times New Roman"/>
          <w:sz w:val="24"/>
          <w:szCs w:val="24"/>
        </w:rPr>
      </w:pPr>
      <w:r w:rsidRPr="003F4BC8">
        <w:rPr>
          <w:rFonts w:ascii="Times New Roman" w:hAnsi="Times New Roman"/>
          <w:sz w:val="24"/>
          <w:szCs w:val="24"/>
        </w:rPr>
        <w:t xml:space="preserve">       </w:t>
      </w:r>
      <w:r w:rsidRPr="003F4BC8">
        <w:rPr>
          <w:rFonts w:ascii="Times New Roman" w:hAnsi="Times New Roman"/>
          <w:noProof/>
          <w:sz w:val="24"/>
          <w:szCs w:val="24"/>
        </w:rPr>
        <w:drawing>
          <wp:inline distT="0" distB="0" distL="0" distR="0" wp14:anchorId="7C42BCE2" wp14:editId="27552715">
            <wp:extent cx="5303520" cy="1885950"/>
            <wp:effectExtent l="0" t="0" r="508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ulture3 with gccrsk.pdf"/>
                    <pic:cNvPicPr/>
                  </pic:nvPicPr>
                  <pic:blipFill rotWithShape="1">
                    <a:blip r:embed="rId36">
                      <a:extLst>
                        <a:ext uri="{28A0092B-C50C-407E-A947-70E740481C1C}">
                          <a14:useLocalDpi xmlns:a14="http://schemas.microsoft.com/office/drawing/2010/main" val="0"/>
                        </a:ext>
                      </a:extLst>
                    </a:blip>
                    <a:srcRect l="2148" t="3927" r="2146" b="9133"/>
                    <a:stretch/>
                  </pic:blipFill>
                  <pic:spPr bwMode="auto">
                    <a:xfrm>
                      <a:off x="0" y="0"/>
                      <a:ext cx="5484016" cy="1950135"/>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89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2790"/>
        <w:gridCol w:w="3060"/>
      </w:tblGrid>
      <w:tr w:rsidR="00B52DD2" w:rsidRPr="003F4BC8" w:rsidTr="00150C36">
        <w:trPr>
          <w:jc w:val="center"/>
        </w:trPr>
        <w:tc>
          <w:tcPr>
            <w:tcW w:w="3060" w:type="dxa"/>
          </w:tcPr>
          <w:p w:rsidR="00B52DD2" w:rsidRPr="003F4BC8" w:rsidRDefault="00B52DD2" w:rsidP="00150C36">
            <w:pPr>
              <w:pStyle w:val="p1"/>
              <w:jc w:val="both"/>
              <w:rPr>
                <w:rFonts w:ascii="Times New Roman" w:hAnsi="Times New Roman"/>
                <w:sz w:val="18"/>
                <w:szCs w:val="18"/>
              </w:rPr>
            </w:pPr>
            <w:r w:rsidRPr="003F4BC8">
              <w:rPr>
                <w:rFonts w:ascii="Times New Roman" w:hAnsi="Times New Roman"/>
                <w:sz w:val="18"/>
                <w:szCs w:val="18"/>
              </w:rPr>
              <w:t>Red – hierarchs</w:t>
            </w:r>
          </w:p>
          <w:p w:rsidR="00B52DD2" w:rsidRPr="003F4BC8" w:rsidRDefault="00B52DD2" w:rsidP="00150C36">
            <w:pPr>
              <w:pStyle w:val="p1"/>
              <w:jc w:val="both"/>
              <w:rPr>
                <w:rFonts w:ascii="Times New Roman" w:hAnsi="Times New Roman"/>
                <w:sz w:val="18"/>
                <w:szCs w:val="18"/>
              </w:rPr>
            </w:pPr>
            <w:r w:rsidRPr="003F4BC8">
              <w:rPr>
                <w:rFonts w:ascii="Times New Roman" w:hAnsi="Times New Roman"/>
                <w:sz w:val="18"/>
                <w:szCs w:val="18"/>
              </w:rPr>
              <w:t>Blue – individualists</w:t>
            </w:r>
          </w:p>
        </w:tc>
        <w:tc>
          <w:tcPr>
            <w:tcW w:w="2790" w:type="dxa"/>
          </w:tcPr>
          <w:p w:rsidR="00B52DD2" w:rsidRPr="003F4BC8" w:rsidRDefault="00B52DD2" w:rsidP="00150C36">
            <w:pPr>
              <w:pStyle w:val="p1"/>
              <w:jc w:val="both"/>
              <w:rPr>
                <w:rFonts w:ascii="Times New Roman" w:hAnsi="Times New Roman"/>
                <w:sz w:val="18"/>
                <w:szCs w:val="18"/>
              </w:rPr>
            </w:pPr>
            <w:r w:rsidRPr="003F4BC8">
              <w:rPr>
                <w:rFonts w:ascii="Times New Roman" w:hAnsi="Times New Roman"/>
                <w:sz w:val="18"/>
                <w:szCs w:val="18"/>
              </w:rPr>
              <w:t>Green – egalitarians</w:t>
            </w:r>
          </w:p>
          <w:p w:rsidR="00B52DD2" w:rsidRPr="003F4BC8" w:rsidRDefault="00B52DD2" w:rsidP="00150C36">
            <w:pPr>
              <w:pStyle w:val="p1"/>
              <w:jc w:val="both"/>
              <w:rPr>
                <w:rFonts w:ascii="Times New Roman" w:hAnsi="Times New Roman"/>
                <w:sz w:val="18"/>
                <w:szCs w:val="18"/>
              </w:rPr>
            </w:pPr>
            <w:r w:rsidRPr="003F4BC8">
              <w:rPr>
                <w:rFonts w:ascii="Times New Roman" w:hAnsi="Times New Roman"/>
                <w:sz w:val="18"/>
                <w:szCs w:val="18"/>
              </w:rPr>
              <w:t>Grey – fatalists</w:t>
            </w:r>
          </w:p>
        </w:tc>
        <w:tc>
          <w:tcPr>
            <w:tcW w:w="3060" w:type="dxa"/>
          </w:tcPr>
          <w:p w:rsidR="00B52DD2" w:rsidRPr="003F4BC8" w:rsidRDefault="00B52DD2" w:rsidP="00150C36">
            <w:pPr>
              <w:pStyle w:val="p1"/>
              <w:jc w:val="both"/>
              <w:rPr>
                <w:rFonts w:ascii="Times New Roman" w:hAnsi="Times New Roman"/>
                <w:sz w:val="18"/>
                <w:szCs w:val="18"/>
              </w:rPr>
            </w:pPr>
            <w:r w:rsidRPr="003F4BC8">
              <w:rPr>
                <w:rFonts w:ascii="Times New Roman" w:hAnsi="Times New Roman"/>
                <w:sz w:val="18"/>
                <w:szCs w:val="18"/>
              </w:rPr>
              <w:t>Black – non-affiliated respondents</w:t>
            </w:r>
          </w:p>
          <w:p w:rsidR="00B52DD2" w:rsidRPr="003F4BC8" w:rsidRDefault="00B52DD2" w:rsidP="00150C36">
            <w:pPr>
              <w:pStyle w:val="p1"/>
              <w:jc w:val="both"/>
              <w:rPr>
                <w:rFonts w:ascii="Times New Roman" w:hAnsi="Times New Roman"/>
                <w:sz w:val="18"/>
                <w:szCs w:val="18"/>
              </w:rPr>
            </w:pPr>
          </w:p>
        </w:tc>
      </w:tr>
    </w:tbl>
    <w:p w:rsidR="00B52DD2" w:rsidRPr="003F4BC8" w:rsidRDefault="00B52DD2" w:rsidP="00B52DD2">
      <w:pPr>
        <w:pStyle w:val="p1"/>
        <w:spacing w:line="480" w:lineRule="auto"/>
        <w:ind w:firstLine="432"/>
        <w:jc w:val="both"/>
        <w:rPr>
          <w:rFonts w:ascii="Times New Roman" w:hAnsi="Times New Roman"/>
          <w:b/>
          <w:bCs/>
          <w:sz w:val="24"/>
          <w:szCs w:val="24"/>
        </w:rPr>
      </w:pPr>
    </w:p>
    <w:p w:rsidR="00B52DD2" w:rsidRPr="003F4BC8" w:rsidRDefault="00B52DD2" w:rsidP="00B52DD2">
      <w:pPr>
        <w:pStyle w:val="p1"/>
        <w:spacing w:line="480" w:lineRule="auto"/>
        <w:ind w:firstLine="432"/>
        <w:jc w:val="both"/>
        <w:rPr>
          <w:rFonts w:ascii="Times New Roman" w:hAnsi="Times New Roman"/>
          <w:sz w:val="24"/>
          <w:szCs w:val="24"/>
        </w:rPr>
      </w:pPr>
      <w:r w:rsidRPr="003F4BC8">
        <w:rPr>
          <w:rFonts w:ascii="Times New Roman" w:hAnsi="Times New Roman"/>
          <w:sz w:val="24"/>
          <w:szCs w:val="24"/>
        </w:rPr>
        <w:t>However, when we looked at subgroups with stronger cultural archetypes (4 points higher than the mean) we have a different result (figure 5-3). While the slope for hierarchs remains almost unchanged, except for their preferences for renewable energy (the slope is steeper), for individualists: the negative slope becomes steeper for their preferences for fossil fuel energy sources and the intercept changes for their preferences for nuclear energy. Here we see that for stronger egalitarians energy source preferences do not seem to be connected with their global warming risk perception.</w:t>
      </w:r>
    </w:p>
    <w:p w:rsidR="00B52DD2" w:rsidRPr="003F4BC8" w:rsidRDefault="00B52DD2" w:rsidP="00B52DD2">
      <w:pPr>
        <w:pStyle w:val="p1"/>
        <w:spacing w:line="480" w:lineRule="auto"/>
        <w:ind w:firstLine="432"/>
        <w:jc w:val="both"/>
        <w:rPr>
          <w:rFonts w:ascii="Times New Roman" w:hAnsi="Times New Roman"/>
          <w:sz w:val="24"/>
          <w:szCs w:val="24"/>
        </w:rPr>
      </w:pPr>
    </w:p>
    <w:p w:rsidR="00B52DD2" w:rsidRPr="003F4BC8" w:rsidRDefault="00B52DD2" w:rsidP="00B52DD2">
      <w:pPr>
        <w:pStyle w:val="p1"/>
        <w:spacing w:line="480" w:lineRule="auto"/>
        <w:ind w:firstLine="432"/>
        <w:jc w:val="both"/>
        <w:rPr>
          <w:rFonts w:ascii="Times New Roman" w:hAnsi="Times New Roman"/>
          <w:sz w:val="24"/>
          <w:szCs w:val="24"/>
        </w:rPr>
      </w:pPr>
    </w:p>
    <w:p w:rsidR="00B52DD2" w:rsidRPr="003F4BC8" w:rsidRDefault="00B52DD2" w:rsidP="00B52DD2">
      <w:pPr>
        <w:pStyle w:val="p1"/>
        <w:spacing w:line="480" w:lineRule="auto"/>
        <w:ind w:firstLine="432"/>
        <w:jc w:val="both"/>
        <w:rPr>
          <w:rFonts w:ascii="Times New Roman" w:hAnsi="Times New Roman"/>
          <w:sz w:val="24"/>
          <w:szCs w:val="24"/>
        </w:rPr>
      </w:pPr>
    </w:p>
    <w:p w:rsidR="00B52DD2" w:rsidRDefault="00B52DD2" w:rsidP="00B52DD2">
      <w:pPr>
        <w:pStyle w:val="p1"/>
        <w:spacing w:line="480" w:lineRule="auto"/>
        <w:ind w:firstLine="432"/>
        <w:jc w:val="both"/>
        <w:rPr>
          <w:rFonts w:ascii="Times New Roman" w:hAnsi="Times New Roman"/>
          <w:sz w:val="24"/>
          <w:szCs w:val="24"/>
        </w:rPr>
      </w:pPr>
    </w:p>
    <w:p w:rsidR="00B52DD2" w:rsidRPr="003F4BC8" w:rsidRDefault="00B52DD2" w:rsidP="00B52DD2">
      <w:pPr>
        <w:pStyle w:val="p1"/>
        <w:spacing w:line="480" w:lineRule="auto"/>
        <w:ind w:firstLine="432"/>
        <w:jc w:val="both"/>
        <w:rPr>
          <w:rFonts w:ascii="Times New Roman" w:hAnsi="Times New Roman"/>
          <w:sz w:val="24"/>
          <w:szCs w:val="24"/>
        </w:rPr>
      </w:pPr>
    </w:p>
    <w:p w:rsidR="00B52DD2" w:rsidRDefault="00B52DD2" w:rsidP="00B52DD2">
      <w:pPr>
        <w:pStyle w:val="p1"/>
        <w:spacing w:line="480" w:lineRule="auto"/>
        <w:ind w:firstLine="432"/>
        <w:jc w:val="both"/>
        <w:rPr>
          <w:rFonts w:ascii="Times New Roman" w:hAnsi="Times New Roman"/>
          <w:sz w:val="24"/>
          <w:szCs w:val="24"/>
        </w:rPr>
      </w:pPr>
    </w:p>
    <w:p w:rsidR="00B52DD2" w:rsidRDefault="00B52DD2" w:rsidP="00B52DD2">
      <w:pPr>
        <w:pStyle w:val="p1"/>
        <w:spacing w:line="480" w:lineRule="auto"/>
        <w:ind w:firstLine="432"/>
        <w:jc w:val="both"/>
        <w:rPr>
          <w:rFonts w:ascii="Times New Roman" w:hAnsi="Times New Roman"/>
          <w:sz w:val="24"/>
          <w:szCs w:val="24"/>
        </w:rPr>
      </w:pPr>
    </w:p>
    <w:p w:rsidR="00B52DD2" w:rsidRPr="003F4BC8" w:rsidRDefault="00B52DD2" w:rsidP="00B52DD2">
      <w:pPr>
        <w:pStyle w:val="p1"/>
        <w:spacing w:line="480" w:lineRule="auto"/>
        <w:ind w:firstLine="432"/>
        <w:jc w:val="both"/>
        <w:rPr>
          <w:rFonts w:ascii="Times New Roman" w:hAnsi="Times New Roman"/>
          <w:sz w:val="24"/>
          <w:szCs w:val="24"/>
        </w:rPr>
      </w:pPr>
    </w:p>
    <w:p w:rsidR="00B52DD2" w:rsidRPr="003F4BC8" w:rsidRDefault="00B52DD2" w:rsidP="00B52DD2">
      <w:pPr>
        <w:pStyle w:val="p1"/>
        <w:spacing w:line="480" w:lineRule="auto"/>
        <w:jc w:val="center"/>
        <w:rPr>
          <w:rFonts w:ascii="Times New Roman" w:hAnsi="Times New Roman"/>
          <w:sz w:val="24"/>
          <w:szCs w:val="24"/>
        </w:rPr>
      </w:pPr>
      <w:r w:rsidRPr="003F4BC8">
        <w:rPr>
          <w:rFonts w:ascii="Times New Roman" w:hAnsi="Times New Roman"/>
          <w:b/>
          <w:bCs/>
          <w:sz w:val="24"/>
          <w:szCs w:val="24"/>
        </w:rPr>
        <w:lastRenderedPageBreak/>
        <w:t>Figure 5-4.</w:t>
      </w:r>
      <w:r w:rsidRPr="003F4BC8">
        <w:rPr>
          <w:rFonts w:ascii="Times New Roman" w:hAnsi="Times New Roman"/>
          <w:sz w:val="24"/>
          <w:szCs w:val="24"/>
        </w:rPr>
        <w:t xml:space="preserve"> The Probability of Energy Source Preference among Ideological Subsets</w:t>
      </w:r>
    </w:p>
    <w:p w:rsidR="00B52DD2" w:rsidRPr="003F4BC8" w:rsidRDefault="00B52DD2" w:rsidP="00B52DD2">
      <w:pPr>
        <w:pStyle w:val="p1"/>
        <w:spacing w:line="480" w:lineRule="auto"/>
        <w:rPr>
          <w:rFonts w:ascii="Times New Roman" w:hAnsi="Times New Roman"/>
          <w:sz w:val="24"/>
          <w:szCs w:val="24"/>
        </w:rPr>
      </w:pPr>
      <w:r w:rsidRPr="003F4BC8">
        <w:rPr>
          <w:rFonts w:ascii="Times New Roman" w:hAnsi="Times New Roman"/>
          <w:noProof/>
          <w:sz w:val="24"/>
          <w:szCs w:val="24"/>
        </w:rPr>
        <w:drawing>
          <wp:inline distT="0" distB="0" distL="0" distR="0" wp14:anchorId="08C92993" wp14:editId="284C90D2">
            <wp:extent cx="5825229" cy="19519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deology1&amp;gccrsk.pdf"/>
                    <pic:cNvPicPr/>
                  </pic:nvPicPr>
                  <pic:blipFill rotWithShape="1">
                    <a:blip r:embed="rId37">
                      <a:extLst>
                        <a:ext uri="{28A0092B-C50C-407E-A947-70E740481C1C}">
                          <a14:useLocalDpi xmlns:a14="http://schemas.microsoft.com/office/drawing/2010/main" val="0"/>
                        </a:ext>
                      </a:extLst>
                    </a:blip>
                    <a:srcRect l="1941" t="4074" b="8143"/>
                    <a:stretch/>
                  </pic:blipFill>
                  <pic:spPr bwMode="auto">
                    <a:xfrm>
                      <a:off x="0" y="0"/>
                      <a:ext cx="5828243" cy="195300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8820" w:type="dxa"/>
        <w:tblInd w:w="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3150"/>
        <w:gridCol w:w="2700"/>
      </w:tblGrid>
      <w:tr w:rsidR="00B52DD2" w:rsidRPr="003F4BC8" w:rsidTr="00150C36">
        <w:tc>
          <w:tcPr>
            <w:tcW w:w="2970" w:type="dxa"/>
          </w:tcPr>
          <w:p w:rsidR="00B52DD2" w:rsidRPr="003F4BC8" w:rsidRDefault="00B52DD2" w:rsidP="00150C36">
            <w:pPr>
              <w:pStyle w:val="p1"/>
              <w:jc w:val="both"/>
              <w:rPr>
                <w:rFonts w:ascii="Times New Roman" w:hAnsi="Times New Roman"/>
                <w:sz w:val="18"/>
                <w:szCs w:val="18"/>
              </w:rPr>
            </w:pPr>
            <w:r w:rsidRPr="003F4BC8">
              <w:rPr>
                <w:rFonts w:ascii="Times New Roman" w:hAnsi="Times New Roman"/>
                <w:sz w:val="18"/>
                <w:szCs w:val="18"/>
              </w:rPr>
              <w:t>Red – strongly liberal</w:t>
            </w:r>
          </w:p>
          <w:p w:rsidR="00B52DD2" w:rsidRPr="003F4BC8" w:rsidRDefault="00B52DD2" w:rsidP="00150C36">
            <w:pPr>
              <w:pStyle w:val="p1"/>
              <w:jc w:val="both"/>
              <w:rPr>
                <w:rFonts w:ascii="Times New Roman" w:hAnsi="Times New Roman"/>
                <w:sz w:val="18"/>
                <w:szCs w:val="18"/>
              </w:rPr>
            </w:pPr>
            <w:r w:rsidRPr="003F4BC8">
              <w:rPr>
                <w:rFonts w:ascii="Times New Roman" w:hAnsi="Times New Roman"/>
                <w:sz w:val="18"/>
                <w:szCs w:val="18"/>
              </w:rPr>
              <w:t>Blue – liberal</w:t>
            </w:r>
          </w:p>
        </w:tc>
        <w:tc>
          <w:tcPr>
            <w:tcW w:w="3150" w:type="dxa"/>
          </w:tcPr>
          <w:p w:rsidR="00B52DD2" w:rsidRPr="003F4BC8" w:rsidRDefault="00B52DD2" w:rsidP="00150C36">
            <w:pPr>
              <w:pStyle w:val="p1"/>
              <w:jc w:val="both"/>
              <w:rPr>
                <w:rFonts w:ascii="Times New Roman" w:hAnsi="Times New Roman"/>
                <w:sz w:val="18"/>
                <w:szCs w:val="18"/>
              </w:rPr>
            </w:pPr>
            <w:r w:rsidRPr="003F4BC8">
              <w:rPr>
                <w:rFonts w:ascii="Times New Roman" w:hAnsi="Times New Roman"/>
                <w:sz w:val="18"/>
                <w:szCs w:val="18"/>
              </w:rPr>
              <w:t>Green – middle of the road</w:t>
            </w:r>
          </w:p>
        </w:tc>
        <w:tc>
          <w:tcPr>
            <w:tcW w:w="2700" w:type="dxa"/>
          </w:tcPr>
          <w:p w:rsidR="00B52DD2" w:rsidRPr="003F4BC8" w:rsidRDefault="00B52DD2" w:rsidP="00150C36">
            <w:pPr>
              <w:pStyle w:val="p1"/>
              <w:jc w:val="both"/>
              <w:rPr>
                <w:rFonts w:ascii="Times New Roman" w:hAnsi="Times New Roman"/>
                <w:sz w:val="18"/>
                <w:szCs w:val="18"/>
              </w:rPr>
            </w:pPr>
            <w:r w:rsidRPr="003F4BC8">
              <w:rPr>
                <w:rFonts w:ascii="Times New Roman" w:hAnsi="Times New Roman"/>
                <w:sz w:val="18"/>
                <w:szCs w:val="18"/>
              </w:rPr>
              <w:t>Grey – conservative</w:t>
            </w:r>
          </w:p>
          <w:p w:rsidR="00B52DD2" w:rsidRPr="003F4BC8" w:rsidRDefault="00B52DD2" w:rsidP="00150C36">
            <w:pPr>
              <w:pStyle w:val="p1"/>
              <w:jc w:val="both"/>
              <w:rPr>
                <w:rFonts w:ascii="Times New Roman" w:hAnsi="Times New Roman"/>
                <w:sz w:val="18"/>
                <w:szCs w:val="18"/>
              </w:rPr>
            </w:pPr>
            <w:r w:rsidRPr="003F4BC8">
              <w:rPr>
                <w:rFonts w:ascii="Times New Roman" w:hAnsi="Times New Roman"/>
                <w:sz w:val="18"/>
                <w:szCs w:val="18"/>
              </w:rPr>
              <w:t>Black – strongly conservative</w:t>
            </w:r>
          </w:p>
        </w:tc>
      </w:tr>
    </w:tbl>
    <w:p w:rsidR="00B52DD2" w:rsidRPr="003F4BC8" w:rsidRDefault="00B52DD2" w:rsidP="00B52DD2">
      <w:pPr>
        <w:pStyle w:val="p1"/>
        <w:spacing w:line="480" w:lineRule="auto"/>
        <w:ind w:firstLine="360"/>
        <w:jc w:val="both"/>
        <w:rPr>
          <w:rFonts w:ascii="Times New Roman" w:hAnsi="Times New Roman"/>
          <w:b/>
          <w:bCs/>
          <w:sz w:val="24"/>
          <w:szCs w:val="24"/>
        </w:rPr>
      </w:pPr>
    </w:p>
    <w:p w:rsidR="00B52DD2" w:rsidRPr="003F4BC8" w:rsidRDefault="00B52DD2" w:rsidP="00B52DD2">
      <w:pPr>
        <w:pStyle w:val="p1"/>
        <w:spacing w:line="480" w:lineRule="auto"/>
        <w:ind w:firstLine="360"/>
        <w:jc w:val="both"/>
        <w:rPr>
          <w:rFonts w:ascii="Times New Roman" w:hAnsi="Times New Roman"/>
          <w:sz w:val="24"/>
          <w:szCs w:val="24"/>
        </w:rPr>
      </w:pPr>
      <w:r w:rsidRPr="003F4BC8">
        <w:rPr>
          <w:rFonts w:ascii="Times New Roman" w:hAnsi="Times New Roman"/>
          <w:sz w:val="24"/>
          <w:szCs w:val="24"/>
        </w:rPr>
        <w:t>In figure 5-4, the predicted probabilities of the respondents’ preferences of energy sources contingent upon their political ideology demonstrate that liberal respondents are less likely to select fossil fuel energy sources and more likely to prefer renewable energy. While former finding is consistent with our theoretical expectations we also find some inconsistencies. Conservative respondents, although with less steep slope, yet do not prefer fossil fuels and do prefer renewable energy when concerned with global warming. While historically people on the right side of the ideological spectrum have been more supportive for nuclear energy sources, we only have enough evidence to support this claim among stronger conservative respondents in our sample.</w:t>
      </w:r>
    </w:p>
    <w:p w:rsidR="00B52DD2" w:rsidRPr="003F4BC8" w:rsidRDefault="00B52DD2" w:rsidP="00B52DD2">
      <w:pPr>
        <w:pStyle w:val="p1"/>
        <w:spacing w:line="480" w:lineRule="auto"/>
        <w:jc w:val="both"/>
        <w:rPr>
          <w:rFonts w:ascii="Times New Roman" w:hAnsi="Times New Roman"/>
          <w:sz w:val="24"/>
          <w:szCs w:val="24"/>
        </w:rPr>
      </w:pPr>
      <w:r w:rsidRPr="003F4BC8">
        <w:rPr>
          <w:rFonts w:ascii="Times New Roman" w:hAnsi="Times New Roman"/>
          <w:b/>
          <w:bCs/>
          <w:sz w:val="24"/>
          <w:szCs w:val="24"/>
        </w:rPr>
        <w:t>Conclusion</w:t>
      </w:r>
    </w:p>
    <w:p w:rsidR="00B52DD2" w:rsidRPr="003F4BC8" w:rsidRDefault="00B52DD2" w:rsidP="00B52DD2">
      <w:pPr>
        <w:pStyle w:val="p1"/>
        <w:spacing w:line="480" w:lineRule="auto"/>
        <w:ind w:firstLine="360"/>
        <w:jc w:val="both"/>
        <w:rPr>
          <w:rFonts w:ascii="Times New Roman" w:hAnsi="Times New Roman"/>
          <w:sz w:val="24"/>
          <w:szCs w:val="24"/>
        </w:rPr>
      </w:pPr>
      <w:r w:rsidRPr="003F4BC8">
        <w:rPr>
          <w:rFonts w:ascii="Times New Roman" w:hAnsi="Times New Roman"/>
          <w:sz w:val="24"/>
          <w:szCs w:val="24"/>
        </w:rPr>
        <w:t xml:space="preserve">Overall, our findings demonstrate that there is a strong link between individuals global warming risk perception and their energy source preference. Individuals who are more concerned with global warming do not tend to prefer energy coming from fossil fuel and logically do prefer energy originating from renewable sources. It is interesting to note, that respondents who are concerned for the environment and do not prefer fossil fuels, do not see nuclear energy as a solution for climate change either. Believing in global warming and climate change does not impact public </w:t>
      </w:r>
      <w:r w:rsidRPr="003F4BC8">
        <w:rPr>
          <w:rFonts w:ascii="Times New Roman" w:hAnsi="Times New Roman"/>
          <w:sz w:val="24"/>
          <w:szCs w:val="24"/>
        </w:rPr>
        <w:lastRenderedPageBreak/>
        <w:t xml:space="preserve">support for nuclear energy. Instead it supports public preferences for renewable energy sources. This observation is true for different subgroups of respondents varying both in their cultural archetypes and political ideology. </w:t>
      </w:r>
    </w:p>
    <w:p w:rsidR="00B52DD2" w:rsidRPr="003F4BC8" w:rsidRDefault="00B52DD2" w:rsidP="00B52DD2">
      <w:pPr>
        <w:pStyle w:val="p1"/>
        <w:spacing w:line="480" w:lineRule="auto"/>
        <w:ind w:firstLine="360"/>
        <w:jc w:val="both"/>
        <w:rPr>
          <w:rFonts w:ascii="Times New Roman" w:hAnsi="Times New Roman"/>
          <w:sz w:val="24"/>
          <w:szCs w:val="24"/>
        </w:rPr>
      </w:pPr>
      <w:r w:rsidRPr="003F4BC8">
        <w:rPr>
          <w:rFonts w:ascii="Times New Roman" w:hAnsi="Times New Roman"/>
          <w:sz w:val="24"/>
          <w:szCs w:val="24"/>
        </w:rPr>
        <w:t>Consistent with previous literature respondents with higher egalitarian cultural worldview did consider nuclear energy as a solution to climate change. Likewise, we found that respondents leaning to conservative political ideology are more likely to give higher preference to fossil fuels and nuclear energy and less likely to prefer renewable energy.</w:t>
      </w:r>
    </w:p>
    <w:p w:rsidR="00B52DD2" w:rsidRPr="003F4BC8" w:rsidRDefault="00B52DD2" w:rsidP="00B52DD2">
      <w:pPr>
        <w:pStyle w:val="p1"/>
        <w:spacing w:line="480" w:lineRule="auto"/>
        <w:ind w:firstLine="360"/>
        <w:jc w:val="both"/>
        <w:rPr>
          <w:rFonts w:ascii="Times New Roman" w:hAnsi="Times New Roman"/>
          <w:sz w:val="24"/>
          <w:szCs w:val="24"/>
        </w:rPr>
      </w:pPr>
      <w:r w:rsidRPr="003F4BC8">
        <w:rPr>
          <w:rFonts w:ascii="Times New Roman" w:hAnsi="Times New Roman"/>
          <w:sz w:val="24"/>
          <w:szCs w:val="24"/>
        </w:rPr>
        <w:t xml:space="preserve">The results of this study make us believe that the strength of nuclear impasse seems to be undefeatable. Even though nuclear energy could be viewed as a solution to climate change it does not seem to be a viable option among American public. The shift of the image of the nuclear energy was radical after the Three Mile Island incident (Baumgartner and Jones 1993). While support for nuclear energy consumption has been increasing in 2009 this was not the case after the Fukushima accident (Jones 2009). This resulted in reinforcement of the fear from nuclear accidents, which in its turn had its impact on public preferences for nuclear energy (Lynas 2013). </w:t>
      </w:r>
    </w:p>
    <w:p w:rsidR="00B52DD2" w:rsidRPr="003F4BC8" w:rsidRDefault="00B52DD2" w:rsidP="00B52DD2">
      <w:pPr>
        <w:pStyle w:val="p1"/>
        <w:spacing w:line="480" w:lineRule="auto"/>
        <w:ind w:firstLine="360"/>
        <w:jc w:val="both"/>
        <w:rPr>
          <w:rFonts w:ascii="Times New Roman" w:hAnsi="Times New Roman"/>
          <w:sz w:val="24"/>
          <w:szCs w:val="24"/>
        </w:rPr>
      </w:pPr>
      <w:r w:rsidRPr="003F4BC8">
        <w:rPr>
          <w:rFonts w:ascii="Times New Roman" w:hAnsi="Times New Roman"/>
          <w:sz w:val="24"/>
          <w:szCs w:val="24"/>
        </w:rPr>
        <w:t xml:space="preserve">Although nuclear energy is considered to be a solution for global climate change even among environmental activists; general public still holds its inhibitions towards nuclear energy (Lynas 2013, </w:t>
      </w:r>
      <w:r w:rsidRPr="003F4BC8">
        <w:rPr>
          <w:rFonts w:ascii="Times New Roman" w:eastAsia="Times New Roman" w:hAnsi="Times New Roman"/>
          <w:sz w:val="24"/>
          <w:szCs w:val="24"/>
        </w:rPr>
        <w:t>Jenkins, Nordhaus &amp; Shellenberger 2011).</w:t>
      </w:r>
      <w:r w:rsidRPr="003F4BC8">
        <w:rPr>
          <w:rFonts w:ascii="Times New Roman" w:hAnsi="Times New Roman"/>
          <w:sz w:val="24"/>
          <w:szCs w:val="24"/>
        </w:rPr>
        <w:t xml:space="preserve"> Recent scientific evidence in global warming resulted in the creation of green grassroots organization even by politically conservative groups rooted in the realization that the earth belongs to everyone irrespective to their political ideology.</w:t>
      </w:r>
      <w:r w:rsidRPr="003F4BC8">
        <w:rPr>
          <w:rStyle w:val="FootnoteReference"/>
          <w:rFonts w:ascii="Times New Roman" w:hAnsi="Times New Roman"/>
          <w:sz w:val="24"/>
          <w:szCs w:val="24"/>
        </w:rPr>
        <w:footnoteReference w:id="20"/>
      </w:r>
      <w:r w:rsidRPr="003F4BC8">
        <w:rPr>
          <w:rFonts w:ascii="Times New Roman" w:hAnsi="Times New Roman"/>
          <w:sz w:val="24"/>
          <w:szCs w:val="24"/>
        </w:rPr>
        <w:t xml:space="preserve"> Yet, cognitive biases and stigma associated with social amplification of risk is deeply engrained in American public (Kasperson, Jhaveri, and Kasperson 2001). Interestingly enough, male </w:t>
      </w:r>
      <w:r w:rsidRPr="003F4BC8">
        <w:rPr>
          <w:rFonts w:ascii="Times New Roman" w:hAnsi="Times New Roman"/>
          <w:sz w:val="24"/>
          <w:szCs w:val="24"/>
        </w:rPr>
        <w:lastRenderedPageBreak/>
        <w:t>respondents showed more support for nuclear energy. This finding again is in line with risk perception literature that has found that fear is more embedded among females than among males (Finucane, et al. 2000; Kahan, et al. 2010). Along these lines our data showed that people with higher level of education and higher income are more likely to demonstrate higher preferences for nuclear energy. This is a noteworthy finding as it shows that once people are more educated or have a higher social status they are less likely to be scared from nuclear energy as they have more understanding about the treatment and safety of nuclear waste storage. This directs us to the conclusion that only more knowledge and education about the potential of nuclear energy, and the safety of nuclear waste storage will help us getting past the nuclear impasse.</w:t>
      </w:r>
    </w:p>
    <w:p w:rsidR="00B52DD2" w:rsidRPr="003F4BC8" w:rsidRDefault="00B52DD2" w:rsidP="00B52DD2">
      <w:pPr>
        <w:spacing w:line="480" w:lineRule="auto"/>
        <w:ind w:firstLine="720"/>
        <w:jc w:val="both"/>
        <w:rPr>
          <w:rFonts w:ascii="Times New Roman" w:hAnsi="Times New Roman" w:cs="Times New Roman"/>
        </w:rPr>
      </w:pPr>
    </w:p>
    <w:p w:rsidR="00B52DD2" w:rsidRDefault="00B52DD2" w:rsidP="00B52DD2">
      <w:pPr>
        <w:rPr>
          <w:rFonts w:ascii="Times New Roman" w:hAnsi="Times New Roman" w:cs="Times New Roman"/>
        </w:rPr>
      </w:pPr>
      <w:r w:rsidRPr="003F4BC8">
        <w:rPr>
          <w:rFonts w:ascii="Times New Roman" w:hAnsi="Times New Roman" w:cs="Times New Roman"/>
          <w:b/>
          <w:bCs/>
        </w:rPr>
        <w:br w:type="page"/>
      </w:r>
      <w:r w:rsidRPr="00BC3E2C">
        <w:rPr>
          <w:rFonts w:ascii="Times New Roman" w:hAnsi="Times New Roman" w:cs="Times New Roman"/>
          <w:b/>
          <w:bCs/>
        </w:rPr>
        <w:lastRenderedPageBreak/>
        <w:t>Table 5-A1:</w:t>
      </w:r>
      <w:r w:rsidRPr="003F4BC8">
        <w:rPr>
          <w:rFonts w:ascii="Times New Roman" w:hAnsi="Times New Roman" w:cs="Times New Roman"/>
        </w:rPr>
        <w:t xml:space="preserve"> Study Variables and Measures</w:t>
      </w:r>
    </w:p>
    <w:p w:rsidR="00B52DD2" w:rsidRPr="003F4BC8" w:rsidRDefault="00B52DD2" w:rsidP="00B52DD2">
      <w:pPr>
        <w:rPr>
          <w:rFonts w:ascii="Times New Roman" w:hAnsi="Times New Roman" w:cs="Times New Roman"/>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0"/>
        <w:gridCol w:w="1260"/>
        <w:gridCol w:w="6930"/>
      </w:tblGrid>
      <w:tr w:rsidR="00B52DD2" w:rsidRPr="003F4BC8" w:rsidTr="00150C36">
        <w:tc>
          <w:tcPr>
            <w:tcW w:w="2250" w:type="dxa"/>
            <w:gridSpan w:val="2"/>
            <w:tcBorders>
              <w:top w:val="single" w:sz="12" w:space="0" w:color="auto"/>
              <w:bottom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Variable</w:t>
            </w:r>
          </w:p>
        </w:tc>
        <w:tc>
          <w:tcPr>
            <w:tcW w:w="6930" w:type="dxa"/>
            <w:tcBorders>
              <w:top w:val="single" w:sz="12" w:space="0" w:color="auto"/>
              <w:bottom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Measure</w:t>
            </w:r>
          </w:p>
        </w:tc>
      </w:tr>
      <w:tr w:rsidR="00B52DD2" w:rsidRPr="003F4BC8" w:rsidTr="00150C36">
        <w:tc>
          <w:tcPr>
            <w:tcW w:w="990" w:type="dxa"/>
            <w:vMerge w:val="restart"/>
            <w:tcBorders>
              <w:top w:val="single" w:sz="12" w:space="0" w:color="auto"/>
            </w:tcBorders>
            <w:textDirection w:val="btLr"/>
            <w:vAlign w:val="center"/>
          </w:tcPr>
          <w:p w:rsidR="00B52DD2" w:rsidRPr="003F4BC8" w:rsidRDefault="00B52DD2" w:rsidP="00150C36">
            <w:pPr>
              <w:ind w:left="113" w:right="113"/>
              <w:jc w:val="center"/>
              <w:rPr>
                <w:rFonts w:ascii="Times New Roman" w:hAnsi="Times New Roman" w:cs="Times New Roman"/>
              </w:rPr>
            </w:pPr>
            <w:r w:rsidRPr="003F4BC8">
              <w:rPr>
                <w:rFonts w:ascii="Times New Roman" w:hAnsi="Times New Roman" w:cs="Times New Roman"/>
              </w:rPr>
              <w:t>Dependent variable</w:t>
            </w:r>
          </w:p>
        </w:tc>
        <w:tc>
          <w:tcPr>
            <w:tcW w:w="1260" w:type="dxa"/>
            <w:vMerge w:val="restart"/>
            <w:tcBorders>
              <w:top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Energy Mix</w:t>
            </w:r>
          </w:p>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(must sum to 100)</w:t>
            </w:r>
          </w:p>
        </w:tc>
        <w:tc>
          <w:tcPr>
            <w:tcW w:w="6930" w:type="dxa"/>
            <w:tcBorders>
              <w:top w:val="single" w:sz="12" w:space="0" w:color="auto"/>
            </w:tcBorders>
          </w:tcPr>
          <w:p w:rsidR="00B52DD2" w:rsidRPr="003F4BC8" w:rsidRDefault="00B52DD2" w:rsidP="00150C36">
            <w:pPr>
              <w:rPr>
                <w:rFonts w:ascii="Times New Roman" w:hAnsi="Times New Roman" w:cs="Times New Roman"/>
              </w:rPr>
            </w:pPr>
            <w:r w:rsidRPr="003F4BC8">
              <w:rPr>
                <w:rFonts w:ascii="Times New Roman" w:eastAsia="MS Mincho" w:hAnsi="Times New Roman" w:cs="Times New Roman"/>
                <w:color w:val="000000" w:themeColor="text1"/>
              </w:rPr>
              <w:t>What percent of our electricity should come from fossil fuels, which currently provide about 65% of total U.S. electricity?</w:t>
            </w:r>
          </w:p>
        </w:tc>
      </w:tr>
      <w:tr w:rsidR="00B52DD2" w:rsidRPr="003F4BC8" w:rsidTr="00150C36">
        <w:trPr>
          <w:trHeight w:val="557"/>
        </w:trPr>
        <w:tc>
          <w:tcPr>
            <w:tcW w:w="990" w:type="dxa"/>
            <w:vMerge/>
          </w:tcPr>
          <w:p w:rsidR="00B52DD2" w:rsidRPr="003F4BC8" w:rsidRDefault="00B52DD2" w:rsidP="00150C36">
            <w:pPr>
              <w:jc w:val="center"/>
              <w:rPr>
                <w:rFonts w:ascii="Times New Roman" w:hAnsi="Times New Roman" w:cs="Times New Roman"/>
              </w:rPr>
            </w:pPr>
          </w:p>
        </w:tc>
        <w:tc>
          <w:tcPr>
            <w:tcW w:w="1260" w:type="dxa"/>
            <w:vMerge/>
          </w:tcPr>
          <w:p w:rsidR="00B52DD2" w:rsidRPr="003F4BC8" w:rsidRDefault="00B52DD2" w:rsidP="00150C36">
            <w:pPr>
              <w:jc w:val="center"/>
              <w:rPr>
                <w:rFonts w:ascii="Times New Roman" w:hAnsi="Times New Roman" w:cs="Times New Roman"/>
              </w:rPr>
            </w:pPr>
          </w:p>
        </w:tc>
        <w:tc>
          <w:tcPr>
            <w:tcW w:w="6930" w:type="dxa"/>
          </w:tcPr>
          <w:p w:rsidR="00B52DD2" w:rsidRPr="003F4BC8" w:rsidRDefault="00B52DD2" w:rsidP="00150C36">
            <w:pPr>
              <w:rPr>
                <w:rFonts w:ascii="Times New Roman" w:hAnsi="Times New Roman" w:cs="Times New Roman"/>
              </w:rPr>
            </w:pPr>
            <w:r w:rsidRPr="003F4BC8">
              <w:rPr>
                <w:rFonts w:ascii="Times New Roman" w:eastAsia="MS Mincho" w:hAnsi="Times New Roman" w:cs="Times New Roman"/>
                <w:color w:val="000000" w:themeColor="text1"/>
              </w:rPr>
              <w:t>What percent of our electricity should come from nuclear energy, which currently provides about 20% of total U.S. electricity?</w:t>
            </w:r>
          </w:p>
        </w:tc>
      </w:tr>
      <w:tr w:rsidR="00B52DD2" w:rsidRPr="003F4BC8" w:rsidTr="00150C36">
        <w:tc>
          <w:tcPr>
            <w:tcW w:w="990" w:type="dxa"/>
            <w:vMerge/>
            <w:tcBorders>
              <w:bottom w:val="single" w:sz="12" w:space="0" w:color="auto"/>
            </w:tcBorders>
          </w:tcPr>
          <w:p w:rsidR="00B52DD2" w:rsidRPr="003F4BC8" w:rsidRDefault="00B52DD2" w:rsidP="00150C36">
            <w:pPr>
              <w:jc w:val="center"/>
              <w:rPr>
                <w:rFonts w:ascii="Times New Roman" w:hAnsi="Times New Roman" w:cs="Times New Roman"/>
              </w:rPr>
            </w:pPr>
          </w:p>
        </w:tc>
        <w:tc>
          <w:tcPr>
            <w:tcW w:w="1260" w:type="dxa"/>
            <w:vMerge/>
            <w:tcBorders>
              <w:bottom w:val="single" w:sz="12" w:space="0" w:color="auto"/>
            </w:tcBorders>
          </w:tcPr>
          <w:p w:rsidR="00B52DD2" w:rsidRPr="003F4BC8" w:rsidRDefault="00B52DD2" w:rsidP="00150C36">
            <w:pPr>
              <w:jc w:val="center"/>
              <w:rPr>
                <w:rFonts w:ascii="Times New Roman" w:hAnsi="Times New Roman" w:cs="Times New Roman"/>
              </w:rPr>
            </w:pPr>
          </w:p>
        </w:tc>
        <w:tc>
          <w:tcPr>
            <w:tcW w:w="6930" w:type="dxa"/>
            <w:tcBorders>
              <w:bottom w:val="single" w:sz="12" w:space="0" w:color="auto"/>
            </w:tcBorders>
          </w:tcPr>
          <w:p w:rsidR="00B52DD2" w:rsidRPr="003F4BC8" w:rsidRDefault="00B52DD2" w:rsidP="00150C36">
            <w:pPr>
              <w:rPr>
                <w:rFonts w:ascii="Times New Roman" w:hAnsi="Times New Roman" w:cs="Times New Roman"/>
              </w:rPr>
            </w:pPr>
            <w:r w:rsidRPr="003F4BC8">
              <w:rPr>
                <w:rFonts w:ascii="Times New Roman" w:eastAsia="MS Mincho" w:hAnsi="Times New Roman" w:cs="Times New Roman"/>
                <w:color w:val="000000" w:themeColor="text1"/>
              </w:rPr>
              <w:t>What percent of our electricity should come from renewable sources (hydroelectric dams, wood, biofuels, wind, waste products, geothermal, and solar), which currently provide about 15% of total U.S. electricity?</w:t>
            </w:r>
          </w:p>
        </w:tc>
      </w:tr>
      <w:tr w:rsidR="00B52DD2" w:rsidRPr="003F4BC8" w:rsidTr="00150C36">
        <w:tc>
          <w:tcPr>
            <w:tcW w:w="990" w:type="dxa"/>
            <w:vMerge w:val="restart"/>
            <w:tcBorders>
              <w:top w:val="single" w:sz="12" w:space="0" w:color="auto"/>
            </w:tcBorders>
            <w:textDirection w:val="btLr"/>
            <w:vAlign w:val="center"/>
          </w:tcPr>
          <w:p w:rsidR="00B52DD2" w:rsidRPr="003F4BC8" w:rsidRDefault="00B52DD2" w:rsidP="00150C36">
            <w:pPr>
              <w:ind w:left="113" w:right="113"/>
              <w:jc w:val="center"/>
              <w:rPr>
                <w:rFonts w:ascii="Times New Roman" w:hAnsi="Times New Roman" w:cs="Times New Roman"/>
              </w:rPr>
            </w:pPr>
            <w:r w:rsidRPr="003F4BC8">
              <w:rPr>
                <w:rFonts w:ascii="Times New Roman" w:hAnsi="Times New Roman" w:cs="Times New Roman"/>
              </w:rPr>
              <w:t>Independent variables</w:t>
            </w:r>
          </w:p>
        </w:tc>
        <w:tc>
          <w:tcPr>
            <w:tcW w:w="1260" w:type="dxa"/>
            <w:tcBorders>
              <w:top w:val="single" w:sz="12" w:space="0" w:color="auto"/>
              <w:bottom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Risk of global warming</w:t>
            </w:r>
          </w:p>
        </w:tc>
        <w:tc>
          <w:tcPr>
            <w:tcW w:w="6930" w:type="dxa"/>
            <w:tcBorders>
              <w:top w:val="single" w:sz="12" w:space="0" w:color="auto"/>
              <w:bottom w:val="single" w:sz="12" w:space="0" w:color="auto"/>
            </w:tcBorders>
          </w:tcPr>
          <w:p w:rsidR="00B52DD2" w:rsidRPr="003F4BC8" w:rsidRDefault="00B52DD2" w:rsidP="00150C36">
            <w:pPr>
              <w:rPr>
                <w:rFonts w:ascii="Times New Roman" w:hAnsi="Times New Roman" w:cs="Times New Roman"/>
              </w:rPr>
            </w:pPr>
            <w:r w:rsidRPr="003F4BC8">
              <w:rPr>
                <w:rFonts w:ascii="Times New Roman" w:eastAsia="MS Mincho" w:hAnsi="Times New Roman" w:cs="Times New Roman"/>
              </w:rPr>
              <w:t>On a scale from zero to ten, where zero means no risk and ten means extreme risk, how much risk do you think global warming poses for people and the environment? (half of the respondents, other half had to choose on scale from one to five)</w:t>
            </w:r>
          </w:p>
        </w:tc>
      </w:tr>
      <w:tr w:rsidR="00B52DD2" w:rsidRPr="003F4BC8" w:rsidTr="00150C36">
        <w:tc>
          <w:tcPr>
            <w:tcW w:w="990" w:type="dxa"/>
            <w:vMerge/>
            <w:vAlign w:val="center"/>
          </w:tcPr>
          <w:p w:rsidR="00B52DD2" w:rsidRPr="003F4BC8" w:rsidRDefault="00B52DD2" w:rsidP="00150C36">
            <w:pPr>
              <w:jc w:val="center"/>
              <w:rPr>
                <w:rFonts w:ascii="Times New Roman" w:hAnsi="Times New Roman" w:cs="Times New Roman"/>
              </w:rPr>
            </w:pPr>
          </w:p>
        </w:tc>
        <w:tc>
          <w:tcPr>
            <w:tcW w:w="1260" w:type="dxa"/>
            <w:vMerge w:val="restart"/>
            <w:tcBorders>
              <w:top w:val="single" w:sz="12" w:space="0" w:color="auto"/>
            </w:tcBorders>
            <w:vAlign w:val="center"/>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Cultural orientation</w:t>
            </w:r>
          </w:p>
        </w:tc>
        <w:tc>
          <w:tcPr>
            <w:tcW w:w="6930" w:type="dxa"/>
            <w:tcBorders>
              <w:top w:val="single" w:sz="12" w:space="0" w:color="auto"/>
            </w:tcBorders>
          </w:tcPr>
          <w:p w:rsidR="00B52DD2" w:rsidRPr="003F4BC8" w:rsidRDefault="00B52DD2" w:rsidP="00150C36">
            <w:pPr>
              <w:rPr>
                <w:rFonts w:ascii="Times New Roman" w:hAnsi="Times New Roman" w:cs="Times New Roman"/>
              </w:rPr>
            </w:pPr>
            <w:r w:rsidRPr="003F4BC8">
              <w:rPr>
                <w:rFonts w:ascii="Times New Roman" w:hAnsi="Times New Roman" w:cs="Times New Roman"/>
                <w:color w:val="000000" w:themeColor="text1"/>
              </w:rPr>
              <w:t>Please rate the degree to which each of the following four groups of statements describes your outlook on life, using a scale from zero to ten, where zero means not at all and ten means completely</w:t>
            </w:r>
          </w:p>
        </w:tc>
      </w:tr>
      <w:tr w:rsidR="00B52DD2" w:rsidRPr="003F4BC8" w:rsidTr="00150C36">
        <w:tc>
          <w:tcPr>
            <w:tcW w:w="990" w:type="dxa"/>
            <w:vMerge/>
            <w:vAlign w:val="center"/>
          </w:tcPr>
          <w:p w:rsidR="00B52DD2" w:rsidRPr="003F4BC8" w:rsidRDefault="00B52DD2" w:rsidP="00150C36">
            <w:pPr>
              <w:jc w:val="center"/>
              <w:rPr>
                <w:rFonts w:ascii="Times New Roman" w:hAnsi="Times New Roman" w:cs="Times New Roman"/>
              </w:rPr>
            </w:pPr>
          </w:p>
        </w:tc>
        <w:tc>
          <w:tcPr>
            <w:tcW w:w="1260" w:type="dxa"/>
            <w:vMerge/>
          </w:tcPr>
          <w:p w:rsidR="00B52DD2" w:rsidRPr="003F4BC8" w:rsidRDefault="00B52DD2" w:rsidP="00150C36">
            <w:pPr>
              <w:jc w:val="center"/>
              <w:rPr>
                <w:rFonts w:ascii="Times New Roman" w:hAnsi="Times New Roman" w:cs="Times New Roman"/>
              </w:rPr>
            </w:pPr>
          </w:p>
        </w:tc>
        <w:tc>
          <w:tcPr>
            <w:tcW w:w="6930" w:type="dxa"/>
          </w:tcPr>
          <w:p w:rsidR="00B52DD2" w:rsidRPr="003F4BC8" w:rsidRDefault="00B52DD2" w:rsidP="00150C36">
            <w:pPr>
              <w:rPr>
                <w:rFonts w:ascii="Times New Roman" w:hAnsi="Times New Roman" w:cs="Times New Roman"/>
              </w:rPr>
            </w:pPr>
            <w:r w:rsidRPr="003F4BC8">
              <w:rPr>
                <w:rFonts w:ascii="Times New Roman" w:hAnsi="Times New Roman" w:cs="Times New Roman"/>
                <w:color w:val="000000" w:themeColor="text1"/>
              </w:rPr>
              <w:t>Hierarchism - I am more comfortable when I know who is, and who is not, a part of my group, and loyalty to the group is important to me. I prefer to know who is in charge and to have clear rules and procedures; those who are in charge should punish those who break the rules. I like to have my responsibilities clearly defined, and I believe people should be rewarded based on the position they hold and their competence. Most of the time, I trust those with authority and expertise to do what is right for society.</w:t>
            </w:r>
          </w:p>
        </w:tc>
      </w:tr>
      <w:tr w:rsidR="00B52DD2" w:rsidRPr="003F4BC8" w:rsidTr="00150C36">
        <w:tc>
          <w:tcPr>
            <w:tcW w:w="990" w:type="dxa"/>
            <w:vMerge/>
            <w:vAlign w:val="center"/>
          </w:tcPr>
          <w:p w:rsidR="00B52DD2" w:rsidRPr="003F4BC8" w:rsidRDefault="00B52DD2" w:rsidP="00150C36">
            <w:pPr>
              <w:jc w:val="center"/>
              <w:rPr>
                <w:rFonts w:ascii="Times New Roman" w:hAnsi="Times New Roman" w:cs="Times New Roman"/>
              </w:rPr>
            </w:pPr>
          </w:p>
        </w:tc>
        <w:tc>
          <w:tcPr>
            <w:tcW w:w="1260" w:type="dxa"/>
            <w:vMerge/>
          </w:tcPr>
          <w:p w:rsidR="00B52DD2" w:rsidRPr="003F4BC8" w:rsidRDefault="00B52DD2" w:rsidP="00150C36">
            <w:pPr>
              <w:jc w:val="center"/>
              <w:rPr>
                <w:rFonts w:ascii="Times New Roman" w:hAnsi="Times New Roman" w:cs="Times New Roman"/>
              </w:rPr>
            </w:pPr>
          </w:p>
        </w:tc>
        <w:tc>
          <w:tcPr>
            <w:tcW w:w="6930" w:type="dxa"/>
          </w:tcPr>
          <w:p w:rsidR="00B52DD2" w:rsidRPr="003F4BC8" w:rsidRDefault="00B52DD2" w:rsidP="00150C36">
            <w:pPr>
              <w:rPr>
                <w:rFonts w:ascii="Times New Roman" w:hAnsi="Times New Roman" w:cs="Times New Roman"/>
              </w:rPr>
            </w:pPr>
            <w:r w:rsidRPr="003F4BC8">
              <w:rPr>
                <w:rFonts w:ascii="Times New Roman" w:hAnsi="Times New Roman" w:cs="Times New Roman"/>
                <w:color w:val="000000" w:themeColor="text1"/>
              </w:rPr>
              <w:t>Individualism - Groups are not all that important to me. I prefer to make my own way in life without having to follow other peoples’ rules. Rewards in life should be based on initiative, skill, and hard work, even if that results in inequality. I respect people based on what they do, not the positions or titles they hold. I like relationships that are based on negotiated “give and take,” rather than on status. Everyone benefits when individuals are allowed to compete.</w:t>
            </w:r>
          </w:p>
        </w:tc>
      </w:tr>
      <w:tr w:rsidR="00B52DD2" w:rsidRPr="003F4BC8" w:rsidTr="00150C36">
        <w:tc>
          <w:tcPr>
            <w:tcW w:w="990" w:type="dxa"/>
            <w:vMerge/>
            <w:vAlign w:val="center"/>
          </w:tcPr>
          <w:p w:rsidR="00B52DD2" w:rsidRPr="003F4BC8" w:rsidRDefault="00B52DD2" w:rsidP="00150C36">
            <w:pPr>
              <w:jc w:val="center"/>
              <w:rPr>
                <w:rFonts w:ascii="Times New Roman" w:hAnsi="Times New Roman" w:cs="Times New Roman"/>
              </w:rPr>
            </w:pPr>
          </w:p>
        </w:tc>
        <w:tc>
          <w:tcPr>
            <w:tcW w:w="1260" w:type="dxa"/>
            <w:vMerge/>
          </w:tcPr>
          <w:p w:rsidR="00B52DD2" w:rsidRPr="003F4BC8" w:rsidRDefault="00B52DD2" w:rsidP="00150C36">
            <w:pPr>
              <w:jc w:val="center"/>
              <w:rPr>
                <w:rFonts w:ascii="Times New Roman" w:hAnsi="Times New Roman" w:cs="Times New Roman"/>
              </w:rPr>
            </w:pPr>
          </w:p>
        </w:tc>
        <w:tc>
          <w:tcPr>
            <w:tcW w:w="6930" w:type="dxa"/>
          </w:tcPr>
          <w:p w:rsidR="00B52DD2" w:rsidRPr="003F4BC8" w:rsidRDefault="00B52DD2" w:rsidP="00150C36">
            <w:pPr>
              <w:rPr>
                <w:rFonts w:ascii="Times New Roman" w:hAnsi="Times New Roman" w:cs="Times New Roman"/>
              </w:rPr>
            </w:pPr>
            <w:r w:rsidRPr="003F4BC8">
              <w:rPr>
                <w:rFonts w:ascii="Times New Roman" w:hAnsi="Times New Roman" w:cs="Times New Roman"/>
                <w:color w:val="000000" w:themeColor="text1"/>
              </w:rPr>
              <w:t>Egalitarianism - My most important contributions are made as a member of a group that promotes justice and equality. Within my group, everyone should play an equal role without differences in rank or authority. It is easy to lose track of what is important, so I have to keep a close eye on the actions of my group. It is not enough to provide equal opportunities; we also have to try to make outcomes more equal.</w:t>
            </w:r>
          </w:p>
        </w:tc>
      </w:tr>
      <w:tr w:rsidR="00B52DD2" w:rsidRPr="003F4BC8" w:rsidTr="00150C36">
        <w:tc>
          <w:tcPr>
            <w:tcW w:w="990" w:type="dxa"/>
            <w:vMerge/>
            <w:vAlign w:val="center"/>
          </w:tcPr>
          <w:p w:rsidR="00B52DD2" w:rsidRPr="003F4BC8" w:rsidRDefault="00B52DD2" w:rsidP="00150C36">
            <w:pPr>
              <w:jc w:val="center"/>
              <w:rPr>
                <w:rFonts w:ascii="Times New Roman" w:hAnsi="Times New Roman" w:cs="Times New Roman"/>
              </w:rPr>
            </w:pPr>
          </w:p>
        </w:tc>
        <w:tc>
          <w:tcPr>
            <w:tcW w:w="1260" w:type="dxa"/>
            <w:vMerge/>
          </w:tcPr>
          <w:p w:rsidR="00B52DD2" w:rsidRPr="003F4BC8" w:rsidRDefault="00B52DD2" w:rsidP="00150C36">
            <w:pPr>
              <w:jc w:val="center"/>
              <w:rPr>
                <w:rFonts w:ascii="Times New Roman" w:hAnsi="Times New Roman" w:cs="Times New Roman"/>
              </w:rPr>
            </w:pPr>
          </w:p>
        </w:tc>
        <w:tc>
          <w:tcPr>
            <w:tcW w:w="6930" w:type="dxa"/>
          </w:tcPr>
          <w:p w:rsidR="00B52DD2" w:rsidRPr="003F4BC8" w:rsidRDefault="00B52DD2" w:rsidP="00150C36">
            <w:pPr>
              <w:rPr>
                <w:rFonts w:ascii="Times New Roman" w:hAnsi="Times New Roman" w:cs="Times New Roman"/>
                <w:color w:val="000000" w:themeColor="text1"/>
              </w:rPr>
            </w:pPr>
            <w:r w:rsidRPr="003F4BC8">
              <w:rPr>
                <w:rFonts w:ascii="Times New Roman" w:hAnsi="Times New Roman" w:cs="Times New Roman"/>
              </w:rPr>
              <w:t xml:space="preserve">Fatalism- </w:t>
            </w:r>
            <w:r w:rsidRPr="003F4BC8">
              <w:rPr>
                <w:rFonts w:ascii="Times New Roman" w:hAnsi="Times New Roman" w:cs="Times New Roman"/>
                <w:color w:val="000000" w:themeColor="text1"/>
              </w:rPr>
              <w:t xml:space="preserve">Life is unpredictable and I have very little control. I tend not to join groups, and I try not to get involved because I can't make much difference anyway. Most of the time other people determine my options in life. Getting along is largely a matter of doing the best I can with what comes my way, so I just try to take care of myself </w:t>
            </w:r>
            <w:r w:rsidRPr="003F4BC8">
              <w:rPr>
                <w:rFonts w:ascii="Times New Roman" w:hAnsi="Times New Roman" w:cs="Times New Roman"/>
                <w:color w:val="000000" w:themeColor="text1"/>
              </w:rPr>
              <w:lastRenderedPageBreak/>
              <w:t>and the people closest to me. It's best to just go with the flow, because whatever will be will be.</w:t>
            </w:r>
          </w:p>
        </w:tc>
      </w:tr>
      <w:tr w:rsidR="00B52DD2" w:rsidRPr="003F4BC8" w:rsidTr="00150C36">
        <w:tc>
          <w:tcPr>
            <w:tcW w:w="990" w:type="dxa"/>
            <w:tcBorders>
              <w:bottom w:val="single" w:sz="12" w:space="0" w:color="auto"/>
            </w:tcBorders>
          </w:tcPr>
          <w:p w:rsidR="00B52DD2" w:rsidRPr="003F4BC8" w:rsidRDefault="00B52DD2" w:rsidP="00150C36">
            <w:pPr>
              <w:jc w:val="center"/>
              <w:rPr>
                <w:rFonts w:ascii="Times New Roman" w:hAnsi="Times New Roman" w:cs="Times New Roman"/>
              </w:rPr>
            </w:pPr>
          </w:p>
        </w:tc>
        <w:tc>
          <w:tcPr>
            <w:tcW w:w="1260" w:type="dxa"/>
            <w:tcBorders>
              <w:bottom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Political ideology</w:t>
            </w:r>
          </w:p>
        </w:tc>
        <w:tc>
          <w:tcPr>
            <w:tcW w:w="6930" w:type="dxa"/>
            <w:tcBorders>
              <w:bottom w:val="single" w:sz="12" w:space="0" w:color="auto"/>
            </w:tcBorders>
          </w:tcPr>
          <w:p w:rsidR="00B52DD2" w:rsidRPr="003F4BC8" w:rsidRDefault="00B52DD2" w:rsidP="00150C36">
            <w:pPr>
              <w:rPr>
                <w:rFonts w:ascii="Times New Roman" w:hAnsi="Times New Roman" w:cs="Times New Roman"/>
              </w:rPr>
            </w:pPr>
            <w:r w:rsidRPr="003F4BC8">
              <w:rPr>
                <w:rFonts w:ascii="Times New Roman" w:eastAsia="MS Mincho" w:hAnsi="Times New Roman" w:cs="Times New Roman"/>
                <w:color w:val="000000" w:themeColor="text1"/>
              </w:rPr>
              <w:t xml:space="preserve">On a scale of </w:t>
            </w:r>
            <w:r w:rsidRPr="003F4BC8">
              <w:rPr>
                <w:rFonts w:ascii="Times New Roman" w:hAnsi="Times New Roman" w:cs="Times New Roman"/>
                <w:color w:val="000000" w:themeColor="text1"/>
              </w:rPr>
              <w:t>political</w:t>
            </w:r>
            <w:r w:rsidRPr="003F4BC8">
              <w:rPr>
                <w:rFonts w:ascii="Times New Roman" w:eastAsia="MS Mincho" w:hAnsi="Times New Roman" w:cs="Times New Roman"/>
                <w:color w:val="000000" w:themeColor="text1"/>
              </w:rPr>
              <w:t xml:space="preserve"> ideology, individuals can be arranged from strongly liberal to strongly conservative. Which of the following categories best describes your views? (1=strongly liberal and 7=strongly conservative).</w:t>
            </w:r>
          </w:p>
        </w:tc>
      </w:tr>
      <w:tr w:rsidR="00B52DD2" w:rsidRPr="003F4BC8" w:rsidTr="00150C36">
        <w:tc>
          <w:tcPr>
            <w:tcW w:w="990" w:type="dxa"/>
            <w:vMerge w:val="restart"/>
            <w:tcBorders>
              <w:top w:val="single" w:sz="12" w:space="0" w:color="auto"/>
            </w:tcBorders>
            <w:textDirection w:val="btLr"/>
          </w:tcPr>
          <w:p w:rsidR="00B52DD2" w:rsidRPr="003F4BC8" w:rsidRDefault="00B52DD2" w:rsidP="00150C36">
            <w:pPr>
              <w:ind w:left="113" w:right="113"/>
              <w:jc w:val="center"/>
              <w:rPr>
                <w:rFonts w:ascii="Times New Roman" w:hAnsi="Times New Roman" w:cs="Times New Roman"/>
              </w:rPr>
            </w:pPr>
            <w:r w:rsidRPr="003F4BC8">
              <w:rPr>
                <w:rFonts w:ascii="Times New Roman" w:hAnsi="Times New Roman" w:cs="Times New Roman"/>
              </w:rPr>
              <w:t>Control variables</w:t>
            </w:r>
          </w:p>
        </w:tc>
        <w:tc>
          <w:tcPr>
            <w:tcW w:w="1260" w:type="dxa"/>
            <w:vMerge w:val="restart"/>
            <w:tcBorders>
              <w:top w:val="single" w:sz="12" w:space="0" w:color="auto"/>
            </w:tcBorders>
          </w:tcPr>
          <w:p w:rsidR="00B52DD2" w:rsidRPr="003F4BC8" w:rsidRDefault="00B52DD2" w:rsidP="00150C36">
            <w:pPr>
              <w:jc w:val="center"/>
              <w:rPr>
                <w:rFonts w:ascii="Times New Roman" w:hAnsi="Times New Roman" w:cs="Times New Roman"/>
              </w:rPr>
            </w:pPr>
            <w:r w:rsidRPr="003F4BC8">
              <w:rPr>
                <w:rFonts w:ascii="Times New Roman" w:hAnsi="Times New Roman" w:cs="Times New Roman"/>
              </w:rPr>
              <w:t>Demographic characteristics</w:t>
            </w:r>
          </w:p>
        </w:tc>
        <w:tc>
          <w:tcPr>
            <w:tcW w:w="6930" w:type="dxa"/>
            <w:tcBorders>
              <w:top w:val="single" w:sz="12" w:space="0" w:color="auto"/>
            </w:tcBorders>
          </w:tcPr>
          <w:p w:rsidR="00B52DD2" w:rsidRPr="003F4BC8" w:rsidRDefault="00B52DD2" w:rsidP="00150C36">
            <w:pPr>
              <w:rPr>
                <w:rFonts w:ascii="Times New Roman" w:hAnsi="Times New Roman" w:cs="Times New Roman"/>
              </w:rPr>
            </w:pPr>
            <w:r w:rsidRPr="003F4BC8">
              <w:rPr>
                <w:rFonts w:ascii="Times New Roman" w:hAnsi="Times New Roman" w:cs="Times New Roman"/>
              </w:rPr>
              <w:t>Age measured in years</w:t>
            </w:r>
          </w:p>
        </w:tc>
      </w:tr>
      <w:tr w:rsidR="00B52DD2" w:rsidRPr="003F4BC8" w:rsidTr="00150C36">
        <w:tc>
          <w:tcPr>
            <w:tcW w:w="990" w:type="dxa"/>
            <w:vMerge/>
          </w:tcPr>
          <w:p w:rsidR="00B52DD2" w:rsidRPr="003F4BC8" w:rsidRDefault="00B52DD2" w:rsidP="00150C36">
            <w:pPr>
              <w:jc w:val="center"/>
              <w:rPr>
                <w:rFonts w:ascii="Times New Roman" w:hAnsi="Times New Roman" w:cs="Times New Roman"/>
              </w:rPr>
            </w:pPr>
          </w:p>
        </w:tc>
        <w:tc>
          <w:tcPr>
            <w:tcW w:w="1260" w:type="dxa"/>
            <w:vMerge/>
          </w:tcPr>
          <w:p w:rsidR="00B52DD2" w:rsidRPr="003F4BC8" w:rsidRDefault="00B52DD2" w:rsidP="00150C36">
            <w:pPr>
              <w:jc w:val="center"/>
              <w:rPr>
                <w:rFonts w:ascii="Times New Roman" w:hAnsi="Times New Roman" w:cs="Times New Roman"/>
              </w:rPr>
            </w:pPr>
          </w:p>
        </w:tc>
        <w:tc>
          <w:tcPr>
            <w:tcW w:w="6930" w:type="dxa"/>
          </w:tcPr>
          <w:p w:rsidR="00B52DD2" w:rsidRPr="003F4BC8" w:rsidRDefault="00B52DD2" w:rsidP="00150C36">
            <w:pPr>
              <w:rPr>
                <w:rFonts w:ascii="Times New Roman" w:hAnsi="Times New Roman" w:cs="Times New Roman"/>
              </w:rPr>
            </w:pPr>
            <w:r w:rsidRPr="003F4BC8">
              <w:rPr>
                <w:rFonts w:ascii="Times New Roman" w:hAnsi="Times New Roman" w:cs="Times New Roman"/>
              </w:rPr>
              <w:t>Gender measured 1=male and 0=female</w:t>
            </w:r>
          </w:p>
        </w:tc>
      </w:tr>
      <w:tr w:rsidR="00B52DD2" w:rsidRPr="003F4BC8" w:rsidTr="00150C36">
        <w:tc>
          <w:tcPr>
            <w:tcW w:w="990" w:type="dxa"/>
            <w:vMerge/>
          </w:tcPr>
          <w:p w:rsidR="00B52DD2" w:rsidRPr="003F4BC8" w:rsidRDefault="00B52DD2" w:rsidP="00150C36">
            <w:pPr>
              <w:jc w:val="center"/>
              <w:rPr>
                <w:rFonts w:ascii="Times New Roman" w:hAnsi="Times New Roman" w:cs="Times New Roman"/>
              </w:rPr>
            </w:pPr>
          </w:p>
        </w:tc>
        <w:tc>
          <w:tcPr>
            <w:tcW w:w="1260" w:type="dxa"/>
            <w:vMerge/>
          </w:tcPr>
          <w:p w:rsidR="00B52DD2" w:rsidRPr="003F4BC8" w:rsidRDefault="00B52DD2" w:rsidP="00150C36">
            <w:pPr>
              <w:jc w:val="center"/>
              <w:rPr>
                <w:rFonts w:ascii="Times New Roman" w:hAnsi="Times New Roman" w:cs="Times New Roman"/>
              </w:rPr>
            </w:pPr>
          </w:p>
        </w:tc>
        <w:tc>
          <w:tcPr>
            <w:tcW w:w="6930" w:type="dxa"/>
          </w:tcPr>
          <w:p w:rsidR="00B52DD2" w:rsidRPr="003F4BC8" w:rsidRDefault="00B52DD2" w:rsidP="00150C36">
            <w:pPr>
              <w:rPr>
                <w:rFonts w:ascii="Times New Roman" w:hAnsi="Times New Roman" w:cs="Times New Roman"/>
              </w:rPr>
            </w:pPr>
            <w:r w:rsidRPr="003F4BC8">
              <w:rPr>
                <w:rFonts w:ascii="Times New Roman" w:hAnsi="Times New Roman" w:cs="Times New Roman"/>
              </w:rPr>
              <w:t xml:space="preserve">Race 1=white, Hispanic; 0=non-white, non-Hispanic </w:t>
            </w:r>
          </w:p>
        </w:tc>
      </w:tr>
      <w:tr w:rsidR="00B52DD2" w:rsidRPr="003F4BC8" w:rsidTr="00150C36">
        <w:tc>
          <w:tcPr>
            <w:tcW w:w="990" w:type="dxa"/>
            <w:vMerge/>
          </w:tcPr>
          <w:p w:rsidR="00B52DD2" w:rsidRPr="003F4BC8" w:rsidRDefault="00B52DD2" w:rsidP="00150C36">
            <w:pPr>
              <w:jc w:val="center"/>
              <w:rPr>
                <w:rFonts w:ascii="Times New Roman" w:hAnsi="Times New Roman" w:cs="Times New Roman"/>
              </w:rPr>
            </w:pPr>
          </w:p>
        </w:tc>
        <w:tc>
          <w:tcPr>
            <w:tcW w:w="1260" w:type="dxa"/>
            <w:vMerge/>
          </w:tcPr>
          <w:p w:rsidR="00B52DD2" w:rsidRPr="003F4BC8" w:rsidRDefault="00B52DD2" w:rsidP="00150C36">
            <w:pPr>
              <w:jc w:val="center"/>
              <w:rPr>
                <w:rFonts w:ascii="Times New Roman" w:hAnsi="Times New Roman" w:cs="Times New Roman"/>
              </w:rPr>
            </w:pPr>
          </w:p>
        </w:tc>
        <w:tc>
          <w:tcPr>
            <w:tcW w:w="6930" w:type="dxa"/>
          </w:tcPr>
          <w:p w:rsidR="00B52DD2" w:rsidRPr="003F4BC8" w:rsidRDefault="00B52DD2" w:rsidP="00150C36">
            <w:pPr>
              <w:rPr>
                <w:rFonts w:ascii="Times New Roman" w:hAnsi="Times New Roman" w:cs="Times New Roman"/>
              </w:rPr>
            </w:pPr>
            <w:r w:rsidRPr="003F4BC8">
              <w:rPr>
                <w:rFonts w:ascii="Times New Roman" w:hAnsi="Times New Roman" w:cs="Times New Roman"/>
              </w:rPr>
              <w:t>The highest level of education completed (1=lower than high school; 8=PhD / JD (law) / MD</w:t>
            </w:r>
          </w:p>
        </w:tc>
      </w:tr>
      <w:tr w:rsidR="00B52DD2" w:rsidRPr="003F4BC8" w:rsidTr="00150C36">
        <w:tc>
          <w:tcPr>
            <w:tcW w:w="990" w:type="dxa"/>
            <w:vMerge/>
            <w:tcBorders>
              <w:bottom w:val="single" w:sz="12" w:space="0" w:color="auto"/>
            </w:tcBorders>
          </w:tcPr>
          <w:p w:rsidR="00B52DD2" w:rsidRPr="003F4BC8" w:rsidRDefault="00B52DD2" w:rsidP="00150C36">
            <w:pPr>
              <w:jc w:val="center"/>
              <w:rPr>
                <w:rFonts w:ascii="Times New Roman" w:hAnsi="Times New Roman" w:cs="Times New Roman"/>
              </w:rPr>
            </w:pPr>
          </w:p>
        </w:tc>
        <w:tc>
          <w:tcPr>
            <w:tcW w:w="1260" w:type="dxa"/>
            <w:vMerge/>
            <w:tcBorders>
              <w:bottom w:val="single" w:sz="12" w:space="0" w:color="auto"/>
            </w:tcBorders>
          </w:tcPr>
          <w:p w:rsidR="00B52DD2" w:rsidRPr="003F4BC8" w:rsidRDefault="00B52DD2" w:rsidP="00150C36">
            <w:pPr>
              <w:jc w:val="center"/>
              <w:rPr>
                <w:rFonts w:ascii="Times New Roman" w:hAnsi="Times New Roman" w:cs="Times New Roman"/>
              </w:rPr>
            </w:pPr>
          </w:p>
        </w:tc>
        <w:tc>
          <w:tcPr>
            <w:tcW w:w="6930" w:type="dxa"/>
            <w:tcBorders>
              <w:bottom w:val="single" w:sz="12" w:space="0" w:color="auto"/>
            </w:tcBorders>
          </w:tcPr>
          <w:p w:rsidR="00B52DD2" w:rsidRPr="003F4BC8" w:rsidRDefault="00B52DD2" w:rsidP="00150C36">
            <w:pPr>
              <w:rPr>
                <w:rFonts w:ascii="Times New Roman" w:hAnsi="Times New Roman" w:cs="Times New Roman"/>
              </w:rPr>
            </w:pPr>
            <w:r w:rsidRPr="003F4BC8">
              <w:rPr>
                <w:rFonts w:ascii="Times New Roman" w:hAnsi="Times New Roman" w:cs="Times New Roman"/>
              </w:rPr>
              <w:t>Total estimated household income (1=up to $10,000 to 21=more than $200,000).</w:t>
            </w:r>
          </w:p>
        </w:tc>
      </w:tr>
    </w:tbl>
    <w:p w:rsidR="00B52DD2" w:rsidRPr="003F4BC8" w:rsidRDefault="00B52DD2" w:rsidP="00B52DD2">
      <w:pPr>
        <w:ind w:left="720" w:hanging="720"/>
        <w:rPr>
          <w:rFonts w:ascii="Times New Roman" w:hAnsi="Times New Roman" w:cs="Times New Roman"/>
        </w:rPr>
      </w:pPr>
    </w:p>
    <w:p w:rsidR="00B52DD2" w:rsidRPr="003F4BC8" w:rsidRDefault="00B52DD2" w:rsidP="00B52DD2">
      <w:pPr>
        <w:ind w:left="720" w:hanging="720"/>
        <w:rPr>
          <w:rFonts w:ascii="Times New Roman" w:hAnsi="Times New Roman" w:cs="Times New Roman"/>
        </w:rPr>
      </w:pPr>
    </w:p>
    <w:p w:rsidR="00B52DD2" w:rsidRPr="003F4BC8" w:rsidRDefault="00B52DD2" w:rsidP="00B52DD2">
      <w:pPr>
        <w:rPr>
          <w:rFonts w:ascii="Times New Roman" w:hAnsi="Times New Roman" w:cs="Times New Roman"/>
        </w:rPr>
      </w:pPr>
      <w:r w:rsidRPr="003F4BC8">
        <w:rPr>
          <w:rFonts w:ascii="Times New Roman" w:hAnsi="Times New Roman" w:cs="Times New Roman"/>
        </w:rPr>
        <w:br w:type="page"/>
      </w:r>
    </w:p>
    <w:p w:rsidR="00B52DD2" w:rsidRPr="00BC3E2C" w:rsidRDefault="00B52DD2" w:rsidP="00B52DD2">
      <w:pPr>
        <w:spacing w:line="480" w:lineRule="auto"/>
        <w:ind w:left="720" w:hanging="720"/>
        <w:rPr>
          <w:rFonts w:ascii="Times New Roman" w:hAnsi="Times New Roman" w:cs="Times New Roman"/>
          <w:b/>
          <w:bCs/>
          <w:sz w:val="36"/>
          <w:szCs w:val="36"/>
        </w:rPr>
      </w:pPr>
      <w:r w:rsidRPr="00BC3E2C">
        <w:rPr>
          <w:rFonts w:ascii="Times New Roman" w:hAnsi="Times New Roman" w:cs="Times New Roman"/>
          <w:b/>
          <w:bCs/>
          <w:sz w:val="36"/>
          <w:szCs w:val="36"/>
        </w:rPr>
        <w:lastRenderedPageBreak/>
        <w:t>Chapter 6. Conclusion</w:t>
      </w:r>
    </w:p>
    <w:p w:rsidR="00B52DD2" w:rsidRDefault="00B52DD2" w:rsidP="00B52DD2">
      <w:pPr>
        <w:spacing w:line="480" w:lineRule="auto"/>
        <w:ind w:firstLine="720"/>
        <w:jc w:val="both"/>
        <w:rPr>
          <w:rFonts w:ascii="Times New Roman" w:eastAsia="Times New Roman" w:hAnsi="Times New Roman" w:cs="Times New Roman"/>
          <w:color w:val="222222"/>
          <w:shd w:val="clear" w:color="auto" w:fill="FFFFFF"/>
        </w:rPr>
      </w:pPr>
      <w:r w:rsidRPr="003F4BC8">
        <w:rPr>
          <w:rFonts w:ascii="Times New Roman" w:hAnsi="Times New Roman" w:cs="Times New Roman"/>
        </w:rPr>
        <w:t xml:space="preserve">As nuclear stalemate in USA is protracted and incessant, this dissertation studies what is at the nucleus of this impasse – “the NIMBY syndrome” or the local opposition to SNF siting proposals. Scholarship examining “the NIMBY syndrome” has explained individual decision making among local community members by two modes of determining factors. One set of arguments about local opposition to SNF siting uses </w:t>
      </w:r>
      <w:r w:rsidRPr="003F4BC8">
        <w:rPr>
          <w:rFonts w:ascii="Times New Roman" w:eastAsia="Times New Roman" w:hAnsi="Times New Roman" w:cs="Times New Roman"/>
          <w:color w:val="222222"/>
          <w:shd w:val="clear" w:color="auto" w:fill="FFFFFF"/>
        </w:rPr>
        <w:t xml:space="preserve">rational choice models. </w:t>
      </w:r>
      <w:r w:rsidRPr="003F4BC8">
        <w:rPr>
          <w:rFonts w:ascii="Times New Roman" w:hAnsi="Times New Roman" w:cs="Times New Roman"/>
        </w:rPr>
        <w:t xml:space="preserve">In their explanations </w:t>
      </w:r>
      <w:r w:rsidRPr="003F4BC8">
        <w:rPr>
          <w:rFonts w:ascii="Times New Roman" w:eastAsia="Times New Roman" w:hAnsi="Times New Roman" w:cs="Times New Roman"/>
          <w:color w:val="222222"/>
          <w:shd w:val="clear" w:color="auto" w:fill="FFFFFF"/>
        </w:rPr>
        <w:t xml:space="preserve">these scholars </w:t>
      </w:r>
      <w:r w:rsidRPr="003F4BC8">
        <w:rPr>
          <w:rFonts w:ascii="Times New Roman" w:hAnsi="Times New Roman" w:cs="Times New Roman"/>
        </w:rPr>
        <w:t>focus on individuals’ proximity to the site as a proxy for perceived costs</w:t>
      </w:r>
      <w:r w:rsidRPr="003F4BC8">
        <w:rPr>
          <w:rFonts w:ascii="Times New Roman" w:eastAsia="Times New Roman" w:hAnsi="Times New Roman" w:cs="Times New Roman"/>
          <w:color w:val="222222"/>
          <w:shd w:val="clear" w:color="auto" w:fill="FFFFFF"/>
        </w:rPr>
        <w:t xml:space="preserve"> (</w:t>
      </w:r>
      <w:r w:rsidRPr="003F4BC8">
        <w:rPr>
          <w:rFonts w:ascii="Times New Roman" w:eastAsia="Times New Roman" w:hAnsi="Times New Roman" w:cs="Times New Roman"/>
        </w:rPr>
        <w:t xml:space="preserve">Hindmore 2010; </w:t>
      </w:r>
      <w:r w:rsidRPr="003F4BC8">
        <w:rPr>
          <w:rFonts w:ascii="Times New Roman" w:hAnsi="Times New Roman" w:cs="Times New Roman"/>
        </w:rPr>
        <w:t xml:space="preserve">Jenkins-Smith and Kunreuther 2001; </w:t>
      </w:r>
      <w:r w:rsidRPr="003F4BC8">
        <w:rPr>
          <w:rFonts w:ascii="Times New Roman" w:eastAsia="Times New Roman" w:hAnsi="Times New Roman" w:cs="Times New Roman"/>
        </w:rPr>
        <w:t>Riker 1990</w:t>
      </w:r>
      <w:r w:rsidRPr="003F4BC8">
        <w:rPr>
          <w:rFonts w:ascii="Times New Roman" w:hAnsi="Times New Roman" w:cs="Times New Roman"/>
        </w:rPr>
        <w:t>). The other category of explanations about local opposition of community members uses models based on behavioral economics and consider the central role of psychological biases and heuristics in shaping individuals’ views and beliefs for policy preferences (</w:t>
      </w:r>
      <w:r w:rsidRPr="003F4BC8">
        <w:rPr>
          <w:rFonts w:ascii="Times New Roman" w:eastAsia="Times New Roman" w:hAnsi="Times New Roman" w:cs="Times New Roman"/>
          <w:color w:val="222222"/>
          <w:shd w:val="clear" w:color="auto" w:fill="FFFFFF"/>
        </w:rPr>
        <w:t>Tversky and Kahneman 1974; Kahneman and Tversky 2013</w:t>
      </w:r>
      <w:r w:rsidRPr="003F4BC8">
        <w:rPr>
          <w:rFonts w:ascii="Times New Roman" w:hAnsi="Times New Roman" w:cs="Times New Roman"/>
        </w:rPr>
        <w:t xml:space="preserve">). While recognizing the value of these sophisticated models, I argue in this dissertation, that we need to focus on the impact of NIMBY on decision-making from a broader public policy perspective. I </w:t>
      </w:r>
      <w:r w:rsidRPr="003F4BC8">
        <w:rPr>
          <w:rFonts w:ascii="Times New Roman" w:eastAsia="Times New Roman" w:hAnsi="Times New Roman" w:cs="Times New Roman"/>
          <w:color w:val="222222"/>
          <w:shd w:val="clear" w:color="auto" w:fill="FFFFFF"/>
        </w:rPr>
        <w:t>incorporate “political” variables in the study of NIMBYism syndrome and conventionally name this model of the individual as “homo-politicus.”</w:t>
      </w:r>
    </w:p>
    <w:p w:rsidR="00B52DD2" w:rsidRPr="003F4BC8" w:rsidRDefault="00B52DD2" w:rsidP="00B52DD2">
      <w:pPr>
        <w:spacing w:line="480" w:lineRule="auto"/>
        <w:ind w:firstLine="720"/>
        <w:jc w:val="both"/>
        <w:rPr>
          <w:rFonts w:ascii="Times New Roman" w:eastAsia="Times New Roman" w:hAnsi="Times New Roman" w:cs="Times New Roman"/>
          <w:color w:val="222222"/>
          <w:shd w:val="clear" w:color="auto" w:fill="FFFFFF"/>
        </w:rPr>
      </w:pPr>
    </w:p>
    <w:p w:rsidR="00B52DD2" w:rsidRPr="003F4BC8" w:rsidRDefault="00B52DD2" w:rsidP="00B52DD2">
      <w:pPr>
        <w:spacing w:line="480" w:lineRule="auto"/>
        <w:ind w:firstLine="720"/>
        <w:jc w:val="center"/>
        <w:rPr>
          <w:rFonts w:ascii="Times New Roman" w:eastAsia="Times New Roman" w:hAnsi="Times New Roman" w:cs="Times New Roman"/>
          <w:color w:val="222222"/>
          <w:shd w:val="clear" w:color="auto" w:fill="FFFFFF"/>
        </w:rPr>
      </w:pPr>
      <w:r w:rsidRPr="003F4BC8">
        <w:rPr>
          <w:rFonts w:ascii="Times New Roman" w:eastAsia="Times New Roman" w:hAnsi="Times New Roman" w:cs="Times New Roman"/>
          <w:b/>
          <w:bCs/>
          <w:color w:val="222222"/>
          <w:shd w:val="clear" w:color="auto" w:fill="FFFFFF"/>
        </w:rPr>
        <w:t>Figure 6-1.</w:t>
      </w:r>
      <w:r w:rsidRPr="003F4BC8">
        <w:rPr>
          <w:rFonts w:ascii="Times New Roman" w:eastAsia="Times New Roman" w:hAnsi="Times New Roman" w:cs="Times New Roman"/>
          <w:color w:val="222222"/>
          <w:shd w:val="clear" w:color="auto" w:fill="FFFFFF"/>
        </w:rPr>
        <w:t xml:space="preserve"> The Preference Formation Factors for “Homo-Politicus” Model of the Individual</w:t>
      </w:r>
    </w:p>
    <w:p w:rsidR="00B52DD2" w:rsidRPr="003F4BC8" w:rsidRDefault="00B52DD2" w:rsidP="00B52DD2">
      <w:pPr>
        <w:spacing w:line="480" w:lineRule="auto"/>
        <w:ind w:firstLine="720"/>
        <w:jc w:val="both"/>
        <w:rPr>
          <w:rFonts w:ascii="Times New Roman" w:eastAsia="Times New Roman" w:hAnsi="Times New Roman" w:cs="Times New Roman"/>
          <w:color w:val="222222"/>
          <w:shd w:val="clear" w:color="auto" w:fill="FFFFFF"/>
        </w:rPr>
      </w:pPr>
      <w:r w:rsidRPr="003F4BC8">
        <w:rPr>
          <w:rFonts w:ascii="Times New Roman" w:eastAsia="Times New Roman" w:hAnsi="Times New Roman" w:cs="Times New Roman"/>
          <w:noProof/>
          <w:color w:val="222222"/>
          <w:shd w:val="clear" w:color="auto" w:fill="FFFFFF"/>
        </w:rPr>
        <w:drawing>
          <wp:inline distT="0" distB="0" distL="0" distR="0" wp14:anchorId="1C5C8668" wp14:editId="249D0D83">
            <wp:extent cx="4562856" cy="1399032"/>
            <wp:effectExtent l="0" t="12700" r="34925" b="10795"/>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rsidR="00B52DD2" w:rsidRPr="003F4BC8" w:rsidRDefault="00B52DD2" w:rsidP="00B52DD2">
      <w:pPr>
        <w:spacing w:line="480" w:lineRule="auto"/>
        <w:ind w:firstLine="720"/>
        <w:jc w:val="both"/>
        <w:rPr>
          <w:rFonts w:ascii="Times New Roman" w:eastAsia="Times New Roman" w:hAnsi="Times New Roman" w:cs="Times New Roman"/>
          <w:color w:val="222222"/>
          <w:shd w:val="clear" w:color="auto" w:fill="FFFFFF"/>
        </w:rPr>
      </w:pPr>
      <w:r w:rsidRPr="003F4BC8">
        <w:rPr>
          <w:rFonts w:ascii="Times New Roman" w:eastAsia="Times New Roman" w:hAnsi="Times New Roman" w:cs="Times New Roman"/>
          <w:color w:val="222222"/>
          <w:shd w:val="clear" w:color="auto" w:fill="FFFFFF"/>
        </w:rPr>
        <w:lastRenderedPageBreak/>
        <w:t>Figure 6-1 reveals that f</w:t>
      </w:r>
      <w:r w:rsidRPr="003F4BC8">
        <w:rPr>
          <w:rFonts w:ascii="Times New Roman" w:hAnsi="Times New Roman" w:cs="Times New Roman"/>
        </w:rPr>
        <w:t>ollowing the tradition of the one of the major theories of the policy process I assume public policy preferences within nuclear policy domain are formulated based on individuals’ deep core beliefs that serve as a foundation for the formulation of their more specific SNF policy positions (</w:t>
      </w:r>
      <w:r w:rsidRPr="003F4BC8">
        <w:rPr>
          <w:rFonts w:ascii="Times New Roman" w:eastAsia="Times New Roman" w:hAnsi="Times New Roman" w:cs="Times New Roman"/>
          <w:color w:val="222222"/>
          <w:shd w:val="clear" w:color="auto" w:fill="FFFFFF"/>
        </w:rPr>
        <w:t>Jenkins-Smith et al. 2017; Jenkins-Smith et al. 2014a). This model accounts for the impact of political ideology in the formulation of hierarchically structured complex belief systems and assumes that the individual is boundedly rational (</w:t>
      </w:r>
      <w:r w:rsidRPr="003F4BC8">
        <w:rPr>
          <w:rFonts w:ascii="Times New Roman" w:eastAsia="Times New Roman" w:hAnsi="Times New Roman" w:cs="Times New Roman"/>
        </w:rPr>
        <w:t xml:space="preserve">Lindblom 1959; Simon 1985, Jones 2001; </w:t>
      </w:r>
      <w:r w:rsidRPr="003F4BC8">
        <w:rPr>
          <w:rFonts w:ascii="Times New Roman" w:hAnsi="Times New Roman" w:cs="Times New Roman"/>
        </w:rPr>
        <w:t xml:space="preserve">Ripberger et al. 2014; </w:t>
      </w:r>
      <w:r w:rsidRPr="003F4BC8">
        <w:rPr>
          <w:rFonts w:ascii="Times New Roman" w:eastAsia="Times New Roman" w:hAnsi="Times New Roman" w:cs="Times New Roman"/>
          <w:color w:val="222222"/>
          <w:shd w:val="clear" w:color="auto" w:fill="FFFFFF"/>
        </w:rPr>
        <w:t>Jenkins-Smith et al. 2014b</w:t>
      </w:r>
      <w:r w:rsidRPr="003F4BC8">
        <w:rPr>
          <w:rFonts w:ascii="Times New Roman" w:eastAsia="Times New Roman" w:hAnsi="Times New Roman" w:cs="Times New Roman"/>
        </w:rPr>
        <w:t>)</w:t>
      </w:r>
      <w:r w:rsidRPr="003F4BC8">
        <w:rPr>
          <w:rFonts w:ascii="Times New Roman" w:eastAsia="Times New Roman" w:hAnsi="Times New Roman" w:cs="Times New Roman"/>
          <w:color w:val="222222"/>
          <w:shd w:val="clear" w:color="auto" w:fill="FFFFFF"/>
        </w:rPr>
        <w:t>. These theoretical discussions are presented in chapter 1 of this dissertation.</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eastAsia="Times New Roman" w:hAnsi="Times New Roman" w:cs="Times New Roman"/>
          <w:color w:val="222222"/>
          <w:shd w:val="clear" w:color="auto" w:fill="FFFFFF"/>
        </w:rPr>
        <w:t xml:space="preserve">As mentioned above, debate about SNF disposal has evolved through years in USA and has come to a stalemate due to public opposition to the proposed policy options. Therefore, in chapter 2 of this dissertation </w:t>
      </w:r>
      <w:r w:rsidRPr="003F4BC8">
        <w:rPr>
          <w:rFonts w:ascii="Times New Roman" w:hAnsi="Times New Roman" w:cs="Times New Roman"/>
        </w:rPr>
        <w:t>I review the literature about the role of public opinion in the democracy in general and in the policy process in particular. Figure 2-2 demonstrates that voters/citizens, who are the subject of the study in this dissertation are one of four “extra-governmental” entities that play a decisive role in “inter-governmental” policy making process.</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Consequently, in chapter 3 of this dissertation I track the evolution of public preferences in SNF disposal siting over time by using data from nationwide surveys of American public form 2006-2019 collected by the National Institute of Risk and Resilience at the University of Oklahoma. By employing descriptive time series analysis I first examine how public perception in SNF siting preferences evolve over time in parallel with public risk perceptions, trust in government and knowledge in nuclear waste management technologies. The evolution of public nuclear energy risk perceptions over time reveals increasing trends in parallel with benefit perceptions exposing decreasing trends.</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lastRenderedPageBreak/>
        <w:t xml:space="preserve"> In addition, I employ explanative time series analysis to test hypotheses to determine whether public risk and benefit perceptions, trust in government and knowledge about nuclear energy have caused changes in public preferences in SNF storage and disposal policy options over time. The results of times series cross correlation analyses show that increased risk perceptions in nuclear waste transportation over time negatively affect public support for SNF deep geologic disposal</w:t>
      </w:r>
      <w:r>
        <w:rPr>
          <w:rFonts w:ascii="Times New Roman" w:hAnsi="Times New Roman" w:cs="Times New Roman"/>
        </w:rPr>
        <w:t xml:space="preserve"> </w:t>
      </w:r>
      <w:r w:rsidRPr="00DC7603">
        <w:rPr>
          <w:rFonts w:ascii="Times New Roman" w:hAnsi="Times New Roman" w:cs="Times New Roman"/>
        </w:rPr>
        <w:t xml:space="preserve">five years later. </w:t>
      </w:r>
      <w:r w:rsidRPr="009C3E43">
        <w:rPr>
          <w:rFonts w:ascii="Times New Roman" w:hAnsi="Times New Roman" w:cs="Times New Roman"/>
        </w:rPr>
        <w:t>I also find that increased benefit perceptions in reduced mining is likely to lead an above average support for SNF onsite storage policy option 1 year later.</w:t>
      </w:r>
      <w:r>
        <w:rPr>
          <w:rFonts w:ascii="Times New Roman" w:hAnsi="Times New Roman" w:cs="Times New Roman"/>
        </w:rPr>
        <w:t xml:space="preserve"> </w:t>
      </w:r>
      <w:r w:rsidRPr="00287A98">
        <w:rPr>
          <w:rFonts w:ascii="Times New Roman" w:hAnsi="Times New Roman" w:cs="Times New Roman"/>
        </w:rPr>
        <w:t>These findings imply that, within a representative political system like that of the U.S., changes in perceptions and awareness might also result in policy change in the long run.</w:t>
      </w:r>
      <w:r>
        <w:rPr>
          <w:rFonts w:ascii="Times New Roman" w:hAnsi="Times New Roman" w:cs="Times New Roman"/>
        </w:rPr>
        <w:t xml:space="preserve"> Prior studies in this area have been cross sectional. This chapter makes a major contribution to the literature by looking at </w:t>
      </w:r>
      <w:r w:rsidRPr="00A427DB">
        <w:rPr>
          <w:rFonts w:ascii="Times New Roman" w:hAnsi="Times New Roman" w:cs="Times New Roman"/>
        </w:rPr>
        <w:t xml:space="preserve">causal relationships between risk perceptions and policy support over time. </w:t>
      </w:r>
      <w:r w:rsidRPr="003F4BC8">
        <w:rPr>
          <w:rFonts w:ascii="Times New Roman" w:hAnsi="Times New Roman" w:cs="Times New Roman"/>
        </w:rPr>
        <w:t xml:space="preserve">While the resolution of the nuclear stalemate </w:t>
      </w:r>
      <w:r w:rsidRPr="003F4BC8">
        <w:rPr>
          <w:rFonts w:ascii="Times New Roman" w:eastAsia="Times New Roman" w:hAnsi="Times New Roman" w:cs="Times New Roman"/>
          <w:color w:val="222222"/>
          <w:shd w:val="clear" w:color="auto" w:fill="FFFFFF"/>
        </w:rPr>
        <w:t xml:space="preserve">seems far-fetched </w:t>
      </w:r>
      <w:r w:rsidRPr="003F4BC8">
        <w:rPr>
          <w:rFonts w:ascii="Times New Roman" w:hAnsi="Times New Roman" w:cs="Times New Roman"/>
        </w:rPr>
        <w:t>these findings imply that changes in public perceptions and awareness in the long run may result in policy change (Gupta and Jenkins-Smith 2015).</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 xml:space="preserve">As a follow up of the above discovery, as question comes up: does highly contested local SNF siting policy issue have the potential of reshaping partisan positions? Chapter 4 of this dissertations aims to answer this question in a difference-in-differences design by utilizing voting behavior and election turnout data for presidential general elections from 1970s to 2016 for 17 counties in Nevada. Overall, the empirical analyses reveal that the enactment of NWPA of 1982 is associated with 7 percentage point increase in republican vote and decrease in democratic vote at the same rate in the counties that are geographically affected by SNF disposal policy. </w:t>
      </w:r>
      <w:r>
        <w:rPr>
          <w:rFonts w:ascii="Times New Roman" w:hAnsi="Times New Roman" w:cs="Times New Roman"/>
        </w:rPr>
        <w:t xml:space="preserve">While this direction of change is opposite to my initial expectations, an and </w:t>
      </w:r>
      <w:r w:rsidRPr="003F4BC8">
        <w:rPr>
          <w:rFonts w:ascii="Times New Roman" w:hAnsi="Times New Roman" w:cs="Times New Roman"/>
        </w:rPr>
        <w:t xml:space="preserve">implication of this study is that local policy preferences and concerns in the long run have the potential to reshape local political landscape by changing public ideological dispositions and shifting their partisan preferences. This </w:t>
      </w:r>
      <w:r w:rsidRPr="003F4BC8">
        <w:rPr>
          <w:rFonts w:ascii="Times New Roman" w:hAnsi="Times New Roman" w:cs="Times New Roman"/>
        </w:rPr>
        <w:lastRenderedPageBreak/>
        <w:t xml:space="preserve">study </w:t>
      </w:r>
      <w:r>
        <w:rPr>
          <w:rFonts w:ascii="Times New Roman" w:hAnsi="Times New Roman" w:cs="Times New Roman"/>
        </w:rPr>
        <w:t xml:space="preserve">does not find a </w:t>
      </w:r>
      <w:r w:rsidRPr="003F4BC8">
        <w:rPr>
          <w:rFonts w:ascii="Times New Roman" w:hAnsi="Times New Roman" w:cs="Times New Roman"/>
        </w:rPr>
        <w:t>confirm</w:t>
      </w:r>
      <w:r>
        <w:rPr>
          <w:rFonts w:ascii="Times New Roman" w:hAnsi="Times New Roman" w:cs="Times New Roman"/>
        </w:rPr>
        <w:t xml:space="preserve">ation of the </w:t>
      </w:r>
      <w:r w:rsidRPr="003F4BC8">
        <w:rPr>
          <w:rFonts w:ascii="Times New Roman" w:hAnsi="Times New Roman" w:cs="Times New Roman"/>
        </w:rPr>
        <w:t xml:space="preserve">issue orientation hypothesis and reveals that </w:t>
      </w:r>
      <w:r>
        <w:rPr>
          <w:rFonts w:ascii="Times New Roman" w:hAnsi="Times New Roman" w:cs="Times New Roman"/>
        </w:rPr>
        <w:t xml:space="preserve">while </w:t>
      </w:r>
      <w:r w:rsidRPr="003F4BC8">
        <w:rPr>
          <w:rFonts w:ascii="Times New Roman" w:hAnsi="Times New Roman" w:cs="Times New Roman"/>
        </w:rPr>
        <w:t xml:space="preserve">nuclear policy has been a salient issue in the state of Nevada from 1980s </w:t>
      </w:r>
      <w:r>
        <w:rPr>
          <w:rFonts w:ascii="Times New Roman" w:hAnsi="Times New Roman" w:cs="Times New Roman"/>
        </w:rPr>
        <w:t>it is unclear whether preferences are formed based on partisan identification or issue orientation. While we did find change in voting behavior however we still need to discover whether these results hold if test them along with control variables</w:t>
      </w:r>
      <w:r w:rsidRPr="003F4BC8">
        <w:rPr>
          <w:rFonts w:ascii="Times New Roman" w:hAnsi="Times New Roman" w:cs="Times New Roman"/>
        </w:rPr>
        <w:t>. The second theoretical contribution of this chapter is the validation of the proposition about policies feeding back into the political environment and reformulating the distribution and shape of that environment. The evidence found in this chapter indirectly demonstrates the powerful role that voters/citizens play in the policy making process depicted in figure 2-2 in this dissertation.</w:t>
      </w:r>
    </w:p>
    <w:p w:rsidR="00B52DD2" w:rsidRPr="003F4BC8"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 xml:space="preserve">Finally, in chapter 5 of this dissertation I retract from the narrow policy issue of SNF and approach the nuclear stalemate from a broader perspective: I wonder whether public support in nuclear energy production is conditioned by their belief in climate change. In this chapter I utilize data of over 2000 respondents collected in May 2017 by the National Institute of Risk and Resilience at the University of Oklahoma in a nationwide annual Internet survey series to measure public preferences on Energy and Environmental policy. Overall, the findings of this chapter demonstrate that there is a strong link between individuals’ global warming risk perception and their energy source preference. Individuals who are more concerned with global warming do not tend to prefer energy coming from fossil fuel or nuclear sources. Instead, their preferred energy sources are renewables. This is an interesting finding in itself because many environmental groups and policy makers recently view nuclear energy as a solution to climate change (IPCC 2018). However, these sentiments are not reflected yet in general public. Belief in global warming and climate change does not impact public support for nuclear energy. This observation is also true for </w:t>
      </w:r>
      <w:r w:rsidRPr="003F4BC8">
        <w:rPr>
          <w:rFonts w:ascii="Times New Roman" w:hAnsi="Times New Roman" w:cs="Times New Roman"/>
        </w:rPr>
        <w:lastRenderedPageBreak/>
        <w:t>different subgroups of respondents varying both in their cultural archetypes, partisanship and political ideology.</w:t>
      </w:r>
    </w:p>
    <w:p w:rsidR="00B52DD2" w:rsidRDefault="00B52DD2" w:rsidP="00B52DD2">
      <w:pPr>
        <w:spacing w:line="480" w:lineRule="auto"/>
        <w:ind w:firstLine="720"/>
        <w:jc w:val="both"/>
        <w:rPr>
          <w:rFonts w:ascii="Times New Roman" w:hAnsi="Times New Roman" w:cs="Times New Roman"/>
        </w:rPr>
      </w:pPr>
      <w:r w:rsidRPr="003F4BC8">
        <w:rPr>
          <w:rFonts w:ascii="Times New Roman" w:hAnsi="Times New Roman" w:cs="Times New Roman"/>
        </w:rPr>
        <w:t>Thus, the final empirical chapter of this dissertation attests that the strength of nuclear impasse seems to be undefeatable for the American public. While the nuclear might be “the power to save the world” from the climate change (</w:t>
      </w:r>
      <w:r w:rsidRPr="003F4BC8">
        <w:rPr>
          <w:rFonts w:ascii="Times New Roman" w:eastAsia="Times New Roman" w:hAnsi="Times New Roman" w:cs="Times New Roman"/>
          <w:color w:val="222222"/>
          <w:shd w:val="clear" w:color="auto" w:fill="FFFFFF"/>
        </w:rPr>
        <w:t xml:space="preserve">Cravens 2010; </w:t>
      </w:r>
      <w:r w:rsidRPr="003F4BC8">
        <w:rPr>
          <w:rFonts w:ascii="Times New Roman" w:hAnsi="Times New Roman" w:cs="Times New Roman"/>
        </w:rPr>
        <w:t>Lynas 2013), the “nuclear imperative</w:t>
      </w:r>
      <w:r>
        <w:rPr>
          <w:rFonts w:ascii="Times New Roman" w:hAnsi="Times New Roman" w:cs="Times New Roman"/>
        </w:rPr>
        <w:t>”</w:t>
      </w:r>
      <w:r w:rsidRPr="003F4BC8">
        <w:rPr>
          <w:rFonts w:ascii="Times New Roman" w:hAnsi="Times New Roman" w:cs="Times New Roman"/>
        </w:rPr>
        <w:t xml:space="preserve"> is the stalemate of the SNF disposal in USA (Carter 2015). In this final concluding chapter of this dissertation I </w:t>
      </w:r>
      <w:r>
        <w:rPr>
          <w:rFonts w:ascii="Times New Roman" w:hAnsi="Times New Roman" w:cs="Times New Roman"/>
        </w:rPr>
        <w:t>contest</w:t>
      </w:r>
      <w:r w:rsidRPr="003F4BC8">
        <w:rPr>
          <w:rFonts w:ascii="Times New Roman" w:hAnsi="Times New Roman" w:cs="Times New Roman"/>
        </w:rPr>
        <w:t xml:space="preserve"> that the nuclear impasse in its essence is a tangle of governance</w:t>
      </w:r>
      <w:r w:rsidRPr="003F4BC8">
        <w:rPr>
          <w:rStyle w:val="FootnoteReference"/>
          <w:rFonts w:ascii="Times New Roman" w:hAnsi="Times New Roman" w:cs="Times New Roman"/>
        </w:rPr>
        <w:footnoteReference w:id="21"/>
      </w:r>
      <w:r w:rsidRPr="003F4BC8">
        <w:rPr>
          <w:rFonts w:ascii="Times New Roman" w:hAnsi="Times New Roman" w:cs="Times New Roman"/>
        </w:rPr>
        <w:t xml:space="preserve"> problems and processes. The development of SNF disposal revolves in the policy process, yet, its acceptance is conditioned by the </w:t>
      </w:r>
      <w:r>
        <w:rPr>
          <w:rFonts w:ascii="Times New Roman" w:hAnsi="Times New Roman" w:cs="Times New Roman"/>
        </w:rPr>
        <w:t xml:space="preserve">actions of the </w:t>
      </w:r>
      <w:r w:rsidRPr="003F4BC8">
        <w:rPr>
          <w:rFonts w:ascii="Times New Roman" w:hAnsi="Times New Roman" w:cs="Times New Roman"/>
        </w:rPr>
        <w:t>advocacy and non-profit groups</w:t>
      </w:r>
      <w:r>
        <w:rPr>
          <w:rFonts w:ascii="Times New Roman" w:hAnsi="Times New Roman" w:cs="Times New Roman"/>
        </w:rPr>
        <w:t>, and by the management practices of public and private officials</w:t>
      </w:r>
      <w:r w:rsidRPr="003F4BC8">
        <w:rPr>
          <w:rFonts w:ascii="Times New Roman" w:hAnsi="Times New Roman" w:cs="Times New Roman"/>
        </w:rPr>
        <w:t xml:space="preserve"> (Lynas 2013; Shaw 2011; Mulligan 2011). </w:t>
      </w:r>
      <w:r>
        <w:rPr>
          <w:rFonts w:ascii="Times New Roman" w:hAnsi="Times New Roman" w:cs="Times New Roman"/>
        </w:rPr>
        <w:t>A</w:t>
      </w:r>
      <w:r w:rsidRPr="003F4BC8">
        <w:rPr>
          <w:rFonts w:ascii="Times New Roman" w:hAnsi="Times New Roman" w:cs="Times New Roman"/>
        </w:rPr>
        <w:t>ny policy</w:t>
      </w:r>
      <w:r>
        <w:rPr>
          <w:rFonts w:ascii="Times New Roman" w:hAnsi="Times New Roman" w:cs="Times New Roman"/>
        </w:rPr>
        <w:t xml:space="preserve">, while </w:t>
      </w:r>
      <w:r w:rsidRPr="003F4BC8">
        <w:rPr>
          <w:rFonts w:ascii="Times New Roman" w:hAnsi="Times New Roman" w:cs="Times New Roman"/>
        </w:rPr>
        <w:t>developed through the policy process</w:t>
      </w:r>
      <w:r>
        <w:rPr>
          <w:rFonts w:ascii="Times New Roman" w:hAnsi="Times New Roman" w:cs="Times New Roman"/>
        </w:rPr>
        <w:t>,</w:t>
      </w:r>
      <w:r w:rsidRPr="003F4BC8">
        <w:rPr>
          <w:rFonts w:ascii="Times New Roman" w:hAnsi="Times New Roman" w:cs="Times New Roman"/>
        </w:rPr>
        <w:t xml:space="preserve"> relies on public management for its implementation (Weible and Carter 2017). </w:t>
      </w:r>
      <w:r>
        <w:rPr>
          <w:rFonts w:ascii="Times New Roman" w:hAnsi="Times New Roman" w:cs="Times New Roman"/>
        </w:rPr>
        <w:t xml:space="preserve">In addition, it is necessary to acknowledge the impact the actions and interests of various stakeholders make in the nuclear policy subsystem. </w:t>
      </w:r>
      <w:r w:rsidRPr="003F4BC8">
        <w:rPr>
          <w:rFonts w:ascii="Times New Roman" w:hAnsi="Times New Roman" w:cs="Times New Roman"/>
        </w:rPr>
        <w:t xml:space="preserve">All these considerations </w:t>
      </w:r>
      <w:r>
        <w:rPr>
          <w:rFonts w:ascii="Times New Roman" w:hAnsi="Times New Roman" w:cs="Times New Roman"/>
        </w:rPr>
        <w:t xml:space="preserve">and </w:t>
      </w:r>
      <w:r w:rsidRPr="003F4BC8">
        <w:rPr>
          <w:rFonts w:ascii="Times New Roman" w:hAnsi="Times New Roman" w:cs="Times New Roman"/>
        </w:rPr>
        <w:t xml:space="preserve">omitted factors </w:t>
      </w:r>
      <w:r>
        <w:rPr>
          <w:rFonts w:ascii="Times New Roman" w:hAnsi="Times New Roman" w:cs="Times New Roman"/>
        </w:rPr>
        <w:t xml:space="preserve">will be taken into account in the follow up studies in my future research. </w:t>
      </w:r>
      <w:r w:rsidRPr="000D15CC">
        <w:rPr>
          <w:rFonts w:ascii="Times New Roman" w:hAnsi="Times New Roman" w:cs="Times New Roman"/>
        </w:rPr>
        <w:t xml:space="preserve">The role of </w:t>
      </w:r>
      <w:r>
        <w:rPr>
          <w:rFonts w:ascii="Times New Roman" w:hAnsi="Times New Roman" w:cs="Times New Roman"/>
        </w:rPr>
        <w:t xml:space="preserve">public opinion </w:t>
      </w:r>
      <w:r w:rsidRPr="000D15CC">
        <w:rPr>
          <w:rFonts w:ascii="Times New Roman" w:hAnsi="Times New Roman" w:cs="Times New Roman"/>
        </w:rPr>
        <w:t xml:space="preserve">in the </w:t>
      </w:r>
      <w:r>
        <w:rPr>
          <w:rFonts w:ascii="Times New Roman" w:hAnsi="Times New Roman" w:cs="Times New Roman"/>
        </w:rPr>
        <w:t xml:space="preserve">nuclear </w:t>
      </w:r>
      <w:r w:rsidRPr="000D15CC">
        <w:rPr>
          <w:rFonts w:ascii="Times New Roman" w:hAnsi="Times New Roman" w:cs="Times New Roman"/>
        </w:rPr>
        <w:t xml:space="preserve">policy process and its potential impact on policy change </w:t>
      </w:r>
      <w:r>
        <w:rPr>
          <w:rFonts w:ascii="Times New Roman" w:hAnsi="Times New Roman" w:cs="Times New Roman"/>
        </w:rPr>
        <w:t xml:space="preserve">is one modest contribution in </w:t>
      </w:r>
      <w:r w:rsidRPr="003F4BC8">
        <w:rPr>
          <w:rFonts w:ascii="Times New Roman" w:hAnsi="Times New Roman" w:cs="Times New Roman"/>
        </w:rPr>
        <w:t xml:space="preserve">understanding the governance of SNF disposal policy </w:t>
      </w:r>
      <w:r>
        <w:rPr>
          <w:rFonts w:ascii="Times New Roman" w:hAnsi="Times New Roman" w:cs="Times New Roman"/>
        </w:rPr>
        <w:t>and its potential impact on public management.</w:t>
      </w:r>
    </w:p>
    <w:p w:rsidR="00B52DD2" w:rsidRPr="00BC3E2C" w:rsidRDefault="00B52DD2" w:rsidP="00B52DD2">
      <w:pPr>
        <w:rPr>
          <w:rFonts w:ascii="Times New Roman" w:hAnsi="Times New Roman" w:cs="Times New Roman"/>
        </w:rPr>
      </w:pPr>
      <w:r w:rsidRPr="003F4BC8">
        <w:rPr>
          <w:rFonts w:ascii="Times New Roman" w:hAnsi="Times New Roman" w:cs="Times New Roman"/>
        </w:rPr>
        <w:br w:type="page"/>
      </w:r>
      <w:r w:rsidRPr="003F4BC8">
        <w:rPr>
          <w:rFonts w:ascii="Times New Roman" w:hAnsi="Times New Roman" w:cs="Times New Roman"/>
          <w:b/>
          <w:bCs/>
          <w:sz w:val="28"/>
          <w:szCs w:val="28"/>
        </w:rPr>
        <w:lastRenderedPageBreak/>
        <w:t>References</w:t>
      </w:r>
    </w:p>
    <w:p w:rsidR="00B52DD2" w:rsidRPr="00D021AD" w:rsidRDefault="00B52DD2" w:rsidP="00B52DD2">
      <w:pPr>
        <w:outlineLvl w:val="0"/>
        <w:rPr>
          <w:rFonts w:ascii="Times New Roman" w:hAnsi="Times New Roman" w:cs="Times New Roman"/>
        </w:rPr>
      </w:pP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 xml:space="preserve">Abraham, S., &amp; Sun, L. (2018). </w:t>
      </w:r>
      <w:r w:rsidRPr="00652743">
        <w:rPr>
          <w:rFonts w:ascii="Times New Roman" w:hAnsi="Times New Roman" w:cs="Times New Roman"/>
          <w:i/>
          <w:iCs/>
          <w:color w:val="222222"/>
          <w:shd w:val="clear" w:color="auto" w:fill="FFFFFF"/>
        </w:rPr>
        <w:t>Estimating dynamic treatment effects in event studies with heterogeneous treatment effects.</w:t>
      </w:r>
      <w:r w:rsidRPr="00652743">
        <w:rPr>
          <w:rFonts w:ascii="Times New Roman" w:hAnsi="Times New Roman" w:cs="Times New Roman"/>
          <w:color w:val="222222"/>
          <w:shd w:val="clear" w:color="auto" w:fill="FFFFFF"/>
        </w:rPr>
        <w:t> Available at SSRN 3158747.</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Abramowitz, A. I., &amp; Saunders, K. L. (2008). Is polarization a myth? The Journal of Politics, 70(2), 542-555.</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Aiken, L. S., &amp; West, S. G. (1991). Multiple regression: Testing and interpreting interactions. Newbury Park, London, Sage.</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Aldrich, J. H. (1995). Why parties?: The origin and transformation of political parties in America. University of Chicago Press.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Allport, F. H. (1937). Toward a science of public opinion. Public opinion quarterly, 1(1), 7-23.</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Almond, G. A., &amp; Verba, S. (2015). The civic culture: Political attitudes and democracy in five nations. Princeton University Press.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 xml:space="preserve">Angrist, J. D., &amp; Pischke, J. S.(2009). </w:t>
      </w:r>
      <w:r w:rsidRPr="00652743">
        <w:rPr>
          <w:rFonts w:ascii="Times New Roman" w:hAnsi="Times New Roman" w:cs="Times New Roman"/>
          <w:i/>
          <w:iCs/>
        </w:rPr>
        <w:t>Mostly Harmless Econometrics: An Empiricist’s Companion.</w:t>
      </w:r>
      <w:r w:rsidRPr="00652743">
        <w:rPr>
          <w:rFonts w:ascii="Times New Roman" w:hAnsi="Times New Roman" w:cs="Times New Roman"/>
        </w:rPr>
        <w:t xml:space="preserve"> Princeton University Press. Princeton, NJ.</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Ansolabehere, S., Rodden, J., &amp; Snyder, J. M. (2008). The strength of issues: Using multiple measures to gauge preference stability, ideological constraint, and issue voting. </w:t>
      </w:r>
      <w:r w:rsidRPr="00652743">
        <w:rPr>
          <w:rFonts w:ascii="Times New Roman" w:hAnsi="Times New Roman" w:cs="Times New Roman"/>
          <w:i/>
          <w:iCs/>
        </w:rPr>
        <w:t>American Political Science Review</w:t>
      </w:r>
      <w:r w:rsidRPr="00652743">
        <w:rPr>
          <w:rFonts w:ascii="Times New Roman" w:hAnsi="Times New Roman" w:cs="Times New Roman"/>
        </w:rPr>
        <w:t>, 102(2), 215-232.</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Armour, A. M. (1991). “The siting of locally unwanted land uses: Towards a cooperative approach.” Progress in Planning, 35, 1-74.</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Back, L. (2013). “8 Nuclear Power after 3/11.” </w:t>
      </w:r>
      <w:r w:rsidRPr="00652743">
        <w:rPr>
          <w:rFonts w:ascii="Times New Roman" w:hAnsi="Times New Roman" w:cs="Times New Roman"/>
          <w:i/>
        </w:rPr>
        <w:t>Nuclear Disaster at Fukushima Daiichi: Social, Political and Environmental Issues</w:t>
      </w:r>
      <w:r w:rsidRPr="00652743">
        <w:rPr>
          <w:rFonts w:ascii="Times New Roman" w:hAnsi="Times New Roman" w:cs="Times New Roman"/>
        </w:rPr>
        <w:t>, 21, 135.</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Baldassarri, D., &amp; Gelman, A. (2008). Partisans without constraint: Political polarization and trends in American public opinion. American Journal of Sociology, 114(2), 408-446.</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lastRenderedPageBreak/>
        <w:t>Balogun, S. K., &amp; Olapegb, P. O. (2007). Majority Carry the Vote: Psycho-Demographic Influence on Voting Behaviour. </w:t>
      </w:r>
      <w:r w:rsidRPr="00652743">
        <w:rPr>
          <w:rFonts w:ascii="Times New Roman" w:hAnsi="Times New Roman" w:cs="Times New Roman"/>
          <w:i/>
          <w:iCs/>
        </w:rPr>
        <w:t>Studies of Tribes and Tribals</w:t>
      </w:r>
      <w:r w:rsidRPr="00652743">
        <w:rPr>
          <w:rFonts w:ascii="Times New Roman" w:hAnsi="Times New Roman" w:cs="Times New Roman"/>
        </w:rPr>
        <w:t>, 5(1), 5-7.</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Barber, Benjamin R. 1984. Strong Democracy: Participatory Politics for a New Age. Berkeley, CA: University of California Press.</w:t>
      </w:r>
    </w:p>
    <w:p w:rsidR="00B52DD2" w:rsidRPr="00652743" w:rsidRDefault="00B52DD2" w:rsidP="00B52DD2">
      <w:pPr>
        <w:pStyle w:val="p2"/>
        <w:spacing w:line="480" w:lineRule="auto"/>
        <w:ind w:left="720" w:hanging="720"/>
        <w:jc w:val="both"/>
        <w:rPr>
          <w:sz w:val="24"/>
          <w:szCs w:val="24"/>
        </w:rPr>
      </w:pPr>
      <w:r w:rsidRPr="00652743">
        <w:rPr>
          <w:sz w:val="24"/>
          <w:szCs w:val="24"/>
        </w:rPr>
        <w:t>Bassett Jr, G. W., Jenkins‐Smith, H. C., &amp; Silva, C. (1996). On‐site storage of high level nuclear waste: Attitudes and perceptions of local residents. </w:t>
      </w:r>
      <w:r w:rsidRPr="00652743">
        <w:rPr>
          <w:i/>
          <w:iCs/>
          <w:sz w:val="24"/>
          <w:szCs w:val="24"/>
        </w:rPr>
        <w:t>Risk Analysis</w:t>
      </w:r>
      <w:r w:rsidRPr="00652743">
        <w:rPr>
          <w:sz w:val="24"/>
          <w:szCs w:val="24"/>
        </w:rPr>
        <w:t>, 16(3), 309-319.</w:t>
      </w:r>
    </w:p>
    <w:p w:rsidR="00B52DD2" w:rsidRPr="00652743" w:rsidRDefault="00B52DD2" w:rsidP="00B52DD2">
      <w:pPr>
        <w:pStyle w:val="p2"/>
        <w:spacing w:line="480" w:lineRule="auto"/>
        <w:ind w:left="720" w:hanging="720"/>
        <w:jc w:val="both"/>
        <w:rPr>
          <w:sz w:val="24"/>
          <w:szCs w:val="24"/>
        </w:rPr>
      </w:pPr>
      <w:r w:rsidRPr="00652743">
        <w:rPr>
          <w:sz w:val="24"/>
          <w:szCs w:val="24"/>
        </w:rPr>
        <w:t>Baumgartner, F.R. and Jones, B.D. (1993/2010). </w:t>
      </w:r>
      <w:r w:rsidRPr="00652743">
        <w:rPr>
          <w:rFonts w:eastAsiaTheme="minorHAnsi"/>
          <w:i/>
          <w:sz w:val="24"/>
          <w:szCs w:val="24"/>
        </w:rPr>
        <w:t>Agendas and instability in American politics</w:t>
      </w:r>
      <w:r w:rsidRPr="00652743">
        <w:rPr>
          <w:sz w:val="24"/>
          <w:szCs w:val="24"/>
        </w:rPr>
        <w:t>. University of Chicago Press.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 xml:space="preserve">Béland, D., 2010.  Reconsidering policy feedback: How policies affect politics. </w:t>
      </w:r>
      <w:r w:rsidRPr="00652743">
        <w:rPr>
          <w:rFonts w:ascii="Times New Roman" w:hAnsi="Times New Roman" w:cs="Times New Roman"/>
          <w:i/>
          <w:iCs/>
        </w:rPr>
        <w:t>Administration &amp; Society,</w:t>
      </w:r>
      <w:r w:rsidRPr="00652743">
        <w:rPr>
          <w:rFonts w:ascii="Times New Roman" w:hAnsi="Times New Roman" w:cs="Times New Roman"/>
        </w:rPr>
        <w:t xml:space="preserve"> 42(5), pp.568-590.</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Benford, R. D., Moore, H. A., &amp; Williams, J. A. (1993). “In whose backyard?: Concern about siting a nuclear waste facility.” Sociological Inquiry, 63(1), 30-48.</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 xml:space="preserve">Berelson, B. R., Lazarsfeld, P. F., &amp; Mc Phee, W. N. (1954). </w:t>
      </w:r>
      <w:r w:rsidRPr="00652743">
        <w:rPr>
          <w:rFonts w:ascii="Times New Roman" w:hAnsi="Times New Roman" w:cs="Times New Roman"/>
          <w:i/>
          <w:iCs/>
        </w:rPr>
        <w:t>Voting</w:t>
      </w:r>
      <w:r w:rsidRPr="00652743">
        <w:rPr>
          <w:rFonts w:ascii="Times New Roman" w:hAnsi="Times New Roman" w:cs="Times New Roman"/>
        </w:rPr>
        <w:t>. Chicago University Press.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Bickerstaff, K., Lorenzoni, I., Pidgeon, N. F., Poortinga, W., &amp; Simmons, P. (2008). “Reframing nuclear power in the UK energy debate: nuclear power, climate change mitigation and radioactive waste.” </w:t>
      </w:r>
      <w:r w:rsidRPr="00652743">
        <w:rPr>
          <w:rFonts w:ascii="Times New Roman" w:hAnsi="Times New Roman" w:cs="Times New Roman"/>
          <w:i/>
        </w:rPr>
        <w:t>Public understanding of science. </w:t>
      </w:r>
      <w:r w:rsidRPr="00652743">
        <w:rPr>
          <w:rFonts w:ascii="Times New Roman" w:hAnsi="Times New Roman" w:cs="Times New Roman"/>
        </w:rPr>
        <w:t>17(2), 145-169.</w:t>
      </w:r>
    </w:p>
    <w:p w:rsidR="00B52DD2" w:rsidRPr="00652743" w:rsidRDefault="00B52DD2" w:rsidP="00B52DD2">
      <w:pPr>
        <w:pStyle w:val="p2"/>
        <w:spacing w:line="480" w:lineRule="auto"/>
        <w:ind w:left="720" w:hanging="720"/>
        <w:jc w:val="both"/>
        <w:rPr>
          <w:sz w:val="24"/>
          <w:szCs w:val="24"/>
        </w:rPr>
      </w:pPr>
      <w:r w:rsidRPr="00652743">
        <w:rPr>
          <w:sz w:val="24"/>
          <w:szCs w:val="24"/>
        </w:rPr>
        <w:t xml:space="preserve">Box, G. E., Jenkins, G. M., &amp; Reinsel, G. C. (1994). </w:t>
      </w:r>
      <w:r w:rsidRPr="00652743">
        <w:rPr>
          <w:i/>
          <w:iCs/>
          <w:sz w:val="24"/>
          <w:szCs w:val="24"/>
        </w:rPr>
        <w:t>Time series analysis: Forecasting and control.</w:t>
      </w:r>
      <w:r w:rsidRPr="00652743">
        <w:rPr>
          <w:sz w:val="24"/>
          <w:szCs w:val="24"/>
        </w:rPr>
        <w:t xml:space="preserve"> 3rd Prentice Hall. Englewood Cliffs NJ.</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Broockman, D. E., &amp; Butler, D. M. (2017). The Causal Effects of Elite Position‐Taking on Voter Attitudes: Field Experiments with Elite Communication. </w:t>
      </w:r>
      <w:r w:rsidRPr="00652743">
        <w:rPr>
          <w:rFonts w:ascii="Times New Roman" w:hAnsi="Times New Roman" w:cs="Times New Roman"/>
          <w:i/>
          <w:iCs/>
        </w:rPr>
        <w:t>American Journal of Political Science</w:t>
      </w:r>
      <w:r w:rsidRPr="00652743">
        <w:rPr>
          <w:rFonts w:ascii="Times New Roman" w:hAnsi="Times New Roman" w:cs="Times New Roman"/>
        </w:rPr>
        <w:t>, 61(1), 208-221.</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lastRenderedPageBreak/>
        <w:t xml:space="preserve">Bruch, S.K., Ferree, M.M. and Soss, J. (2010). From policy to polity: Democracy, paternalism, and the incorporation of disadvantaged citizens. </w:t>
      </w:r>
      <w:r w:rsidRPr="00652743">
        <w:rPr>
          <w:rFonts w:ascii="Times New Roman" w:hAnsi="Times New Roman" w:cs="Times New Roman"/>
          <w:i/>
          <w:iCs/>
        </w:rPr>
        <w:t>American Sociological Review</w:t>
      </w:r>
      <w:r w:rsidRPr="00652743">
        <w:rPr>
          <w:rFonts w:ascii="Times New Roman" w:hAnsi="Times New Roman" w:cs="Times New Roman"/>
        </w:rPr>
        <w:t>, 75(2), pp.205-226.</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Buchanan, J. M., &amp; Tullock, G. (1962). The calculus of consent (Vol. 3). Ann Arbor: University of Michigan Press.</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 xml:space="preserve">Butler, C., Parkhill, K. A., &amp; Pidgeon, N. F. (2011). Nuclear power after Japan: The social dimensions. Environment: </w:t>
      </w:r>
      <w:r w:rsidRPr="00652743">
        <w:rPr>
          <w:rFonts w:ascii="Times New Roman" w:hAnsi="Times New Roman" w:cs="Times New Roman"/>
          <w:i/>
          <w:iCs/>
          <w:color w:val="222222"/>
          <w:shd w:val="clear" w:color="auto" w:fill="FFFFFF"/>
        </w:rPr>
        <w:t>Science and Policy for Sustainable Development</w:t>
      </w:r>
      <w:r w:rsidRPr="00652743">
        <w:rPr>
          <w:rFonts w:ascii="Times New Roman" w:hAnsi="Times New Roman" w:cs="Times New Roman"/>
          <w:color w:val="222222"/>
          <w:shd w:val="clear" w:color="auto" w:fill="FFFFFF"/>
        </w:rPr>
        <w:t>, 53(6), 3-14.</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Buttel, Frederick H. and William L. Flinn. 1976. “Environmental Politics: the Structuring of Partisan and Ideological Cleavages in Mass Environmental Attitudes.” The Sociological Quarterly. 17: 477-490.</w:t>
      </w:r>
    </w:p>
    <w:p w:rsidR="00B52DD2" w:rsidRPr="00652743" w:rsidRDefault="00B52DD2" w:rsidP="00B52DD2">
      <w:pPr>
        <w:spacing w:line="480" w:lineRule="auto"/>
        <w:ind w:left="720" w:hanging="720"/>
        <w:jc w:val="both"/>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Cairney, P. (2012). </w:t>
      </w:r>
      <w:r w:rsidRPr="00652743">
        <w:rPr>
          <w:rFonts w:ascii="Times New Roman" w:hAnsi="Times New Roman" w:cs="Times New Roman"/>
          <w:i/>
        </w:rPr>
        <w:t>Understanding public policy: Theories and issues</w:t>
      </w:r>
      <w:r w:rsidRPr="00652743">
        <w:rPr>
          <w:rFonts w:ascii="Times New Roman" w:hAnsi="Times New Roman" w:cs="Times New Roman"/>
          <w:color w:val="222222"/>
          <w:shd w:val="clear" w:color="auto" w:fill="FFFFFF"/>
        </w:rPr>
        <w:t>. Palgrave Macmillan.</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Campbell, A., Converse, PE, Miller, WE, &amp; Stokes, DE (1960). The American voter. New York. Wiley</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Campbell, A., &amp; Kahn, R. L. (1952).</w:t>
      </w:r>
      <w:r w:rsidRPr="00652743">
        <w:rPr>
          <w:rFonts w:ascii="Times New Roman" w:hAnsi="Times New Roman" w:cs="Times New Roman"/>
          <w:i/>
          <w:iCs/>
        </w:rPr>
        <w:t xml:space="preserve"> The people elect a president: A study of the presidential vote. </w:t>
      </w:r>
      <w:r w:rsidRPr="00652743">
        <w:rPr>
          <w:rFonts w:ascii="Times New Roman" w:hAnsi="Times New Roman" w:cs="Times New Roman"/>
        </w:rPr>
        <w:t>Ann Arbor: University of Michigan Survey Research Center.</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Carter</w:t>
      </w:r>
      <w:r w:rsidRPr="00652743">
        <w:rPr>
          <w:rFonts w:ascii="Times New Roman" w:hAnsi="Times New Roman" w:cs="Times New Roman"/>
          <w:color w:val="222222"/>
          <w:shd w:val="clear" w:color="auto" w:fill="FFFFFF"/>
        </w:rPr>
        <w:t>, L. J. (2015). Nuclear imperatives and public trust: Dealing with radioactive waste. Routledge.</w:t>
      </w:r>
    </w:p>
    <w:p w:rsidR="00B52DD2" w:rsidRPr="00652743" w:rsidRDefault="00B52DD2" w:rsidP="00B52DD2">
      <w:pPr>
        <w:pStyle w:val="p2"/>
        <w:spacing w:line="480" w:lineRule="auto"/>
        <w:ind w:left="720" w:hanging="720"/>
        <w:jc w:val="both"/>
        <w:rPr>
          <w:sz w:val="24"/>
          <w:szCs w:val="24"/>
        </w:rPr>
      </w:pPr>
      <w:r w:rsidRPr="00652743">
        <w:rPr>
          <w:sz w:val="24"/>
          <w:szCs w:val="24"/>
        </w:rPr>
        <w:t>Chatfield, C. (2013). The analysis of time series: theory and practice. Springer.</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 xml:space="preserve">Clemmer, Steve; Richardson, Jeremy; Sattler, Sandra and Dave Lochbaum (2018). </w:t>
      </w:r>
      <w:r w:rsidRPr="00652743">
        <w:rPr>
          <w:rFonts w:ascii="Times New Roman" w:hAnsi="Times New Roman" w:cs="Times New Roman"/>
          <w:i/>
        </w:rPr>
        <w:t xml:space="preserve">The Nuclear Power Dilemma: Declining Profits, Plant Closures, and the Threat of Rising Carbon Emissions. </w:t>
      </w:r>
      <w:r w:rsidRPr="00652743">
        <w:rPr>
          <w:rFonts w:ascii="Times New Roman" w:hAnsi="Times New Roman" w:cs="Times New Roman"/>
        </w:rPr>
        <w:t>Union of Concerned Scientists.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Clemmit, M, (2011). “Nuclear Power: Can Nuclear Energy Answer Global Power Needs?” CQ Researcher 21, no. (2) 507.</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lastRenderedPageBreak/>
        <w:t xml:space="preserve">Conca, J. “Nuclear Energy Gets an Early Christmas Present in Georgia.” Retrieved at: https://www.forbes.com/sites/jamesconca/2017/12/22/nuclear-energy-gets-an-early-christmas-present-in-georgia/#4afb95d93cf0 </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color w:val="222222"/>
          <w:shd w:val="clear" w:color="auto" w:fill="FFFFFF"/>
        </w:rPr>
        <w:t>Converse, P. E. (1964). The nature of belief systems in mass publics. Critical review, 18(1-3), 1-74.</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Conover, Pamela Johnston, and Stanley Feldman. (1981). “The Origins and Meaning of Liberal/Conservative Self-identifications.” American Journal of Political Science 25: 617–45.</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Conover, P. J., &amp; Feldman, S. (1984a). How people organize the political world: A schematic model. </w:t>
      </w:r>
      <w:r w:rsidRPr="00652743">
        <w:rPr>
          <w:rFonts w:ascii="Times New Roman" w:hAnsi="Times New Roman" w:cs="Times New Roman"/>
          <w:i/>
        </w:rPr>
        <w:t>American Journal of Political Science</w:t>
      </w:r>
      <w:r w:rsidRPr="00652743">
        <w:rPr>
          <w:rFonts w:ascii="Times New Roman" w:hAnsi="Times New Roman" w:cs="Times New Roman"/>
        </w:rPr>
        <w:t>, 95-126.</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Conover, P. J., &amp; Feldman, S. (1984b). Group Identification, Values, and the Nature of Political Beliefs. </w:t>
      </w:r>
      <w:r w:rsidRPr="00652743">
        <w:rPr>
          <w:rFonts w:ascii="Times New Roman" w:hAnsi="Times New Roman" w:cs="Times New Roman"/>
          <w:i/>
        </w:rPr>
        <w:t>American Politics Quarterly</w:t>
      </w:r>
      <w:r w:rsidRPr="00652743">
        <w:rPr>
          <w:rFonts w:ascii="Times New Roman" w:hAnsi="Times New Roman" w:cs="Times New Roman"/>
        </w:rPr>
        <w:t>, 12(2), 151–175. </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Cotton, M. (2015). “Structure, agency and post-Fukushima nuclear policy: an alliance-context-actionality model of political change.” </w:t>
      </w:r>
      <w:r w:rsidRPr="00652743">
        <w:rPr>
          <w:rFonts w:ascii="Times New Roman" w:hAnsi="Times New Roman" w:cs="Times New Roman"/>
          <w:i/>
        </w:rPr>
        <w:t>Journal of Risk Research</w:t>
      </w:r>
      <w:r w:rsidRPr="00652743">
        <w:rPr>
          <w:rFonts w:ascii="Times New Roman" w:hAnsi="Times New Roman" w:cs="Times New Roman"/>
        </w:rPr>
        <w:t>, 18(3), 317-332.</w:t>
      </w:r>
    </w:p>
    <w:p w:rsidR="00B52DD2" w:rsidRPr="00652743" w:rsidRDefault="00B52DD2" w:rsidP="00B52DD2">
      <w:pPr>
        <w:spacing w:line="480" w:lineRule="auto"/>
        <w:rPr>
          <w:rFonts w:ascii="Times New Roman" w:hAnsi="Times New Roman" w:cs="Times New Roman"/>
        </w:rPr>
      </w:pPr>
      <w:r w:rsidRPr="00652743">
        <w:rPr>
          <w:rFonts w:ascii="Times New Roman" w:hAnsi="Times New Roman" w:cs="Times New Roman"/>
          <w:color w:val="222222"/>
          <w:shd w:val="clear" w:color="auto" w:fill="FFFFFF"/>
        </w:rPr>
        <w:t>Cravens, G. (2010). Power to save the world: The truth about nuclear energy. Vintage.</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Dahl, R. A. (2005). Who governs?: Democracy and power in an American city. Yale University Press.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Darst, R., &amp; Dawson, J. I. (2010). “Waiting for the nuclear renaissance: exploring the nexus of expansion and disposal in Europe.” </w:t>
      </w:r>
      <w:r w:rsidRPr="00652743">
        <w:rPr>
          <w:rFonts w:ascii="Times New Roman" w:hAnsi="Times New Roman" w:cs="Times New Roman"/>
          <w:i/>
        </w:rPr>
        <w:t>Risk, Hazards &amp; Crisis in Public Policy. </w:t>
      </w:r>
      <w:r w:rsidRPr="00652743">
        <w:rPr>
          <w:rFonts w:ascii="Times New Roman" w:hAnsi="Times New Roman" w:cs="Times New Roman"/>
        </w:rPr>
        <w:t>1(4), 49-82.</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Davy, B. (2016). Land policy: Planning and the spatial consequences of property. Routledge.</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Dawson, J. F. (2014). “Moderation in Management Research: What, Why, When and How.” Journal of Business and Psychology, 29, 1-19. </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lastRenderedPageBreak/>
        <w:t>Dawson, J. F., &amp; Richter, A. W. (2006). “Probing three-way interactions in moderated multiple regression: Development and application of a slope difference test.” Journal of Applied Psychology, 91, 917-926.</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De Groot, J. I., Steg, L., &amp; Poortinga, W. (2013). Values, perceived risks and benefits, and acceptability of nuclear energy. </w:t>
      </w:r>
      <w:r w:rsidRPr="00652743">
        <w:rPr>
          <w:rFonts w:ascii="Times New Roman" w:hAnsi="Times New Roman" w:cs="Times New Roman"/>
          <w:i/>
          <w:iCs/>
          <w:color w:val="222222"/>
          <w:shd w:val="clear" w:color="auto" w:fill="FFFFFF"/>
        </w:rPr>
        <w:t>Risk Analysis: An International Journal</w:t>
      </w:r>
      <w:r w:rsidRPr="00652743">
        <w:rPr>
          <w:rFonts w:ascii="Times New Roman" w:hAnsi="Times New Roman" w:cs="Times New Roman"/>
          <w:color w:val="222222"/>
          <w:shd w:val="clear" w:color="auto" w:fill="FFFFFF"/>
        </w:rPr>
        <w:t>, </w:t>
      </w:r>
      <w:r w:rsidRPr="00652743">
        <w:rPr>
          <w:rFonts w:ascii="Times New Roman" w:hAnsi="Times New Roman" w:cs="Times New Roman"/>
          <w:i/>
          <w:iCs/>
          <w:color w:val="222222"/>
          <w:shd w:val="clear" w:color="auto" w:fill="FFFFFF"/>
        </w:rPr>
        <w:t>33</w:t>
      </w:r>
      <w:r w:rsidRPr="00652743">
        <w:rPr>
          <w:rFonts w:ascii="Times New Roman" w:hAnsi="Times New Roman" w:cs="Times New Roman"/>
          <w:color w:val="222222"/>
          <w:shd w:val="clear" w:color="auto" w:fill="FFFFFF"/>
        </w:rPr>
        <w:t>(2), 307-317.</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De Groot, J. I., &amp; Steg, L. (2010). Morality and nuclear energy: Perceptions of risks and benefits, personal norms, and willingness to take action related to nuclear energy. </w:t>
      </w:r>
      <w:r w:rsidRPr="00652743">
        <w:rPr>
          <w:rFonts w:ascii="Times New Roman" w:hAnsi="Times New Roman" w:cs="Times New Roman"/>
          <w:i/>
          <w:iCs/>
          <w:color w:val="222222"/>
          <w:shd w:val="clear" w:color="auto" w:fill="FFFFFF"/>
        </w:rPr>
        <w:t>Risk Analysis: An International Journal</w:t>
      </w:r>
      <w:r w:rsidRPr="00652743">
        <w:rPr>
          <w:rFonts w:ascii="Times New Roman" w:hAnsi="Times New Roman" w:cs="Times New Roman"/>
          <w:color w:val="222222"/>
          <w:shd w:val="clear" w:color="auto" w:fill="FFFFFF"/>
        </w:rPr>
        <w:t>, </w:t>
      </w:r>
      <w:r w:rsidRPr="00652743">
        <w:rPr>
          <w:rFonts w:ascii="Times New Roman" w:hAnsi="Times New Roman" w:cs="Times New Roman"/>
          <w:i/>
          <w:iCs/>
          <w:color w:val="222222"/>
          <w:shd w:val="clear" w:color="auto" w:fill="FFFFFF"/>
        </w:rPr>
        <w:t>30</w:t>
      </w:r>
      <w:r w:rsidRPr="00652743">
        <w:rPr>
          <w:rFonts w:ascii="Times New Roman" w:hAnsi="Times New Roman" w:cs="Times New Roman"/>
          <w:color w:val="222222"/>
          <w:shd w:val="clear" w:color="auto" w:fill="FFFFFF"/>
        </w:rPr>
        <w:t>(9), 1363-1373.</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Deutsch, K. W. (1966). The Nerves of Government: models of political communication and control; with a new introduction (Vol. 90729). Free Press of Glencoe.</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DiMaggio, Paul, John Evans, and Bethany Bryson. (1996). “Have Americans’ Social Attitudes Become More Polarized?” American Journal of Sociology 102:690–755.</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Douglas, M., &amp; Wildavsky, A. (1982). Risk and culture: An essay on the selection of technical and environmental dangers. Berkeley. Cal.: University of California Press.</w:t>
      </w:r>
    </w:p>
    <w:p w:rsidR="00B52DD2" w:rsidRPr="00652743" w:rsidRDefault="00B52DD2" w:rsidP="00B52DD2">
      <w:pPr>
        <w:spacing w:line="480" w:lineRule="auto"/>
        <w:rPr>
          <w:rFonts w:ascii="Times New Roman" w:hAnsi="Times New Roman" w:cs="Times New Roman"/>
        </w:rPr>
      </w:pPr>
      <w:r w:rsidRPr="00652743">
        <w:rPr>
          <w:rFonts w:ascii="Times New Roman" w:hAnsi="Times New Roman" w:cs="Times New Roman"/>
          <w:color w:val="222222"/>
          <w:shd w:val="clear" w:color="auto" w:fill="FFFFFF"/>
        </w:rPr>
        <w:t>Downs, A. (1957). An economic theory of democracy.</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Drew, Christina H., Deirdre A. Grace, Susan M. Silbernagel, Erin S. Hemmings, Alan Smith, William C. Griffith, Timothy K. Takaro, and Elaine M. Faustman. (2003). “Nuclear Waste Transportation: Case Studies of Identifying Stakeholder Risk Information Needs.” Environmental Health Perspectives. 111(3): 263-272.</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Dryzek, John S., David Downes, Christian Hunold, David Scholsberg, and Hans-Kristian Hernes. (2003). Green States and Social Movements: Environmentalism in the United States, United Kingdom, Germany, and Norway. Oxford: Oxford University Press.</w:t>
      </w:r>
    </w:p>
    <w:p w:rsidR="00B52DD2" w:rsidRPr="00652743" w:rsidRDefault="00B52DD2" w:rsidP="00B52DD2">
      <w:pPr>
        <w:spacing w:line="480" w:lineRule="auto"/>
        <w:ind w:left="720" w:hanging="720"/>
        <w:rPr>
          <w:rFonts w:ascii="Times New Roman" w:hAnsi="Times New Roman" w:cs="Times New Roman"/>
          <w:color w:val="006600"/>
        </w:rPr>
      </w:pPr>
      <w:r w:rsidRPr="00652743">
        <w:rPr>
          <w:rFonts w:ascii="Times New Roman" w:hAnsi="Times New Roman" w:cs="Times New Roman"/>
        </w:rPr>
        <w:lastRenderedPageBreak/>
        <w:t>Earle, T. C., &amp; Cvetkovich, G. (1995). </w:t>
      </w:r>
      <w:r w:rsidRPr="00652743">
        <w:rPr>
          <w:rFonts w:ascii="Times New Roman" w:hAnsi="Times New Roman" w:cs="Times New Roman"/>
          <w:i/>
          <w:iCs/>
        </w:rPr>
        <w:t>Social trust: Toward a cosmopolitan society</w:t>
      </w:r>
      <w:r w:rsidRPr="00652743">
        <w:rPr>
          <w:rFonts w:ascii="Times New Roman" w:hAnsi="Times New Roman" w:cs="Times New Roman"/>
        </w:rPr>
        <w:t>. Greenwood Publishing Group.</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Easton, D. (1965). A systems analysis of political life.</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Egan, P. J., &amp; Mullin, M. (2017). Climate change: US public opinion. Annual Review of Political Science, 20, 209-227.</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Eldersveld, S. J. (1951). Theory and method in voting behavior research. </w:t>
      </w:r>
      <w:r w:rsidRPr="00652743">
        <w:rPr>
          <w:rFonts w:ascii="Times New Roman" w:hAnsi="Times New Roman" w:cs="Times New Roman"/>
          <w:i/>
          <w:iCs/>
        </w:rPr>
        <w:t>The Journal of Politics</w:t>
      </w:r>
      <w:r w:rsidRPr="00652743">
        <w:rPr>
          <w:rFonts w:ascii="Times New Roman" w:hAnsi="Times New Roman" w:cs="Times New Roman"/>
        </w:rPr>
        <w:t>, 13(1), 70-87.</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Eldersveld, S. J., &amp; Walton, H. (1982). Political parties in American society (p. 13). Nueva York: Basic Books.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Ellis, R. J., and F. Thompson. (1997). “Culture and Environment in the Pacific Northwest.” American Political Science Review 91: 885–97.</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Erikson, R. S., MacKuen, M. B., &amp; Stimson, A. A. (2002). Public Opinion and Policy. Navigating public opinion: Polls, policy, and the future of American democracy, 33.</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 xml:space="preserve">Eureka County Yucca Mountain Information Office. 2020. </w:t>
      </w:r>
      <w:r w:rsidRPr="00652743">
        <w:rPr>
          <w:rFonts w:ascii="Times New Roman" w:hAnsi="Times New Roman" w:cs="Times New Roman"/>
          <w:i/>
        </w:rPr>
        <w:t>The Inside Story</w:t>
      </w:r>
      <w:r w:rsidRPr="00652743">
        <w:rPr>
          <w:rFonts w:ascii="Times New Roman" w:hAnsi="Times New Roman" w:cs="Times New Roman"/>
        </w:rPr>
        <w:t xml:space="preserve">. Retrieved on January 5, 2020. </w:t>
      </w:r>
      <w:hyperlink r:id="rId43" w:history="1">
        <w:r w:rsidRPr="00652743">
          <w:rPr>
            <w:rStyle w:val="Hyperlink"/>
            <w:rFonts w:ascii="Times New Roman" w:hAnsi="Times New Roman" w:cs="Times New Roman"/>
          </w:rPr>
          <w:t>https://www.yuccamountain.org/#</w:t>
        </w:r>
      </w:hyperlink>
      <w:r w:rsidRPr="00652743">
        <w:rPr>
          <w:rFonts w:ascii="Times New Roman" w:hAnsi="Times New Roman" w:cs="Times New Roman"/>
        </w:rPr>
        <w:t xml:space="preserve"> </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 xml:space="preserve">Eureka County Yucca Mountain Information Office. Retrieved on January 17, 2019. </w:t>
      </w:r>
      <w:hyperlink r:id="rId44" w:anchor="aulg" w:history="1">
        <w:r w:rsidRPr="00652743">
          <w:rPr>
            <w:rStyle w:val="Hyperlink"/>
            <w:rFonts w:ascii="Times New Roman" w:hAnsi="Times New Roman" w:cs="Times New Roman"/>
          </w:rPr>
          <w:t>https://www.yuccamountain.org/purpose.htm#aulg</w:t>
        </w:r>
      </w:hyperlink>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 xml:space="preserve">Eureka County Yucca Mountain Information Office. 2018. </w:t>
      </w:r>
      <w:r w:rsidRPr="00652743">
        <w:rPr>
          <w:rFonts w:ascii="Times New Roman" w:hAnsi="Times New Roman" w:cs="Times New Roman"/>
          <w:i/>
        </w:rPr>
        <w:t>The Inside Story</w:t>
      </w:r>
      <w:r w:rsidRPr="00652743">
        <w:rPr>
          <w:rFonts w:ascii="Times New Roman" w:hAnsi="Times New Roman" w:cs="Times New Roman"/>
        </w:rPr>
        <w:t xml:space="preserve">. Retrieved on December 10, 2018. </w:t>
      </w:r>
      <w:hyperlink r:id="rId45" w:history="1">
        <w:r w:rsidRPr="00652743">
          <w:rPr>
            <w:rStyle w:val="Hyperlink"/>
            <w:rFonts w:ascii="Times New Roman" w:hAnsi="Times New Roman" w:cs="Times New Roman"/>
          </w:rPr>
          <w:t>https://www.yuccamountain.org/#</w:t>
        </w:r>
      </w:hyperlink>
      <w:r w:rsidRPr="00652743">
        <w:rPr>
          <w:rFonts w:ascii="Times New Roman" w:hAnsi="Times New Roman" w:cs="Times New Roman"/>
        </w:rPr>
        <w:t xml:space="preserve"> </w:t>
      </w:r>
    </w:p>
    <w:p w:rsidR="00B52DD2" w:rsidRPr="00652743" w:rsidRDefault="00B52DD2" w:rsidP="00B52DD2">
      <w:pPr>
        <w:pStyle w:val="p1"/>
        <w:spacing w:line="480" w:lineRule="auto"/>
        <w:ind w:left="720" w:hanging="720"/>
        <w:rPr>
          <w:rFonts w:ascii="Times New Roman" w:eastAsia="Times New Roman" w:hAnsi="Times New Roman"/>
          <w:sz w:val="24"/>
          <w:szCs w:val="24"/>
        </w:rPr>
      </w:pPr>
      <w:r w:rsidRPr="00652743">
        <w:rPr>
          <w:rFonts w:ascii="Times New Roman" w:eastAsia="Times New Roman" w:hAnsi="Times New Roman"/>
          <w:color w:val="222222"/>
          <w:sz w:val="24"/>
          <w:szCs w:val="24"/>
          <w:shd w:val="clear" w:color="auto" w:fill="FFFFFF"/>
        </w:rPr>
        <w:t>Evans, J. H. (2003). Have Americans' attitudes become more polarized? — An update. Social Science Quarterly, 84(1), 71-90.</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lastRenderedPageBreak/>
        <w:t>Falcone, Santa, and Kenneth Orosco. (1998). “Coming through a City near You: The Transport of Hazardous Wastes.” Policy Studies Journal 26(4): 760-773.</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 xml:space="preserve">Finucane, M. L., P. Slovic, C.K. Mertz, J. Flinn and T.A. Satterfield (2000). “Gender, Race, and Perceived Risk: ‘The White’ Male Effect.” </w:t>
      </w:r>
      <w:r w:rsidRPr="00652743">
        <w:rPr>
          <w:rFonts w:ascii="Times New Roman" w:hAnsi="Times New Roman" w:cs="Times New Roman"/>
          <w:i/>
          <w:iCs/>
        </w:rPr>
        <w:t>Health, Risk, &amp; Society</w:t>
      </w:r>
      <w:r w:rsidRPr="00652743">
        <w:rPr>
          <w:rFonts w:ascii="Times New Roman" w:hAnsi="Times New Roman" w:cs="Times New Roman"/>
        </w:rPr>
        <w:t xml:space="preserve"> 2(2): 159–172.</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Fiorina, M. P., Abrams, S. J., &amp; Pope, J. (2005). </w:t>
      </w:r>
      <w:r w:rsidRPr="00652743">
        <w:rPr>
          <w:rFonts w:ascii="Times New Roman" w:hAnsi="Times New Roman" w:cs="Times New Roman"/>
          <w:i/>
          <w:iCs/>
          <w:color w:val="222222"/>
          <w:shd w:val="clear" w:color="auto" w:fill="FFFFFF"/>
        </w:rPr>
        <w:t>Culture war?: The myth of a polarized America</w:t>
      </w:r>
      <w:r w:rsidRPr="00652743">
        <w:rPr>
          <w:rFonts w:ascii="Times New Roman" w:hAnsi="Times New Roman" w:cs="Times New Roman"/>
          <w:color w:val="222222"/>
          <w:shd w:val="clear" w:color="auto" w:fill="FFFFFF"/>
        </w:rPr>
        <w:t>. Longman Publishing Group.</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Fiorina, M. P. (1981). Retrospective voting in American national elections. Yale University Press.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Fiorina, M. P. (2004). Congress: Keystone of the Washington establishment. 2</w:t>
      </w:r>
      <w:r w:rsidRPr="00652743">
        <w:rPr>
          <w:rFonts w:ascii="Times New Roman" w:hAnsi="Times New Roman" w:cs="Times New Roman"/>
          <w:color w:val="222222"/>
          <w:shd w:val="clear" w:color="auto" w:fill="FFFFFF"/>
          <w:vertAlign w:val="superscript"/>
        </w:rPr>
        <w:t>nd</w:t>
      </w:r>
      <w:r w:rsidRPr="00652743">
        <w:rPr>
          <w:rFonts w:ascii="Times New Roman" w:hAnsi="Times New Roman" w:cs="Times New Roman"/>
          <w:color w:val="222222"/>
          <w:shd w:val="clear" w:color="auto" w:fill="FFFFFF"/>
        </w:rPr>
        <w:t>. Ed. New Haven, CT: Yale University Press.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Fiorina, M. P., &amp; Abrams, S. J. (2008). Political polarization in the American public. Annu. Rev. Polit. Sci., 11, 563-588.</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Fiorina, M. P., Abrams, S. J., &amp; Pope, J. (2006). Culture war?: The myth of a polarized America. Longman Publishing Group.</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Fiorina, M. P., &amp; Abrams, S. J. (2012). Disconnect: The breakdown of representation in American politics (Vol. 11). University of Oklahoma Press.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Fischhoff</w:t>
      </w:r>
      <w:r w:rsidRPr="00652743">
        <w:rPr>
          <w:rFonts w:ascii="Times New Roman" w:hAnsi="Times New Roman" w:cs="Times New Roman"/>
          <w:color w:val="222222"/>
          <w:shd w:val="clear" w:color="auto" w:fill="FFFFFF"/>
        </w:rPr>
        <w:t>, B., Slovic, P., &amp; Lichtenstein, S. (1983). “The Public” Vs.“The Experts”: Perceived Vs. Actual Disagreements About Risks of Nuclear Power. In </w:t>
      </w:r>
      <w:r w:rsidRPr="00652743">
        <w:rPr>
          <w:rFonts w:ascii="Times New Roman" w:hAnsi="Times New Roman" w:cs="Times New Roman"/>
          <w:i/>
          <w:iCs/>
          <w:color w:val="222222"/>
          <w:shd w:val="clear" w:color="auto" w:fill="FFFFFF"/>
        </w:rPr>
        <w:t>The analysis of actual versus perceived risks</w:t>
      </w:r>
      <w:r w:rsidRPr="00652743">
        <w:rPr>
          <w:rFonts w:ascii="Times New Roman" w:hAnsi="Times New Roman" w:cs="Times New Roman"/>
          <w:color w:val="222222"/>
          <w:shd w:val="clear" w:color="auto" w:fill="FFFFFF"/>
        </w:rPr>
        <w:t> (pp. 235-249). Springer, Boston, MA.</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Flink, C. M. (2019). Predicting budgetary change: The effect of performance gaps. </w:t>
      </w:r>
      <w:r w:rsidRPr="00652743">
        <w:rPr>
          <w:rFonts w:ascii="Times New Roman" w:hAnsi="Times New Roman" w:cs="Times New Roman"/>
          <w:i/>
          <w:iCs/>
        </w:rPr>
        <w:t>Journal of Public Administration Research and Theory</w:t>
      </w:r>
      <w:r w:rsidRPr="00652743">
        <w:rPr>
          <w:rFonts w:ascii="Times New Roman" w:hAnsi="Times New Roman" w:cs="Times New Roman"/>
        </w:rPr>
        <w:t>, 29(2), 227-237.</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lastRenderedPageBreak/>
        <w:t xml:space="preserve">Frankovic, Kathy, “Most Republicans do not think Humans Are Causing Climate Change,” retrieved at: https://today.yougov.com/news/2015/11/25/most-republicans-do-not-think-humans-causing-clima/ </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 xml:space="preserve">Gallup, G. (1939). </w:t>
      </w:r>
      <w:r w:rsidRPr="00652743">
        <w:rPr>
          <w:rFonts w:ascii="Times New Roman" w:hAnsi="Times New Roman" w:cs="Times New Roman"/>
          <w:i/>
          <w:iCs/>
          <w:color w:val="222222"/>
          <w:shd w:val="clear" w:color="auto" w:fill="FFFFFF"/>
        </w:rPr>
        <w:t>Public opinion in a democracy</w:t>
      </w:r>
      <w:r w:rsidRPr="00652743">
        <w:rPr>
          <w:rFonts w:ascii="Times New Roman" w:hAnsi="Times New Roman" w:cs="Times New Roman"/>
          <w:color w:val="222222"/>
          <w:shd w:val="clear" w:color="auto" w:fill="FFFFFF"/>
        </w:rPr>
        <w:t>. Random House. New York.</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Gawande, Kishore, and Hank Jenkins-Smith. (2001). “Nuclear Waste Transport and Residential Property Values: Estimating the Effects of Perceived Risks.” Journal of Environmental Economics and Management. 42(2): 207-233.</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Gerberding, W.P. (1970). “Liberals and Radicals: A Conflict of Ideologies?” In Readings on the American Political System edited by L. E. Shaw and J. C. Pierce. 47-53. (1970). D.C. Heath and Company</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 xml:space="preserve">GISGeography (2020). Nevada County Map and Independent City. Published on: February 16, 2013 | Last Updated: March 20, 2020. Retrieved from: </w:t>
      </w:r>
      <w:hyperlink r:id="rId46" w:history="1">
        <w:r w:rsidRPr="00652743">
          <w:rPr>
            <w:rStyle w:val="Hyperlink"/>
            <w:rFonts w:ascii="Times New Roman" w:hAnsi="Times New Roman" w:cs="Times New Roman"/>
          </w:rPr>
          <w:t>https://gisgeography.com/nevada-county-map/</w:t>
        </w:r>
      </w:hyperlink>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Grofman, B., Owen, G., &amp; Collet, C. (1999). Rethinking the partisan effects of higher turnout: so what's the question?. Public Choice, 99(3-4), 357-376.</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Green, J. C., &amp; Coffey, D. J. (2010). The state of the parties: The changing role of contemporary American parties. Rowman &amp; Littlefield Publishers.</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Green, Jim. (2016). “Manufacturing Dissent: Environmentalists and Nuclear Power.” Nuclear Monitor 826(4566) June 7th, 2016 (Accessed February 27, 2018, at: https://www.wiseinternational.org/nuclear-monitor/826/manufacturing-dissent-environmentalists-and-nuclear-power)</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 xml:space="preserve">Greene, W. H. (2000). </w:t>
      </w:r>
      <w:r w:rsidRPr="00652743">
        <w:rPr>
          <w:rFonts w:ascii="Times New Roman" w:hAnsi="Times New Roman" w:cs="Times New Roman"/>
          <w:i/>
          <w:iCs/>
        </w:rPr>
        <w:t>Econometric analysis.</w:t>
      </w:r>
      <w:r w:rsidRPr="00652743">
        <w:rPr>
          <w:rFonts w:ascii="Times New Roman" w:hAnsi="Times New Roman" w:cs="Times New Roman"/>
        </w:rPr>
        <w:t xml:space="preserve"> 4th edition. International edition, New Jersey: Prentice Hall, 201-215.</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lastRenderedPageBreak/>
        <w:t>Greenberg, M. (1993). “Proving environmental inequity in siting locally unwanted land uses.” Risk, 4, 235.</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Gupta, K., &amp; Jenkins-Smith, H. (2015). Anthony Downs, “Up and Down with Ecology: The ‘Issue-Attention’ Cycle”. In The Oxford handbook of classics in public policy and administration. OUP Oxford.</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Hadden, S. G., Veillete, J., &amp; Brandt, T. (1983). State roles in siting hazardous waste disposal facilities: from state preemption to local veto. In Duke Press Policy Studies (pp. 196-211). US Duke University Press.</w:t>
      </w:r>
    </w:p>
    <w:p w:rsidR="00B52DD2" w:rsidRPr="00652743" w:rsidRDefault="00B52DD2" w:rsidP="00B52DD2">
      <w:pPr>
        <w:spacing w:line="480" w:lineRule="auto"/>
        <w:ind w:left="720" w:hanging="720"/>
        <w:jc w:val="both"/>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Hakhverdian, A. (2010). Political representation and its mechanisms: A dynamic left–right approach for the United Kingdom, 1976–2006. British Journal of Political Science, 40(4), 835-856.</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Handmer, J., &amp; Proudley, B. (2007). “Communicating uncertainty via probabilities: The case of weather forecasts.” Environmental Hazards, 7(2), 79-87.</w:t>
      </w:r>
    </w:p>
    <w:p w:rsidR="00B52DD2" w:rsidRPr="00652743" w:rsidRDefault="00B52DD2" w:rsidP="00B52DD2">
      <w:pPr>
        <w:pStyle w:val="p2"/>
        <w:spacing w:line="480" w:lineRule="auto"/>
        <w:ind w:left="720" w:hanging="720"/>
        <w:jc w:val="both"/>
        <w:rPr>
          <w:sz w:val="24"/>
          <w:szCs w:val="24"/>
        </w:rPr>
      </w:pPr>
      <w:r w:rsidRPr="00652743">
        <w:rPr>
          <w:sz w:val="24"/>
          <w:szCs w:val="24"/>
        </w:rPr>
        <w:t>Hansen, J., Holm, L., Frewer, L., Robinson, P., &amp; Sandøe, P. (2003). Beyond the knowledge deficit: recent research into lay and expert attitudes to food risks. </w:t>
      </w:r>
      <w:r w:rsidRPr="00652743">
        <w:rPr>
          <w:i/>
          <w:iCs/>
          <w:sz w:val="24"/>
          <w:szCs w:val="24"/>
        </w:rPr>
        <w:t>Appetite</w:t>
      </w:r>
      <w:r w:rsidRPr="00652743">
        <w:rPr>
          <w:sz w:val="24"/>
          <w:szCs w:val="24"/>
        </w:rPr>
        <w:t>, 41(2), 111-121.</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Hayes, D. (2009). Has television personalized voting behavior? </w:t>
      </w:r>
      <w:r w:rsidRPr="00652743">
        <w:rPr>
          <w:rFonts w:ascii="Times New Roman" w:hAnsi="Times New Roman" w:cs="Times New Roman"/>
          <w:i/>
          <w:iCs/>
        </w:rPr>
        <w:t>Political Behavior</w:t>
      </w:r>
      <w:r w:rsidRPr="00652743">
        <w:rPr>
          <w:rFonts w:ascii="Times New Roman" w:hAnsi="Times New Roman" w:cs="Times New Roman"/>
        </w:rPr>
        <w:t>, 31(2), 231-260.</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Hayes, D. (2005). Candidate qualities through a partisan lens: A theory of trait ownership. </w:t>
      </w:r>
      <w:r w:rsidRPr="00652743">
        <w:rPr>
          <w:rFonts w:ascii="Times New Roman" w:hAnsi="Times New Roman" w:cs="Times New Roman"/>
          <w:i/>
          <w:iCs/>
        </w:rPr>
        <w:t>American Journal of Political Science</w:t>
      </w:r>
      <w:r w:rsidRPr="00652743">
        <w:rPr>
          <w:rFonts w:ascii="Times New Roman" w:hAnsi="Times New Roman" w:cs="Times New Roman"/>
        </w:rPr>
        <w:t>, 49(4), 908-923.</w:t>
      </w:r>
    </w:p>
    <w:p w:rsidR="00B52DD2" w:rsidRPr="00652743" w:rsidRDefault="00B52DD2" w:rsidP="00B52DD2">
      <w:pPr>
        <w:pStyle w:val="p2"/>
        <w:spacing w:line="480" w:lineRule="auto"/>
        <w:ind w:left="720" w:hanging="720"/>
        <w:jc w:val="both"/>
        <w:rPr>
          <w:sz w:val="24"/>
          <w:szCs w:val="24"/>
        </w:rPr>
      </w:pPr>
      <w:r w:rsidRPr="00652743">
        <w:rPr>
          <w:sz w:val="24"/>
          <w:szCs w:val="24"/>
        </w:rPr>
        <w:t>Herron</w:t>
      </w:r>
      <w:r w:rsidRPr="00652743">
        <w:rPr>
          <w:color w:val="222222"/>
          <w:sz w:val="24"/>
          <w:szCs w:val="24"/>
          <w:shd w:val="clear" w:color="auto" w:fill="FFFFFF"/>
        </w:rPr>
        <w:t>, K. G., &amp; Jenkins-Smith, H. C. (2006). </w:t>
      </w:r>
      <w:r w:rsidRPr="00652743">
        <w:rPr>
          <w:i/>
          <w:iCs/>
          <w:color w:val="222222"/>
          <w:sz w:val="24"/>
          <w:szCs w:val="24"/>
          <w:shd w:val="clear" w:color="auto" w:fill="FFFFFF"/>
        </w:rPr>
        <w:t>Critical masses and critical choices: Evolving public opinion on nuclear weapons, terrorism, and security</w:t>
      </w:r>
      <w:r w:rsidRPr="00652743">
        <w:rPr>
          <w:color w:val="222222"/>
          <w:sz w:val="24"/>
          <w:szCs w:val="24"/>
          <w:shd w:val="clear" w:color="auto" w:fill="FFFFFF"/>
        </w:rPr>
        <w:t>. University of Pittsburgh Press.</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Hindmore, A. (2010). </w:t>
      </w:r>
      <w:r w:rsidRPr="00652743">
        <w:rPr>
          <w:rFonts w:ascii="Times New Roman" w:hAnsi="Times New Roman" w:cs="Times New Roman"/>
          <w:color w:val="222222"/>
          <w:shd w:val="clear" w:color="auto" w:fill="FFFFFF"/>
        </w:rPr>
        <w:t>Rational choice</w:t>
      </w:r>
      <w:r w:rsidRPr="00652743">
        <w:rPr>
          <w:rFonts w:ascii="Times New Roman" w:hAnsi="Times New Roman" w:cs="Times New Roman"/>
        </w:rPr>
        <w:t>. Palgrave Macmillan.</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lastRenderedPageBreak/>
        <w:t>Hunter, J. D. (1992). Culture wars: The struggle to control the family, art, education, law, and politics in America. Basic Books.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Hunter</w:t>
      </w:r>
      <w:r w:rsidRPr="00652743">
        <w:rPr>
          <w:rFonts w:ascii="Times New Roman" w:hAnsi="Times New Roman" w:cs="Times New Roman"/>
          <w:color w:val="222222"/>
          <w:shd w:val="clear" w:color="auto" w:fill="FFFFFF"/>
        </w:rPr>
        <w:t>, S., &amp; Leyden, K. M. (1995). Beyond NIMBY. </w:t>
      </w:r>
      <w:r w:rsidRPr="00652743">
        <w:rPr>
          <w:rFonts w:ascii="Times New Roman" w:hAnsi="Times New Roman" w:cs="Times New Roman"/>
          <w:color w:val="1C1D1E"/>
          <w:shd w:val="clear" w:color="auto" w:fill="FFFFFF"/>
        </w:rPr>
        <w:t>Explaining opposition to hazardous waste facilities.</w:t>
      </w:r>
      <w:r w:rsidRPr="00652743">
        <w:rPr>
          <w:rFonts w:ascii="Times New Roman" w:hAnsi="Times New Roman" w:cs="Times New Roman"/>
          <w:color w:val="222222"/>
          <w:shd w:val="clear" w:color="auto" w:fill="FFFFFF"/>
        </w:rPr>
        <w:t xml:space="preserve"> Policy studies journal, 23(4), 601-619.</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Hyndman, R. J., &amp; Athanasopoulos, G. (2018). Forecasting: principles and practice. OTexts.</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International Atomic Energy Agency. (2014). “Planning and Design Considerations for</w:t>
      </w:r>
      <w:r w:rsidRPr="00652743">
        <w:rPr>
          <w:rFonts w:ascii="Times New Roman" w:hAnsi="Times New Roman" w:cs="Times New Roman"/>
          <w:i/>
        </w:rPr>
        <w:t xml:space="preserve"> Geological Repository Programmes of Radioactive Waste”</w:t>
      </w:r>
      <w:r w:rsidRPr="00652743">
        <w:rPr>
          <w:rFonts w:ascii="Times New Roman" w:hAnsi="Times New Roman" w:cs="Times New Roman"/>
        </w:rPr>
        <w:t xml:space="preserve">, IAEA-TECDOC-1755, IAEA, Vienna </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 xml:space="preserve">International Atomic Energy Agency. (2007). “Storage and Disposal of Spent Fuel and High Level Radioactive Waste” Accessed on 06.14.2018. </w:t>
      </w:r>
      <w:hyperlink r:id="rId47" w:history="1">
        <w:r w:rsidRPr="00652743">
          <w:rPr>
            <w:rStyle w:val="Hyperlink"/>
            <w:rFonts w:ascii="Times New Roman" w:hAnsi="Times New Roman" w:cs="Times New Roman"/>
          </w:rPr>
          <w:t>https://www.iaea.org/About/Policy/GC/GC50/GC50InfDocuments/English/gc50inf-3-att5_en.pdf</w:t>
        </w:r>
      </w:hyperlink>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Jaccard, J., &amp; Turrisi, R. (2003). Interaction effects in multiple regression (No. 72). Sage.</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Jacques, Peter J., Riley E. Dunlap and Mark Freeman. (2008). “The Organisation of Denial: Conservative Think Tanks and Environmental Skepticism.” Environmental Politics 17(3):349-385.</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Jenkins, J., Nordhaus, T., &amp; Shellenberger, M. (2011). “Energy emergence: rebound and backfire as emergent phenomena.” Breakthrough Institute.</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 xml:space="preserve">Jenkins-Smith,  H. C. (1993). </w:t>
      </w:r>
      <w:r w:rsidRPr="00652743">
        <w:rPr>
          <w:rFonts w:ascii="Times New Roman" w:hAnsi="Times New Roman" w:cs="Times New Roman"/>
          <w:i/>
        </w:rPr>
        <w:t>Nuclear imagery and regional stigma: Testing hypotheses of image acquisition and valuation regarding Nevada</w:t>
      </w:r>
      <w:r w:rsidRPr="00652743">
        <w:rPr>
          <w:rFonts w:ascii="Times New Roman" w:hAnsi="Times New Roman" w:cs="Times New Roman"/>
        </w:rPr>
        <w:t>. University of New Mexico, Institute for Public Policy, Albuquerque, NM.</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Jenkins-Smith, H. C., &amp; Smith, W. K. (1994). “Ideology, culture, and risk perception.” Politics, policy, and culture, 17-32.</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lastRenderedPageBreak/>
        <w:t>Jenkins-Smith, Hank, and Howard Kunreuther. (2001). “Mitigation and Benefits Measures as Policy Tools for Siting Potentially Hazardous Facilities: Determinants of Effectiveness and Appropriateness.” Risk Analysis 21(2): 371-382.</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Jenkins</w:t>
      </w:r>
      <w:r w:rsidRPr="00652743">
        <w:rPr>
          <w:rFonts w:ascii="Times New Roman" w:eastAsia="Calibri" w:hAnsi="Times New Roman" w:cs="Times New Roman"/>
          <w:color w:val="222222"/>
          <w:shd w:val="clear" w:color="auto" w:fill="FFFFFF"/>
        </w:rPr>
        <w:t>‐</w:t>
      </w:r>
      <w:r w:rsidRPr="00652743">
        <w:rPr>
          <w:rFonts w:ascii="Times New Roman" w:hAnsi="Times New Roman" w:cs="Times New Roman"/>
          <w:color w:val="222222"/>
          <w:shd w:val="clear" w:color="auto" w:fill="FFFFFF"/>
        </w:rPr>
        <w:t>Smith, H. C., Silva, C. L., Nowlin, M. C., &amp; DeLozier, G. (2011). Reversing nuclear opposition: Evolving public acceptance of a permanent nuclear waste disposal facility. Risk Analysis, 31(4), 629-644.</w:t>
      </w:r>
    </w:p>
    <w:p w:rsidR="00B52DD2" w:rsidRPr="00652743" w:rsidRDefault="00B52DD2" w:rsidP="00B52DD2">
      <w:pPr>
        <w:spacing w:line="480" w:lineRule="auto"/>
        <w:ind w:left="720" w:hanging="720"/>
        <w:rPr>
          <w:rFonts w:ascii="Times New Roman" w:eastAsia="Calibri" w:hAnsi="Times New Roman" w:cs="Times New Roman"/>
          <w:color w:val="222222"/>
          <w:shd w:val="clear" w:color="auto" w:fill="FFFFFF"/>
        </w:rPr>
      </w:pPr>
      <w:r w:rsidRPr="00652743">
        <w:rPr>
          <w:rFonts w:ascii="Times New Roman" w:eastAsia="Calibri" w:hAnsi="Times New Roman" w:cs="Times New Roman"/>
          <w:color w:val="222222"/>
          <w:shd w:val="clear" w:color="auto" w:fill="FFFFFF"/>
        </w:rPr>
        <w:t xml:space="preserve">Jenkins-Smith, H. C., Ripberger, J. T., Silva, C. L., Carlson, D. E., Gupta, K., Carlson, N., </w:t>
      </w:r>
      <w:r>
        <w:rPr>
          <w:rFonts w:ascii="Times New Roman" w:eastAsia="Calibri" w:hAnsi="Times New Roman" w:cs="Times New Roman"/>
          <w:color w:val="222222"/>
          <w:shd w:val="clear" w:color="auto" w:fill="FFFFFF"/>
        </w:rPr>
        <w:t>Ter-Mkrtchyan, A.</w:t>
      </w:r>
      <w:r w:rsidRPr="00652743">
        <w:rPr>
          <w:rFonts w:ascii="Times New Roman" w:eastAsia="Calibri" w:hAnsi="Times New Roman" w:cs="Times New Roman"/>
          <w:color w:val="222222"/>
          <w:shd w:val="clear" w:color="auto" w:fill="FFFFFF"/>
        </w:rPr>
        <w:t xml:space="preserve"> &amp; Dunlap, R. E. (2020). Partisan asymmetry in temporal stability of climate change beliefs. </w:t>
      </w:r>
      <w:r w:rsidRPr="00652743">
        <w:rPr>
          <w:rFonts w:ascii="Times New Roman" w:eastAsia="Calibri" w:hAnsi="Times New Roman" w:cs="Times New Roman"/>
          <w:i/>
          <w:iCs/>
          <w:color w:val="222222"/>
          <w:shd w:val="clear" w:color="auto" w:fill="FFFFFF"/>
        </w:rPr>
        <w:t>Nature Climate</w:t>
      </w:r>
      <w:r w:rsidRPr="00652743">
        <w:rPr>
          <w:rFonts w:ascii="Times New Roman" w:eastAsia="Calibri" w:hAnsi="Times New Roman" w:cs="Times New Roman"/>
          <w:color w:val="222222"/>
          <w:shd w:val="clear" w:color="auto" w:fill="FFFFFF"/>
        </w:rPr>
        <w:t>.</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 xml:space="preserve">Jenkins-Smith, H. C., Silva, C. L. and Gupta, K. (2017). </w:t>
      </w:r>
      <w:r w:rsidRPr="00652743">
        <w:rPr>
          <w:rFonts w:ascii="Times New Roman" w:hAnsi="Times New Roman" w:cs="Times New Roman"/>
          <w:i/>
        </w:rPr>
        <w:t>Public Views on Nuclear Facility Siting and Radioactive Waste Management in the United States: Methodology and Response Reference Report for the 2017 Energy and Environment Survey</w:t>
      </w:r>
      <w:r w:rsidRPr="00652743">
        <w:rPr>
          <w:rFonts w:ascii="Times New Roman" w:hAnsi="Times New Roman" w:cs="Times New Roman"/>
        </w:rPr>
        <w:t>. Sandia Report: SAND2017. Albuquerque, NM: Sandia National Laboratories.</w:t>
      </w:r>
    </w:p>
    <w:p w:rsidR="00B52DD2" w:rsidRPr="00652743" w:rsidRDefault="00B52DD2" w:rsidP="00B52DD2">
      <w:pPr>
        <w:spacing w:line="480" w:lineRule="auto"/>
        <w:ind w:left="720" w:hanging="720"/>
        <w:jc w:val="both"/>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Jenkins-Smith, Hank, C., Daniel Nohrstedt, Christopher M. Weible and Karin Ingold. (2017). “The Advocacy Coalition Framework: An Overview of the Research Program. In Theories of the Policy Process, 4</w:t>
      </w:r>
      <w:r w:rsidRPr="00652743">
        <w:rPr>
          <w:rFonts w:ascii="Times New Roman" w:hAnsi="Times New Roman" w:cs="Times New Roman"/>
          <w:color w:val="222222"/>
          <w:shd w:val="clear" w:color="auto" w:fill="FFFFFF"/>
          <w:vertAlign w:val="superscript"/>
        </w:rPr>
        <w:t>th</w:t>
      </w:r>
      <w:r w:rsidRPr="00652743">
        <w:rPr>
          <w:rFonts w:ascii="Times New Roman" w:hAnsi="Times New Roman" w:cs="Times New Roman"/>
          <w:color w:val="222222"/>
          <w:shd w:val="clear" w:color="auto" w:fill="FFFFFF"/>
        </w:rPr>
        <w:t xml:space="preserve"> ed., edited by Christopher M. Weible and Paul A. Sabatier. 135-171. Boulder, CO: Westview Press.</w:t>
      </w:r>
    </w:p>
    <w:p w:rsidR="00B52DD2" w:rsidRPr="00652743" w:rsidRDefault="00B52DD2" w:rsidP="00B52DD2">
      <w:pPr>
        <w:spacing w:line="480" w:lineRule="auto"/>
        <w:ind w:left="720" w:hanging="720"/>
        <w:rPr>
          <w:rFonts w:ascii="Times New Roman" w:hAnsi="Times New Roman" w:cs="Times New Roman"/>
          <w:i/>
        </w:rPr>
      </w:pPr>
      <w:r w:rsidRPr="00652743">
        <w:rPr>
          <w:rFonts w:ascii="Times New Roman" w:hAnsi="Times New Roman" w:cs="Times New Roman"/>
        </w:rPr>
        <w:t xml:space="preserve">Jenkins-Smith, H. C., Silva, C. L. and Gupta, K. (2016). </w:t>
      </w:r>
      <w:r w:rsidRPr="00652743">
        <w:rPr>
          <w:rFonts w:ascii="Times New Roman" w:hAnsi="Times New Roman" w:cs="Times New Roman"/>
          <w:i/>
        </w:rPr>
        <w:t>Public Preferences Related to Consent-Based Siting and Radioactive Waste Management in the United States: Methodology and Response Reference Report for the 2016 Energy and Environment Survey</w:t>
      </w:r>
      <w:r w:rsidRPr="00652743">
        <w:rPr>
          <w:rFonts w:ascii="Times New Roman" w:hAnsi="Times New Roman" w:cs="Times New Roman"/>
        </w:rPr>
        <w:t>. Sandia Report: SAND2016. Albuquerque, NM: Sandia National Laboratories.</w:t>
      </w:r>
    </w:p>
    <w:p w:rsidR="00B52DD2" w:rsidRPr="00652743" w:rsidRDefault="00B52DD2" w:rsidP="00B52DD2">
      <w:pPr>
        <w:spacing w:line="480" w:lineRule="auto"/>
        <w:ind w:left="720" w:hanging="720"/>
        <w:jc w:val="both"/>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 xml:space="preserve">Jenkins-Smith, Hank, C., Daniel Nohrstedt, Christopher M. Weible and Paul A. Sabatier. (2014a). “The Advocacy Coalition Framework: Foundations, Evolution and Ongoing Research.” In </w:t>
      </w:r>
      <w:r w:rsidRPr="00652743">
        <w:rPr>
          <w:rFonts w:ascii="Times New Roman" w:hAnsi="Times New Roman" w:cs="Times New Roman"/>
          <w:color w:val="222222"/>
          <w:shd w:val="clear" w:color="auto" w:fill="FFFFFF"/>
        </w:rPr>
        <w:lastRenderedPageBreak/>
        <w:t>Theories of the Policy Process, 3rd ed., edited by Paul A. Sabatier and Christopher M. Weible. 183-223. Boulder, CO: Westview Press.</w:t>
      </w:r>
    </w:p>
    <w:p w:rsidR="00B52DD2" w:rsidRPr="00652743" w:rsidRDefault="00B52DD2" w:rsidP="00B52DD2">
      <w:pPr>
        <w:spacing w:line="480" w:lineRule="auto"/>
        <w:ind w:left="720" w:hanging="720"/>
        <w:jc w:val="both"/>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Jenkins</w:t>
      </w:r>
      <w:r w:rsidRPr="00652743">
        <w:rPr>
          <w:rFonts w:ascii="Times New Roman" w:eastAsia="Calibri" w:hAnsi="Times New Roman" w:cs="Times New Roman"/>
          <w:color w:val="222222"/>
          <w:shd w:val="clear" w:color="auto" w:fill="FFFFFF"/>
        </w:rPr>
        <w:t>‐</w:t>
      </w:r>
      <w:r w:rsidRPr="00652743">
        <w:rPr>
          <w:rFonts w:ascii="Times New Roman" w:hAnsi="Times New Roman" w:cs="Times New Roman"/>
          <w:color w:val="222222"/>
          <w:shd w:val="clear" w:color="auto" w:fill="FFFFFF"/>
        </w:rPr>
        <w:t>Smith, H., Silva, C. L., Gupta, K., and Ripberger, J. T. (2014b). Belief system continuity and change in policy advocacy coalitions: Using cultural theory to specify belief systems, coalitions, and sources of change. Policy Studies Journal, 42(4), 484-508.</w:t>
      </w:r>
    </w:p>
    <w:p w:rsidR="00B52DD2" w:rsidRPr="00652743" w:rsidRDefault="00B52DD2" w:rsidP="00B52DD2">
      <w:pPr>
        <w:spacing w:line="480" w:lineRule="auto"/>
        <w:ind w:left="720" w:hanging="720"/>
        <w:jc w:val="both"/>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Jones, B.D. (2001). Politics and the architecture of choice: Bounded rationality and governance. University of Chicago Press.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Kahan, Dan M. et al. 2010. “Who Fears the HPV Vaccine, Who Doesn’t, and Why? An Experimental Study of the Mechanisms of Cultural Cognition.” Law and Human Behavior 34(6): 501–516.</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Kahneman, D., &amp; Tversky, A. (2013). Prospect theory: An analysis of decision under risk. In Handbook of the fundamentals of financial decision making: Part I (pp. 99-127).</w:t>
      </w:r>
    </w:p>
    <w:p w:rsidR="00B52DD2" w:rsidRPr="00652743" w:rsidRDefault="00B52DD2" w:rsidP="00B52DD2">
      <w:pPr>
        <w:pStyle w:val="p2"/>
        <w:spacing w:line="480" w:lineRule="auto"/>
        <w:ind w:left="720" w:hanging="720"/>
        <w:jc w:val="both"/>
        <w:rPr>
          <w:sz w:val="24"/>
          <w:szCs w:val="24"/>
        </w:rPr>
      </w:pPr>
      <w:r w:rsidRPr="00652743">
        <w:rPr>
          <w:sz w:val="24"/>
          <w:szCs w:val="24"/>
        </w:rPr>
        <w:t xml:space="preserve">Kahneman, D. (2003). Maps of bounded rationality: Psychology for behavioral economics. </w:t>
      </w:r>
      <w:r w:rsidRPr="00652743">
        <w:rPr>
          <w:i/>
          <w:color w:val="222222"/>
          <w:sz w:val="24"/>
          <w:szCs w:val="24"/>
          <w:shd w:val="clear" w:color="auto" w:fill="FFFFFF"/>
        </w:rPr>
        <w:t>The American economic review,</w:t>
      </w:r>
      <w:r w:rsidRPr="00652743">
        <w:rPr>
          <w:sz w:val="24"/>
          <w:szCs w:val="24"/>
        </w:rPr>
        <w:t xml:space="preserve"> 93(5), pp.1449-1475.</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Kasperson, Roger E., Nayna Jhaveri, and Jeanne X. Kasperson. 2001. “Stigma and the Social Amplification of Risk.” In Risk, Media and Stigma: Understanding Public Challenges to Modern Science and Technology. London: Earthscan Publications Ltd, eds. James Flynn, Paul Slovic, and Howard Kunreuther. London, UK: Earthscan Publications, p. 9–27.</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Kettle, Donald F. 2000. “The Transformation of Governance: Globalization, Devolution, and the Role of Government.” </w:t>
      </w:r>
      <w:r w:rsidRPr="00652743">
        <w:rPr>
          <w:rFonts w:ascii="Times New Roman" w:hAnsi="Times New Roman" w:cs="Times New Roman"/>
          <w:i/>
          <w:iCs/>
        </w:rPr>
        <w:t>Public Administration Review</w:t>
      </w:r>
      <w:r w:rsidRPr="00652743">
        <w:rPr>
          <w:rFonts w:ascii="Times New Roman" w:hAnsi="Times New Roman" w:cs="Times New Roman"/>
        </w:rPr>
        <w:t> 60 (6): 448–97.</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Key, V. O. (1961). Public opinion and American democracy.</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Key, V. O. (1966). The responsible electorate (p. 150). Belknap Press of Harvard University Press.</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lastRenderedPageBreak/>
        <w:t>Kohut, A., Green, J. C., Keeter, S., &amp; Toth, R. C. (2001). The diminishing divide: Religion's changing role in American politics. Brookings Institution Press.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Kraft, M. E., &amp; Clary, B. B. (1991). “Citizen participation and the NIMBY syndrome: Public response to radioactive waste disposal.” Western political quarterly, 44(2), 299-328.</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Kraft, M. E. (2013). “Nuclear power and the challenge of high-level waste disposal in the United States.” </w:t>
      </w:r>
      <w:r w:rsidRPr="00652743">
        <w:rPr>
          <w:rFonts w:ascii="Times New Roman" w:hAnsi="Times New Roman" w:cs="Times New Roman"/>
          <w:i/>
        </w:rPr>
        <w:t>Polity</w:t>
      </w:r>
      <w:r w:rsidRPr="00652743">
        <w:rPr>
          <w:rFonts w:ascii="Times New Roman" w:hAnsi="Times New Roman" w:cs="Times New Roman"/>
        </w:rPr>
        <w:t>. 45(2), 265-280.Kristiansen, S., Bonfadelli, H., &amp; Kovic, M. (2018). Risk perception of nuclear energy after Fukushima: Stability and change in public opinion in Switzerland. </w:t>
      </w:r>
      <w:r w:rsidRPr="00652743">
        <w:rPr>
          <w:rFonts w:ascii="Times New Roman" w:hAnsi="Times New Roman" w:cs="Times New Roman"/>
          <w:i/>
          <w:iCs/>
        </w:rPr>
        <w:t>International Journal of Public Opinion Research</w:t>
      </w:r>
      <w:r w:rsidRPr="00652743">
        <w:rPr>
          <w:rFonts w:ascii="Times New Roman" w:hAnsi="Times New Roman" w:cs="Times New Roman"/>
        </w:rPr>
        <w:t>, 30(1), 24-50.</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Kuklinski, J. H., Metlay, D. S., &amp; Kay, W. D. (1982). Citizen knowledge and choices on the complex issue of nuclear energy. </w:t>
      </w:r>
      <w:r w:rsidRPr="00652743">
        <w:rPr>
          <w:rFonts w:ascii="Times New Roman" w:hAnsi="Times New Roman" w:cs="Times New Roman"/>
          <w:i/>
          <w:iCs/>
        </w:rPr>
        <w:t>American Journal of Political Science</w:t>
      </w:r>
      <w:r w:rsidRPr="00652743">
        <w:rPr>
          <w:rFonts w:ascii="Times New Roman" w:hAnsi="Times New Roman" w:cs="Times New Roman"/>
        </w:rPr>
        <w:t>, 615-642.</w:t>
      </w:r>
    </w:p>
    <w:p w:rsidR="00B52DD2" w:rsidRPr="00652743" w:rsidRDefault="00B52DD2" w:rsidP="00B52DD2">
      <w:pPr>
        <w:spacing w:line="480" w:lineRule="auto"/>
        <w:ind w:left="720" w:hanging="720"/>
        <w:jc w:val="both"/>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Latré, E., Thijssen, P., &amp; Perko, T. (2019). The party politics of nuclear energy: Party cues and public opinion regarding nuclear energy in Belgium. </w:t>
      </w:r>
      <w:r w:rsidRPr="00652743">
        <w:rPr>
          <w:rFonts w:ascii="Times New Roman" w:hAnsi="Times New Roman" w:cs="Times New Roman"/>
          <w:i/>
          <w:iCs/>
          <w:color w:val="222222"/>
          <w:shd w:val="clear" w:color="auto" w:fill="FFFFFF"/>
        </w:rPr>
        <w:t>Energy Research &amp; Social Science</w:t>
      </w:r>
      <w:r w:rsidRPr="00652743">
        <w:rPr>
          <w:rFonts w:ascii="Times New Roman" w:hAnsi="Times New Roman" w:cs="Times New Roman"/>
          <w:color w:val="222222"/>
          <w:shd w:val="clear" w:color="auto" w:fill="FFFFFF"/>
        </w:rPr>
        <w:t>, 47, 192-201.</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Lasswell, H. D. (1970). The emerging conception of the policy sciences. Policy sciences, 1(1), 3-14.</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 xml:space="preserve">Las Vegas Sun. Midterms May Have Spelled the End of Yucca Mountain. Retrieved on January 8, 2019. </w:t>
      </w:r>
      <w:hyperlink r:id="rId48" w:history="1">
        <w:r w:rsidRPr="00652743">
          <w:rPr>
            <w:rStyle w:val="Hyperlink"/>
            <w:rFonts w:ascii="Times New Roman" w:hAnsi="Times New Roman" w:cs="Times New Roman"/>
          </w:rPr>
          <w:t>https://m.lasvegassun.com/news/2018/dec/26/midterms-may-have-spelled-the-end-of-yucca-mountai/</w:t>
        </w:r>
      </w:hyperlink>
      <w:r w:rsidRPr="00652743">
        <w:rPr>
          <w:rFonts w:ascii="Times New Roman" w:hAnsi="Times New Roman" w:cs="Times New Roman"/>
        </w:rPr>
        <w:t xml:space="preserve"> </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 xml:space="preserve">Lazarsfeld, P. F., Berelson, B., &amp; Gaudet, H. (1944). </w:t>
      </w:r>
      <w:r w:rsidRPr="00652743">
        <w:rPr>
          <w:rFonts w:ascii="Times New Roman" w:hAnsi="Times New Roman" w:cs="Times New Roman"/>
          <w:i/>
          <w:iCs/>
          <w:color w:val="222222"/>
          <w:shd w:val="clear" w:color="auto" w:fill="FFFFFF"/>
        </w:rPr>
        <w:t>The people's choice</w:t>
      </w:r>
      <w:r w:rsidRPr="00652743">
        <w:rPr>
          <w:rFonts w:ascii="Times New Roman" w:hAnsi="Times New Roman" w:cs="Times New Roman"/>
          <w:color w:val="222222"/>
          <w:shd w:val="clear" w:color="auto" w:fill="FFFFFF"/>
        </w:rPr>
        <w:t>.</w:t>
      </w:r>
    </w:p>
    <w:p w:rsidR="00B52DD2" w:rsidRPr="00652743" w:rsidRDefault="00B52DD2" w:rsidP="00B52DD2">
      <w:pPr>
        <w:spacing w:line="480" w:lineRule="auto"/>
        <w:ind w:left="720" w:hanging="720"/>
        <w:jc w:val="both"/>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 xml:space="preserve">Lawless, J.L. and Fox, R.L., 2001. Political participation of the urban poor. </w:t>
      </w:r>
      <w:r w:rsidRPr="00652743">
        <w:rPr>
          <w:rFonts w:ascii="Times New Roman" w:hAnsi="Times New Roman" w:cs="Times New Roman"/>
          <w:i/>
          <w:iCs/>
          <w:color w:val="222222"/>
          <w:shd w:val="clear" w:color="auto" w:fill="FFFFFF"/>
        </w:rPr>
        <w:t>Social Problems</w:t>
      </w:r>
      <w:r w:rsidRPr="00652743">
        <w:rPr>
          <w:rFonts w:ascii="Times New Roman" w:hAnsi="Times New Roman" w:cs="Times New Roman"/>
          <w:color w:val="222222"/>
          <w:shd w:val="clear" w:color="auto" w:fill="FFFFFF"/>
        </w:rPr>
        <w:t>, 48(3), pp.362-385.</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Lester, J. (2018). Environmental injustice in the US: myths and realities. Routledge.</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color w:val="222222"/>
          <w:shd w:val="clear" w:color="auto" w:fill="FFFFFF"/>
        </w:rPr>
        <w:lastRenderedPageBreak/>
        <w:t>Levendusky M. (2009). The Partisan Sort: How Liberals Became Democrats and Conservatives Became Republicans. Chicago: Univ. of Chicago Press</w:t>
      </w:r>
      <w:r w:rsidRPr="00652743">
        <w:rPr>
          <w:rFonts w:ascii="Times New Roman" w:hAnsi="Times New Roman" w:cs="Times New Roman"/>
        </w:rPr>
        <w:t xml:space="preserve"> </w:t>
      </w:r>
    </w:p>
    <w:p w:rsidR="00B52DD2" w:rsidRPr="00652743" w:rsidRDefault="00B52DD2" w:rsidP="00B52DD2">
      <w:pPr>
        <w:pStyle w:val="p1"/>
        <w:spacing w:line="480" w:lineRule="auto"/>
        <w:ind w:left="720" w:hanging="720"/>
        <w:rPr>
          <w:rFonts w:ascii="Times New Roman" w:eastAsia="Times New Roman" w:hAnsi="Times New Roman"/>
          <w:sz w:val="24"/>
          <w:szCs w:val="24"/>
        </w:rPr>
      </w:pPr>
      <w:r w:rsidRPr="00652743">
        <w:rPr>
          <w:rFonts w:ascii="Times New Roman" w:hAnsi="Times New Roman"/>
          <w:color w:val="auto"/>
          <w:sz w:val="24"/>
          <w:szCs w:val="24"/>
        </w:rPr>
        <w:t>Levendusky</w:t>
      </w:r>
      <w:r w:rsidRPr="00652743">
        <w:rPr>
          <w:rFonts w:ascii="Times New Roman" w:eastAsia="Times New Roman" w:hAnsi="Times New Roman"/>
          <w:color w:val="222222"/>
          <w:sz w:val="24"/>
          <w:szCs w:val="24"/>
          <w:shd w:val="clear" w:color="auto" w:fill="FFFFFF"/>
        </w:rPr>
        <w:t>, M. S., &amp; Pope, J. C. (2011). Red states vs. blue states: Going beyond the mean. Public Opinion Quarterly, 75(2), 227-248.</w:t>
      </w:r>
    </w:p>
    <w:p w:rsidR="00B52DD2" w:rsidRPr="00652743" w:rsidRDefault="00B52DD2" w:rsidP="00B52DD2">
      <w:pPr>
        <w:spacing w:line="480" w:lineRule="auto"/>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Lippmann, W. (1922). </w:t>
      </w:r>
      <w:r w:rsidRPr="00652743">
        <w:rPr>
          <w:rFonts w:ascii="Times New Roman" w:hAnsi="Times New Roman" w:cs="Times New Roman"/>
          <w:i/>
          <w:iCs/>
          <w:color w:val="222222"/>
          <w:shd w:val="clear" w:color="auto" w:fill="FFFFFF"/>
        </w:rPr>
        <w:t>Public opinion</w:t>
      </w:r>
      <w:r w:rsidRPr="00652743">
        <w:rPr>
          <w:rFonts w:ascii="Times New Roman" w:hAnsi="Times New Roman" w:cs="Times New Roman"/>
          <w:color w:val="222222"/>
          <w:shd w:val="clear" w:color="auto" w:fill="FFFFFF"/>
        </w:rPr>
        <w:t xml:space="preserve">. </w:t>
      </w:r>
      <w:r w:rsidRPr="00652743">
        <w:rPr>
          <w:rFonts w:ascii="Times New Roman" w:hAnsi="Times New Roman" w:cs="Times New Roman"/>
          <w:color w:val="4D5156"/>
          <w:shd w:val="clear" w:color="auto" w:fill="FFFFFF"/>
        </w:rPr>
        <w:t> </w:t>
      </w:r>
      <w:r w:rsidRPr="00652743">
        <w:rPr>
          <w:rFonts w:ascii="Times New Roman" w:hAnsi="Times New Roman" w:cs="Times New Roman"/>
          <w:color w:val="222222"/>
          <w:shd w:val="clear" w:color="auto" w:fill="FFFFFF"/>
        </w:rPr>
        <w:t>Harcourt, Brace.</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Lipset, S. M., &amp; Rokkan, S. (Eds.). (1967). </w:t>
      </w:r>
      <w:r w:rsidRPr="00652743">
        <w:rPr>
          <w:rFonts w:ascii="Times New Roman" w:hAnsi="Times New Roman" w:cs="Times New Roman"/>
          <w:i/>
          <w:iCs/>
        </w:rPr>
        <w:t>Party systems and voter alignments: Cross-national perspectives</w:t>
      </w:r>
      <w:r w:rsidRPr="00652743">
        <w:rPr>
          <w:rFonts w:ascii="Times New Roman" w:hAnsi="Times New Roman" w:cs="Times New Roman"/>
        </w:rPr>
        <w:t> (Vol. 7). Free press.</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Liu, F. (1997). “Dynamics and causation of environmental equity, locally unwanted land uses, and neighborhood changes.” Environmental Management, 21(5), 643-656.</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Lowi, T. J. (1964). American business, public policy, case-studies, and political theory. World politics, 16(4), 677-715.</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Lowi, T. J. (1979). The end of liberalism: The second republic of the United States.</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Lupia, A., McCubbins, M. D., &amp; Arthur, L. (1998). </w:t>
      </w:r>
      <w:r w:rsidRPr="00652743">
        <w:rPr>
          <w:rFonts w:ascii="Times New Roman" w:hAnsi="Times New Roman" w:cs="Times New Roman"/>
          <w:i/>
          <w:iCs/>
        </w:rPr>
        <w:t>The democratic dilemma: Can citizens learn what they need to know?.</w:t>
      </w:r>
      <w:r w:rsidRPr="00652743">
        <w:rPr>
          <w:rFonts w:ascii="Times New Roman" w:hAnsi="Times New Roman" w:cs="Times New Roman"/>
        </w:rPr>
        <w:t xml:space="preserve"> Cambridge University Press.</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Lynas, M. (2013). Nuclear 2.0: Why a Green Future Needs Nuclear Power. UIT Cambridge Limited.</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 xml:space="preserve">Macfarlane, A. (2020). </w:t>
      </w:r>
      <w:r w:rsidRPr="00652743">
        <w:rPr>
          <w:rFonts w:ascii="Times New Roman" w:hAnsi="Times New Roman" w:cs="Times New Roman"/>
          <w:i/>
          <w:iCs/>
        </w:rPr>
        <w:t>The Bulletin of the Atomic Scientists.</w:t>
      </w:r>
      <w:r w:rsidRPr="00652743">
        <w:rPr>
          <w:rFonts w:ascii="Times New Roman" w:hAnsi="Times New Roman" w:cs="Times New Roman"/>
        </w:rPr>
        <w:t xml:space="preserve"> “The Yucca Mountain nuclear waste site has always been a political football. Trump is the latest president to fumble.” Retrieved from: </w:t>
      </w:r>
      <w:hyperlink r:id="rId49" w:history="1">
        <w:r w:rsidRPr="00652743">
          <w:rPr>
            <w:rStyle w:val="Hyperlink"/>
            <w:rFonts w:ascii="Times New Roman" w:hAnsi="Times New Roman" w:cs="Times New Roman"/>
          </w:rPr>
          <w:t>https://thebulletin.org/2020/02/the-yucca-mountain-nuclear-waste-site-has-always-been-a-political-football-trump-is-the-latest-president-to-fumble/#</w:t>
        </w:r>
      </w:hyperlink>
      <w:r w:rsidRPr="00652743">
        <w:rPr>
          <w:rFonts w:ascii="Times New Roman" w:hAnsi="Times New Roman" w:cs="Times New Roman"/>
        </w:rPr>
        <w:t xml:space="preserve"> </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MacGregor, Donald, Paul Slovic, Robert G. Mason, John Detweiler, Stephen E. Binney, and Brian Dodd.1994. “Perceived Risks of Radioactive Waste Transport Through Oregon: Results of a Statewide Survey.” Risk Analysis 14(1): 5-14.</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lastRenderedPageBreak/>
        <w:t>Makridakis, S., Andersen, A., Carbone, R., Fildes, R., Hibon, M., Lewandowski, R., ... &amp; Winkler, R. (1982). The accuracy of extrapolation (time series) methods: Results of a forecasting competition. </w:t>
      </w:r>
      <w:r w:rsidRPr="00652743">
        <w:rPr>
          <w:rFonts w:ascii="Times New Roman" w:hAnsi="Times New Roman" w:cs="Times New Roman"/>
          <w:i/>
          <w:iCs/>
          <w:color w:val="222222"/>
          <w:shd w:val="clear" w:color="auto" w:fill="FFFFFF"/>
        </w:rPr>
        <w:t>Journal of forecasting</w:t>
      </w:r>
      <w:r w:rsidRPr="00652743">
        <w:rPr>
          <w:rFonts w:ascii="Times New Roman" w:hAnsi="Times New Roman" w:cs="Times New Roman"/>
          <w:color w:val="222222"/>
          <w:shd w:val="clear" w:color="auto" w:fill="FFFFFF"/>
        </w:rPr>
        <w:t>, 1(2), 111-153.</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Martinez, M. D., &amp; Gill, J. (2005). The effects of turnout on partisan outcomes in US presidential elections 1960–2000. The Journal of Politics, 67(4), 1248-1274.</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Matheny, A. R., &amp; Williams, B. A. (1985). Knowledge vs. NIMBY: Assessing Florida's strategy for siting hazardous waste disposal facilities. Policy Studies Journal, 14(1), 70-80.</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Mayer, J. D. (2004). Christian fundamentalists and public opinion toward the Middle East: Israel's new best friends?. Social Science Quarterly, 85(3), 695-712.</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Mayo, H. B. (1960). An introduction to democratic theory. Oxford University Press.</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Mazmanian, Daniel, and David Morell. 1990. “The ’NIMBY’ Syndrome: Facility Siting and the Failure of Democratic Discourse.” In Norman J. Vig and Michael E. Kraft, eds., Environmental Policy in the 1990s: Toward a New Agenda. Washington, DC: CQ Press.</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rPr>
        <w:t>McCarty</w:t>
      </w:r>
      <w:r w:rsidRPr="00652743">
        <w:rPr>
          <w:rFonts w:ascii="Times New Roman" w:hAnsi="Times New Roman" w:cs="Times New Roman"/>
          <w:color w:val="222222"/>
          <w:shd w:val="clear" w:color="auto" w:fill="FFFFFF"/>
        </w:rPr>
        <w:t>, N., Poole, K. T., &amp; Rosenthal, H. (2006). Polarized America: The dance of ideology and unequal riches (Vol. 5).</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McCright, A. M., &amp; Dunlap, R. E. (2011). The politicization of climate change and polarization in the American public's views of global warming, 2001–2010. The Sociological Quarterly, 52(2), 155-194.</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 xml:space="preserve">McDonald, M. P. (2011, January). Voter turnout in the 2010 midterm election. </w:t>
      </w:r>
      <w:r w:rsidRPr="00652743">
        <w:rPr>
          <w:rFonts w:ascii="Times New Roman" w:hAnsi="Times New Roman" w:cs="Times New Roman"/>
          <w:i/>
          <w:iCs/>
        </w:rPr>
        <w:t>In The Forum</w:t>
      </w:r>
      <w:r w:rsidRPr="00652743">
        <w:rPr>
          <w:rFonts w:ascii="Times New Roman" w:hAnsi="Times New Roman" w:cs="Times New Roman"/>
        </w:rPr>
        <w:t> (Vol. 8, No. 4). De Gruyter.</w:t>
      </w:r>
    </w:p>
    <w:p w:rsidR="00B52DD2" w:rsidRPr="00652743" w:rsidRDefault="00B52DD2" w:rsidP="00B52DD2">
      <w:pPr>
        <w:spacing w:line="480" w:lineRule="auto"/>
        <w:ind w:left="720" w:hanging="720"/>
        <w:jc w:val="both"/>
        <w:rPr>
          <w:rFonts w:ascii="Times New Roman" w:hAnsi="Times New Roman" w:cs="Times New Roman"/>
          <w:color w:val="222222"/>
          <w:shd w:val="clear" w:color="auto" w:fill="FFFFFF"/>
        </w:rPr>
      </w:pPr>
      <w:r w:rsidRPr="00652743">
        <w:rPr>
          <w:rFonts w:ascii="Times New Roman" w:hAnsi="Times New Roman" w:cs="Times New Roman"/>
        </w:rPr>
        <w:t xml:space="preserve">Mettler, Suzanne and Mallory Sorelle. (2018). “Policy Feedback Theory.” </w:t>
      </w:r>
      <w:r w:rsidRPr="00652743">
        <w:rPr>
          <w:rFonts w:ascii="Times New Roman" w:hAnsi="Times New Roman" w:cs="Times New Roman"/>
          <w:color w:val="222222"/>
          <w:shd w:val="clear" w:color="auto" w:fill="FFFFFF"/>
        </w:rPr>
        <w:t xml:space="preserve">In </w:t>
      </w:r>
      <w:r w:rsidRPr="00652743">
        <w:rPr>
          <w:rFonts w:ascii="Times New Roman" w:hAnsi="Times New Roman" w:cs="Times New Roman"/>
          <w:i/>
          <w:iCs/>
          <w:color w:val="222222"/>
          <w:shd w:val="clear" w:color="auto" w:fill="FFFFFF"/>
        </w:rPr>
        <w:t xml:space="preserve">Theories of the Policy Process, </w:t>
      </w:r>
      <w:r w:rsidRPr="00652743">
        <w:rPr>
          <w:rFonts w:ascii="Times New Roman" w:hAnsi="Times New Roman" w:cs="Times New Roman"/>
          <w:iCs/>
          <w:color w:val="222222"/>
          <w:shd w:val="clear" w:color="auto" w:fill="FFFFFF"/>
        </w:rPr>
        <w:t>4</w:t>
      </w:r>
      <w:r w:rsidRPr="00652743">
        <w:rPr>
          <w:rFonts w:ascii="Times New Roman" w:hAnsi="Times New Roman" w:cs="Times New Roman"/>
          <w:iCs/>
          <w:color w:val="222222"/>
          <w:shd w:val="clear" w:color="auto" w:fill="FFFFFF"/>
          <w:vertAlign w:val="superscript"/>
        </w:rPr>
        <w:t>th</w:t>
      </w:r>
      <w:r w:rsidRPr="00652743">
        <w:rPr>
          <w:rFonts w:ascii="Times New Roman" w:hAnsi="Times New Roman" w:cs="Times New Roman"/>
          <w:iCs/>
          <w:color w:val="222222"/>
          <w:shd w:val="clear" w:color="auto" w:fill="FFFFFF"/>
        </w:rPr>
        <w:t xml:space="preserve"> ed., edited by </w:t>
      </w:r>
      <w:r w:rsidRPr="00652743">
        <w:rPr>
          <w:rFonts w:ascii="Times New Roman" w:hAnsi="Times New Roman" w:cs="Times New Roman"/>
          <w:color w:val="222222"/>
          <w:shd w:val="clear" w:color="auto" w:fill="FFFFFF"/>
        </w:rPr>
        <w:t>Christopher M. Weible and Paul A. Sabatier. 103-134. Boulder, CO: Westview Press.</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lastRenderedPageBreak/>
        <w:t>Mettler, S. (2002). Bringing the state back in to civic engagement: Policy feedback effects of the GI Bill for World War II veterans. American Political Science Review, 96(2), 351-365.</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Mulligan, S. (2011). “Energy and human ecology: a critical security approach.” Environmental Politics, 20(5), 633-649.</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National Research Council. 2001. Disposition of High-Level Waste and Spent Nuclear Fuel: The Continuing Societal and Technical Challenges. Washington, DC: The National Academies Press.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Nevada</w:t>
      </w:r>
      <w:r w:rsidRPr="00652743">
        <w:rPr>
          <w:rFonts w:ascii="Times New Roman" w:hAnsi="Times New Roman" w:cs="Times New Roman"/>
        </w:rPr>
        <w:t xml:space="preserve"> Secretary of State Barbara K. Cegavske. (2020). “Election Results – 1962 To Present.” Retrieved on August 1, 2018: </w:t>
      </w:r>
      <w:hyperlink r:id="rId50" w:history="1">
        <w:r w:rsidRPr="00652743">
          <w:rPr>
            <w:rStyle w:val="Hyperlink"/>
            <w:rFonts w:ascii="Times New Roman" w:hAnsi="Times New Roman" w:cs="Times New Roman"/>
          </w:rPr>
          <w:t>https://www.nvsos.gov/sos/elections/election-information/previous-elections/election-results</w:t>
        </w:r>
      </w:hyperlink>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Nie, N. H., Petrocik, J. R., &amp; Verba, S. (1999). The changing American voter. To Excel.</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O’Connor, Robert E., Bord, Richard J., and Ann Fisher. 1999. “Risk Perceptions, General Environmental Beliefs, and Willingness to Address Climate Change.” Risk Analysis 19(3):461-471.</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O'Hare, M. H., Bacow, L., &amp; Sanderson, D. (1983). Facility siting and public opposition. New York: Van Nostrand.</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Ostrom, E. 2007. “Institutional rational choice: an assessment of the institutional analysis and development framework.” In P.A. Sabatier (Ed.). </w:t>
      </w:r>
      <w:r w:rsidRPr="00652743">
        <w:rPr>
          <w:rFonts w:ascii="Times New Roman" w:hAnsi="Times New Roman" w:cs="Times New Roman"/>
          <w:i/>
          <w:iCs/>
        </w:rPr>
        <w:t>Theories of the Policy Process</w:t>
      </w:r>
      <w:r w:rsidRPr="00652743">
        <w:rPr>
          <w:rFonts w:ascii="Times New Roman" w:hAnsi="Times New Roman" w:cs="Times New Roman"/>
        </w:rPr>
        <w:t> (second ed.), Westview Press, Boulder, CO.</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Page, B. I., &amp; Shapiro, R. Y. (2010). The rational public: Fifty years of trends in Americans' policy preferences. University of Chicago Press.</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Palm, R., Lewis, G. B., &amp; Feng, B. What causes people to change their opinion about climate change? </w:t>
      </w:r>
      <w:r w:rsidRPr="00652743">
        <w:rPr>
          <w:rFonts w:ascii="Times New Roman" w:hAnsi="Times New Roman" w:cs="Times New Roman"/>
          <w:i/>
          <w:iCs/>
        </w:rPr>
        <w:t>Annals of the American Association of Geographers</w:t>
      </w:r>
      <w:r w:rsidRPr="00652743">
        <w:rPr>
          <w:rFonts w:ascii="Times New Roman" w:hAnsi="Times New Roman" w:cs="Times New Roman"/>
        </w:rPr>
        <w:t> 107(4), 883-896 (2017).</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lastRenderedPageBreak/>
        <w:t>Peters</w:t>
      </w:r>
      <w:r w:rsidRPr="00652743">
        <w:rPr>
          <w:rFonts w:ascii="Times New Roman" w:hAnsi="Times New Roman" w:cs="Times New Roman"/>
          <w:color w:val="222222"/>
          <w:shd w:val="clear" w:color="auto" w:fill="FFFFFF"/>
        </w:rPr>
        <w:t>, J. D. (1995). Historical tensions in the concept of public opinion. Public opinion and the communication of consent, 3-32.</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Petrocik, J. R. (1996). Issue ownership in presidential elections, with a 1980 case study. </w:t>
      </w:r>
      <w:r w:rsidRPr="00652743">
        <w:rPr>
          <w:rFonts w:ascii="Times New Roman" w:hAnsi="Times New Roman" w:cs="Times New Roman"/>
          <w:i/>
          <w:iCs/>
          <w:color w:val="222222"/>
          <w:shd w:val="clear" w:color="auto" w:fill="FFFFFF"/>
        </w:rPr>
        <w:t>American journal of political science,</w:t>
      </w:r>
      <w:r w:rsidRPr="00652743">
        <w:rPr>
          <w:rFonts w:ascii="Times New Roman" w:hAnsi="Times New Roman" w:cs="Times New Roman"/>
          <w:color w:val="222222"/>
          <w:shd w:val="clear" w:color="auto" w:fill="FFFFFF"/>
        </w:rPr>
        <w:t xml:space="preserve"> 825-850.</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Pierson, P. (1993). When effect becomes cause: Policy feedback and political change. </w:t>
      </w:r>
      <w:r w:rsidRPr="00652743">
        <w:rPr>
          <w:rFonts w:ascii="Times New Roman" w:hAnsi="Times New Roman" w:cs="Times New Roman"/>
          <w:i/>
          <w:iCs/>
        </w:rPr>
        <w:t>World politics, </w:t>
      </w:r>
      <w:r w:rsidRPr="00652743">
        <w:rPr>
          <w:rFonts w:ascii="Times New Roman" w:hAnsi="Times New Roman" w:cs="Times New Roman"/>
        </w:rPr>
        <w:t>45(4), 595-628.</w:t>
      </w:r>
    </w:p>
    <w:p w:rsidR="00B52DD2" w:rsidRPr="00652743" w:rsidRDefault="00B52DD2" w:rsidP="00B52DD2">
      <w:pPr>
        <w:spacing w:line="480" w:lineRule="auto"/>
        <w:ind w:left="720" w:hanging="720"/>
        <w:jc w:val="both"/>
        <w:rPr>
          <w:rFonts w:ascii="Times New Roman" w:hAnsi="Times New Roman" w:cs="Times New Roman"/>
          <w:i/>
          <w:iCs/>
        </w:rPr>
      </w:pPr>
      <w:r w:rsidRPr="00652743">
        <w:rPr>
          <w:rFonts w:ascii="Times New Roman" w:hAnsi="Times New Roman" w:cs="Times New Roman"/>
        </w:rPr>
        <w:t xml:space="preserve">Pierson, P., 1992. “Policy Feedbacks” and Political Change: Contrasting Reagan and Thatcher's Pension-Reform Initiatives. </w:t>
      </w:r>
      <w:r w:rsidRPr="00652743">
        <w:rPr>
          <w:rFonts w:ascii="Times New Roman" w:hAnsi="Times New Roman" w:cs="Times New Roman"/>
          <w:i/>
          <w:iCs/>
        </w:rPr>
        <w:t xml:space="preserve">Studies in </w:t>
      </w:r>
    </w:p>
    <w:p w:rsidR="00B52DD2" w:rsidRPr="00652743" w:rsidRDefault="00B52DD2" w:rsidP="00B52DD2">
      <w:pPr>
        <w:spacing w:line="480" w:lineRule="auto"/>
        <w:ind w:left="720" w:hanging="720"/>
        <w:jc w:val="both"/>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Pitkin, H. F. (1967). The concept of representation. University of California Press.</w:t>
      </w:r>
    </w:p>
    <w:p w:rsidR="00B52DD2" w:rsidRPr="00652743" w:rsidRDefault="00B52DD2" w:rsidP="00B52DD2">
      <w:pPr>
        <w:spacing w:line="480" w:lineRule="auto"/>
        <w:ind w:left="720" w:hanging="720"/>
        <w:jc w:val="both"/>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Radcliff, B. (1994). Turnout and the democratic vote. American Politics Quarterly, 22(3), 259-276.</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 xml:space="preserve">Rani, O. “It’s Time Humans Heeded Nature Warning.” </w:t>
      </w:r>
      <w:r w:rsidRPr="00652743">
        <w:rPr>
          <w:rFonts w:ascii="Times New Roman" w:hAnsi="Times New Roman" w:cs="Times New Roman"/>
          <w:i/>
        </w:rPr>
        <w:t>China Daily</w:t>
      </w:r>
      <w:r w:rsidRPr="00652743">
        <w:rPr>
          <w:rFonts w:ascii="Times New Roman" w:hAnsi="Times New Roman" w:cs="Times New Roman"/>
        </w:rPr>
        <w:t>, August 4, 2011, accessed August 4, 2011. http://www.chinadaily.com.cn/cndy/2011-03/19/content_12195463.htm.</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Rosenberg, S. W., Bohan, L., McCafferty, P., &amp; Harris, K. (1986). The image and the vote: The effect of candidate presentation on voter preference. </w:t>
      </w:r>
      <w:r w:rsidRPr="00652743">
        <w:rPr>
          <w:rFonts w:ascii="Times New Roman" w:hAnsi="Times New Roman" w:cs="Times New Roman"/>
          <w:i/>
          <w:iCs/>
        </w:rPr>
        <w:t>American Journal of Political Science</w:t>
      </w:r>
      <w:r w:rsidRPr="00652743">
        <w:rPr>
          <w:rFonts w:ascii="Times New Roman" w:hAnsi="Times New Roman" w:cs="Times New Roman"/>
        </w:rPr>
        <w:t>, 108-127.</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Riker, W. H. (1990). Political science and rational choice. </w:t>
      </w:r>
      <w:r w:rsidRPr="00652743">
        <w:rPr>
          <w:rFonts w:ascii="Times New Roman" w:hAnsi="Times New Roman" w:cs="Times New Roman"/>
          <w:color w:val="222222"/>
          <w:shd w:val="clear" w:color="auto" w:fill="FFFFFF"/>
        </w:rPr>
        <w:t>Perspectives on positive political economy</w:t>
      </w:r>
      <w:r w:rsidRPr="00652743">
        <w:rPr>
          <w:rFonts w:ascii="Times New Roman" w:hAnsi="Times New Roman" w:cs="Times New Roman"/>
        </w:rPr>
        <w:t>, 163-81.</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Ripberger, J. T., Gupta, K., Silva, C. L., and Jenkins</w:t>
      </w:r>
      <w:r w:rsidRPr="00652743">
        <w:rPr>
          <w:rFonts w:ascii="Times New Roman" w:eastAsia="Calibri" w:hAnsi="Times New Roman" w:cs="Times New Roman"/>
        </w:rPr>
        <w:t>‐</w:t>
      </w:r>
      <w:r w:rsidRPr="00652743">
        <w:rPr>
          <w:rFonts w:ascii="Times New Roman" w:hAnsi="Times New Roman" w:cs="Times New Roman"/>
        </w:rPr>
        <w:t>Smith, H. C. (2014). Cultural theory and the measurement of deep core beliefs within the advocacy coalition framework. </w:t>
      </w:r>
      <w:r w:rsidRPr="00652743">
        <w:rPr>
          <w:rFonts w:ascii="Times New Roman" w:hAnsi="Times New Roman" w:cs="Times New Roman"/>
          <w:color w:val="222222"/>
          <w:shd w:val="clear" w:color="auto" w:fill="FFFFFF"/>
        </w:rPr>
        <w:t>Policy Studies Journal</w:t>
      </w:r>
      <w:r w:rsidRPr="00652743">
        <w:rPr>
          <w:rFonts w:ascii="Times New Roman" w:hAnsi="Times New Roman" w:cs="Times New Roman"/>
        </w:rPr>
        <w:t>, 42(4), 509-527</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lastRenderedPageBreak/>
        <w:t>Ripberger</w:t>
      </w:r>
      <w:r w:rsidRPr="00652743">
        <w:rPr>
          <w:rFonts w:ascii="Times New Roman" w:hAnsi="Times New Roman" w:cs="Times New Roman"/>
          <w:color w:val="222222"/>
          <w:shd w:val="clear" w:color="auto" w:fill="FFFFFF"/>
        </w:rPr>
        <w:t>, J. T., Jenkins-Smith, H. C., &amp; Herron, K. G. (2011). “How cultural orientations create shifting national security coalitions on nuclear weapons and terrorist threats in the American public.” PS: Political Science &amp; Politics, 44(4), 715-719.</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Ripberger, J. T., Rabovsky, T. M., &amp; Herron, K. G. (2011). “Public opinion and nuclear zero: a domestic constraint on ditching the bomb.” Politics &amp; Policy, 39(6), 891-923.</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Ripberger, J. T., Song, G., Nowlin, M. C., Jones, M. D., &amp; Jenkins</w:t>
      </w:r>
      <w:r w:rsidRPr="00652743">
        <w:rPr>
          <w:rFonts w:ascii="Times New Roman" w:eastAsia="Calibri" w:hAnsi="Times New Roman" w:cs="Times New Roman"/>
        </w:rPr>
        <w:t>‐</w:t>
      </w:r>
      <w:r w:rsidRPr="00652743">
        <w:rPr>
          <w:rFonts w:ascii="Times New Roman" w:hAnsi="Times New Roman" w:cs="Times New Roman"/>
        </w:rPr>
        <w:t>Smith, H. C. (2012). “Reconsidering the relationship between cultural theory, political ideology, and political knowledge.” </w:t>
      </w:r>
      <w:r w:rsidRPr="00652743">
        <w:rPr>
          <w:rFonts w:ascii="Times New Roman" w:hAnsi="Times New Roman" w:cs="Times New Roman"/>
          <w:i/>
        </w:rPr>
        <w:t>Social Science Quarterly</w:t>
      </w:r>
      <w:r w:rsidRPr="00652743">
        <w:rPr>
          <w:rFonts w:ascii="Times New Roman" w:hAnsi="Times New Roman" w:cs="Times New Roman"/>
        </w:rPr>
        <w:t>, 93(3), 713-731.</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Ripley, R. B., &amp; Franklin, G. A. (1984). Congress, the bureaucracy, and public policy. Dorsey Press.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Robinson, S. E., Stoutenborough, J. W., &amp; Vedlitz, A. (2017). </w:t>
      </w:r>
      <w:r w:rsidRPr="00652743">
        <w:rPr>
          <w:rFonts w:ascii="Times New Roman" w:hAnsi="Times New Roman" w:cs="Times New Roman"/>
          <w:i/>
          <w:iCs/>
        </w:rPr>
        <w:t>Understanding trust in Government: Environmental sustainability, fracking, and public opinion in American politics</w:t>
      </w:r>
      <w:r w:rsidRPr="00652743">
        <w:rPr>
          <w:rFonts w:ascii="Times New Roman" w:hAnsi="Times New Roman" w:cs="Times New Roman"/>
        </w:rPr>
        <w:t>. Taylor &amp; Francis.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Robinson, S. E., Flink, C. M., &amp; King, C. M. (2014). Organizational history and budgetary punctuation. </w:t>
      </w:r>
      <w:r w:rsidRPr="00652743">
        <w:rPr>
          <w:rFonts w:ascii="Times New Roman" w:hAnsi="Times New Roman" w:cs="Times New Roman"/>
          <w:i/>
          <w:iCs/>
        </w:rPr>
        <w:t>Journal of Public Administration Research and Theory</w:t>
      </w:r>
      <w:r w:rsidRPr="00652743">
        <w:rPr>
          <w:rFonts w:ascii="Times New Roman" w:hAnsi="Times New Roman" w:cs="Times New Roman"/>
        </w:rPr>
        <w:t>, 24(2), 459-471.</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 xml:space="preserve">Rogelj, J., D. Shindell, K. Jiang, S. Fifita, P. Forster, V. Ginzburg, C. Handa, H. Kheshgi, S. Kobayashi, E. Kriegler, L. Mundaca, R. Séférian, and M.V. Vilariño, 2018: Mitigation Pathways Compatible with 1.5°C in the Context of Sustainable Development. In: Global Warming of 1.5°C. </w:t>
      </w:r>
      <w:r w:rsidRPr="00652743">
        <w:rPr>
          <w:rFonts w:ascii="Times New Roman" w:hAnsi="Times New Roman" w:cs="Times New Roman"/>
          <w:i/>
          <w:iCs/>
          <w:color w:val="222222"/>
          <w:shd w:val="clear" w:color="auto" w:fill="FFFFFF"/>
        </w:rPr>
        <w:t>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w:t>
      </w:r>
      <w:r w:rsidRPr="00652743">
        <w:rPr>
          <w:rFonts w:ascii="Times New Roman" w:hAnsi="Times New Roman" w:cs="Times New Roman"/>
          <w:color w:val="222222"/>
          <w:shd w:val="clear" w:color="auto" w:fill="FFFFFF"/>
        </w:rPr>
        <w:t xml:space="preserve"> [Masson-Delmotte, V., P. Zhai, H.-O. Pörtner, D. Roberts, J. Skea, P.R. Shukla, A. Pirani, W. Moufouma-Okia, C. Péan, R. </w:t>
      </w:r>
      <w:r w:rsidRPr="00652743">
        <w:rPr>
          <w:rFonts w:ascii="Times New Roman" w:hAnsi="Times New Roman" w:cs="Times New Roman"/>
          <w:color w:val="222222"/>
          <w:shd w:val="clear" w:color="auto" w:fill="FFFFFF"/>
        </w:rPr>
        <w:lastRenderedPageBreak/>
        <w:t>Pidcock, S. Connors, J.B.R. Matthews, Y. Chen, X. Zhou, M.I. Gomis, E. Lonnoy, T. Maycock, M. Tignor, and T. Waterfield (eds.)]. In Press.</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Rosenbaum, Walter A. (1983). "The Politics of Public Participation in Hazardous Waste Management." Pp. 176-195 in James P. Lester and Ann O'M. Bowman, eds.. The Politics of Hazardous Waste Management. Durham, NC: Duke University Press.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Rothman, S., &amp; Lichter, S. R. (1987). “Elite ideology and risk perception in nuclear energy policy.” American Political Science Review, 81(2), 383-404.</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Sabatier, P. A., &amp; Jenkins-Smith, H. C. (1988). Symposium editors' introduction. </w:t>
      </w:r>
      <w:r w:rsidRPr="00652743">
        <w:rPr>
          <w:rFonts w:ascii="Times New Roman" w:hAnsi="Times New Roman" w:cs="Times New Roman"/>
          <w:i/>
          <w:iCs/>
        </w:rPr>
        <w:t>Policy Sciences</w:t>
      </w:r>
      <w:r w:rsidRPr="00652743">
        <w:rPr>
          <w:rFonts w:ascii="Times New Roman" w:hAnsi="Times New Roman" w:cs="Times New Roman"/>
        </w:rPr>
        <w:t>, 123-127.</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 xml:space="preserve">Savadori, L., Savio, S., Nicotra, E. F., Rumiati, R., Finucane, M., &amp; Slovic, P. (2010). “Expert and public perception of risk from biotechnology.” In </w:t>
      </w:r>
      <w:r w:rsidRPr="00652743">
        <w:rPr>
          <w:rFonts w:ascii="Times New Roman" w:hAnsi="Times New Roman" w:cs="Times New Roman"/>
          <w:i/>
          <w:iCs/>
          <w:color w:val="222222"/>
          <w:shd w:val="clear" w:color="auto" w:fill="FFFFFF"/>
        </w:rPr>
        <w:t>The Feeling of Risk</w:t>
      </w:r>
      <w:r w:rsidRPr="00652743">
        <w:rPr>
          <w:rFonts w:ascii="Times New Roman" w:hAnsi="Times New Roman" w:cs="Times New Roman"/>
          <w:color w:val="222222"/>
          <w:shd w:val="clear" w:color="auto" w:fill="FFFFFF"/>
        </w:rPr>
        <w:t>, 1</w:t>
      </w:r>
      <w:r w:rsidRPr="00652743">
        <w:rPr>
          <w:rFonts w:ascii="Times New Roman" w:hAnsi="Times New Roman" w:cs="Times New Roman"/>
          <w:color w:val="222222"/>
          <w:shd w:val="clear" w:color="auto" w:fill="FFFFFF"/>
          <w:vertAlign w:val="superscript"/>
        </w:rPr>
        <w:t>st</w:t>
      </w:r>
      <w:r w:rsidRPr="00652743">
        <w:rPr>
          <w:rFonts w:ascii="Times New Roman" w:hAnsi="Times New Roman" w:cs="Times New Roman"/>
          <w:color w:val="222222"/>
          <w:shd w:val="clear" w:color="auto" w:fill="FFFFFF"/>
        </w:rPr>
        <w:t xml:space="preserve"> ed., edited by Paul Slovic (pp. 245-260). Routledge.</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Schively, C. (2007). “Understanding the NIMBY and LULU phenomena: Reassessing our knowledge base and informing future research.” </w:t>
      </w:r>
      <w:r w:rsidRPr="00652743">
        <w:rPr>
          <w:rFonts w:ascii="Times New Roman" w:hAnsi="Times New Roman" w:cs="Times New Roman"/>
          <w:i/>
          <w:iCs/>
          <w:color w:val="222222"/>
          <w:shd w:val="clear" w:color="auto" w:fill="FFFFFF"/>
        </w:rPr>
        <w:t>Journal of planning literature</w:t>
      </w:r>
      <w:r w:rsidRPr="00652743">
        <w:rPr>
          <w:rFonts w:ascii="Times New Roman" w:hAnsi="Times New Roman" w:cs="Times New Roman"/>
          <w:color w:val="222222"/>
          <w:shd w:val="clear" w:color="auto" w:fill="FFFFFF"/>
        </w:rPr>
        <w:t>, 21(3), 255-266.</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Schmidt, M. G. (1996). When parties matter: A review of the possibilities and limits of partisan influence on public policy. European Journal of Political Research, 30(2), 155-183.</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Schudson, M. (2008). The" Lippmann-Dewey Debate" and the Invention of Walter Lippmann as an Anti-Democrat 1985-1996. International Journal of Communication, 2, 12.</w:t>
      </w:r>
    </w:p>
    <w:p w:rsidR="00B52DD2" w:rsidRPr="00652743" w:rsidRDefault="00B52DD2" w:rsidP="00B52DD2">
      <w:pPr>
        <w:pStyle w:val="p1"/>
        <w:spacing w:line="480" w:lineRule="auto"/>
        <w:ind w:left="720" w:hanging="720"/>
        <w:rPr>
          <w:rFonts w:ascii="Times New Roman" w:eastAsia="Times New Roman" w:hAnsi="Times New Roman"/>
          <w:sz w:val="24"/>
          <w:szCs w:val="24"/>
        </w:rPr>
      </w:pPr>
      <w:r w:rsidRPr="00652743">
        <w:rPr>
          <w:rFonts w:ascii="Times New Roman" w:eastAsia="Times New Roman" w:hAnsi="Times New Roman"/>
          <w:color w:val="222222"/>
          <w:sz w:val="24"/>
          <w:szCs w:val="24"/>
          <w:shd w:val="clear" w:color="auto" w:fill="FFFFFF"/>
        </w:rPr>
        <w:t>Shapiro, R. Y., &amp; Bloch-Elkon, Y. (2006, May). Political polarization and the rational public. In annual conference of the American Association for Public Opinion Research, Montreal, Canada.</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lastRenderedPageBreak/>
        <w:t>Shaw, K. (2011). “Climate deadlocks: the environmental politics of energy systems.” Environmental Politics, 20(5), 743-763.</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Shrader-Frechette, K. (2007). </w:t>
      </w:r>
      <w:r w:rsidRPr="00652743">
        <w:rPr>
          <w:rFonts w:ascii="Times New Roman" w:hAnsi="Times New Roman" w:cs="Times New Roman"/>
          <w:i/>
        </w:rPr>
        <w:t>Taking action, saving lives: our duties to protect environmental and public health.</w:t>
      </w:r>
      <w:r w:rsidRPr="00652743">
        <w:rPr>
          <w:rFonts w:ascii="Times New Roman" w:hAnsi="Times New Roman" w:cs="Times New Roman"/>
        </w:rPr>
        <w:t xml:space="preserve"> Oxford University Press.</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Shrader-Frechette, K. (2011). “Fukushima, flawed epistemology, and black-swan events.”</w:t>
      </w:r>
      <w:r w:rsidRPr="00652743">
        <w:rPr>
          <w:rFonts w:ascii="Times New Roman" w:hAnsi="Times New Roman" w:cs="Times New Roman"/>
          <w:i/>
        </w:rPr>
        <w:t> Ethics, Policy &amp; Environment, </w:t>
      </w:r>
      <w:r w:rsidRPr="00652743">
        <w:rPr>
          <w:rFonts w:ascii="Times New Roman" w:hAnsi="Times New Roman" w:cs="Times New Roman"/>
        </w:rPr>
        <w:t>14(3), 267-272.</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Shrader-Frechette, Kristin. 1988. “Producer Risk, Consumer Risk, and Assessing Technological Impacts.” Policy Studies Review 8: 155-64.</w:t>
      </w:r>
    </w:p>
    <w:p w:rsidR="00B52DD2" w:rsidRPr="00652743" w:rsidRDefault="00B52DD2" w:rsidP="00B52DD2">
      <w:pPr>
        <w:spacing w:line="480" w:lineRule="auto"/>
        <w:ind w:left="720" w:hanging="720"/>
        <w:jc w:val="both"/>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Simon, H. A. (1985). Human nature in politics: The dialogue of psychology with political science. American Political Science Review, 79(2), 293-304.</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Sjoberg, Lennart. (2004). “Local Acceptance of a High-Level Nuclear Waste Repository.” Risk Analysis 24(3): 737-749.</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Skocpol, T., &amp; Fiorina, M. P. (Eds.). (2004). Civic engagement in American democracy. Brookings Institution Press.</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Slovic, P. (2010). </w:t>
      </w:r>
      <w:r w:rsidRPr="00652743">
        <w:rPr>
          <w:rFonts w:ascii="Times New Roman" w:hAnsi="Times New Roman" w:cs="Times New Roman"/>
          <w:i/>
          <w:iCs/>
          <w:color w:val="222222"/>
          <w:shd w:val="clear" w:color="auto" w:fill="FFFFFF"/>
        </w:rPr>
        <w:t>The feeling of risk: New perspectives on risk perception</w:t>
      </w:r>
      <w:r w:rsidRPr="00652743">
        <w:rPr>
          <w:rFonts w:ascii="Times New Roman" w:hAnsi="Times New Roman" w:cs="Times New Roman"/>
          <w:color w:val="222222"/>
          <w:shd w:val="clear" w:color="auto" w:fill="FFFFFF"/>
        </w:rPr>
        <w:t>. London: Routledge.</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Slovic, P. (1993). Perceived risk, trust, and democracy. </w:t>
      </w:r>
      <w:r w:rsidRPr="00652743">
        <w:rPr>
          <w:rFonts w:ascii="Times New Roman" w:hAnsi="Times New Roman" w:cs="Times New Roman"/>
          <w:i/>
          <w:color w:val="222222"/>
          <w:shd w:val="clear" w:color="auto" w:fill="FFFFFF"/>
        </w:rPr>
        <w:t>Risk analysis</w:t>
      </w:r>
      <w:r w:rsidRPr="00652743">
        <w:rPr>
          <w:rFonts w:ascii="Times New Roman" w:hAnsi="Times New Roman" w:cs="Times New Roman"/>
          <w:color w:val="222222"/>
          <w:shd w:val="clear" w:color="auto" w:fill="FFFFFF"/>
        </w:rPr>
        <w:t>, 13(6), 675-682.</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Slovic, Paul, Mark Layman, Nancy Kraus, James Flynn, James Chalmers, and Gail Gesell. (1991). “Perceived Risk, Stigma, and Potential Economic Impacts of a High-Level Nuclear Waste Repository in Nevada.” Risk Analysis 11(4): 683-696.</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Slovic, P. (1987). Perception of risk. </w:t>
      </w:r>
      <w:r w:rsidRPr="00652743">
        <w:rPr>
          <w:rFonts w:ascii="Times New Roman" w:hAnsi="Times New Roman" w:cs="Times New Roman"/>
          <w:i/>
          <w:color w:val="222222"/>
          <w:shd w:val="clear" w:color="auto" w:fill="FFFFFF"/>
        </w:rPr>
        <w:t>Science</w:t>
      </w:r>
      <w:r w:rsidRPr="00652743">
        <w:rPr>
          <w:rFonts w:ascii="Times New Roman" w:hAnsi="Times New Roman" w:cs="Times New Roman"/>
          <w:color w:val="222222"/>
          <w:shd w:val="clear" w:color="auto" w:fill="FFFFFF"/>
        </w:rPr>
        <w:t>, 236(4799), 280-285.</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Slovic, P., Fischhoff, B., &amp; Lichtenstein, S. (1984). Perception and acceptability of risk from energy systems. </w:t>
      </w:r>
      <w:r w:rsidRPr="00652743">
        <w:rPr>
          <w:rFonts w:ascii="Times New Roman" w:hAnsi="Times New Roman" w:cs="Times New Roman"/>
          <w:i/>
          <w:iCs/>
          <w:color w:val="222222"/>
          <w:shd w:val="clear" w:color="auto" w:fill="FFFFFF"/>
        </w:rPr>
        <w:t>Advances in environmental psychology</w:t>
      </w:r>
      <w:r w:rsidRPr="00652743">
        <w:rPr>
          <w:rFonts w:ascii="Times New Roman" w:hAnsi="Times New Roman" w:cs="Times New Roman"/>
          <w:color w:val="222222"/>
          <w:shd w:val="clear" w:color="auto" w:fill="FFFFFF"/>
        </w:rPr>
        <w:t>, </w:t>
      </w:r>
      <w:r w:rsidRPr="00652743">
        <w:rPr>
          <w:rFonts w:ascii="Times New Roman" w:hAnsi="Times New Roman" w:cs="Times New Roman"/>
          <w:i/>
          <w:iCs/>
          <w:color w:val="222222"/>
          <w:shd w:val="clear" w:color="auto" w:fill="FFFFFF"/>
        </w:rPr>
        <w:t>3</w:t>
      </w:r>
      <w:r w:rsidRPr="00652743">
        <w:rPr>
          <w:rFonts w:ascii="Times New Roman" w:hAnsi="Times New Roman" w:cs="Times New Roman"/>
          <w:color w:val="222222"/>
          <w:shd w:val="clear" w:color="auto" w:fill="FFFFFF"/>
        </w:rPr>
        <w:t>, 155-169.</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Smith, Z. A. (2015). </w:t>
      </w:r>
      <w:r w:rsidRPr="00652743">
        <w:rPr>
          <w:rFonts w:ascii="Times New Roman" w:hAnsi="Times New Roman" w:cs="Times New Roman"/>
          <w:i/>
          <w:iCs/>
          <w:color w:val="222222"/>
          <w:shd w:val="clear" w:color="auto" w:fill="FFFFFF"/>
        </w:rPr>
        <w:t>The Environmental Policy Paradox.</w:t>
      </w:r>
      <w:r w:rsidRPr="00652743">
        <w:rPr>
          <w:rFonts w:ascii="Times New Roman" w:hAnsi="Times New Roman" w:cs="Times New Roman"/>
          <w:color w:val="222222"/>
          <w:shd w:val="clear" w:color="auto" w:fill="FFFFFF"/>
        </w:rPr>
        <w:t xml:space="preserve"> Routledge.</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lastRenderedPageBreak/>
        <w:t>Soroka, S. N., &amp; Wlezien, C. (2010). Degrees of democracy: Politics, public opinion, and policy. Cambridge University Press.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 xml:space="preserve">Spence, A., Poortinga, W., Pidgeon, N., &amp; Lorenzoni, I. (2010). </w:t>
      </w:r>
      <w:r w:rsidRPr="00652743">
        <w:rPr>
          <w:rFonts w:ascii="Times New Roman" w:hAnsi="Times New Roman" w:cs="Times New Roman"/>
          <w:i/>
          <w:iCs/>
        </w:rPr>
        <w:t>Public perceptions of energy choices: The influence of beliefs about climate change and the environment. Energy &amp; environment</w:t>
      </w:r>
      <w:r w:rsidRPr="00652743">
        <w:rPr>
          <w:rFonts w:ascii="Times New Roman" w:hAnsi="Times New Roman" w:cs="Times New Roman"/>
        </w:rPr>
        <w:t>, 21(5), 385-407.</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Stoker, Gerry. 1998. “Governance as Theory: Five Propositions.” </w:t>
      </w:r>
      <w:r w:rsidRPr="00652743">
        <w:rPr>
          <w:rFonts w:ascii="Times New Roman" w:hAnsi="Times New Roman" w:cs="Times New Roman"/>
          <w:i/>
          <w:iCs/>
        </w:rPr>
        <w:t>International Social Science Journal </w:t>
      </w:r>
      <w:r w:rsidRPr="00652743">
        <w:rPr>
          <w:rFonts w:ascii="Times New Roman" w:hAnsi="Times New Roman" w:cs="Times New Roman"/>
        </w:rPr>
        <w:t>50 (155): 17–28.</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Stoutenborough, J. W., Sturgess, S. G., &amp; Vedlitz, A. (2013). Knowledge, risk, and policy support: Public perceptions of nuclear power. Energy Policy, 62, 176-184.</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Swedlow, B., &amp; Wyckoff, M. L. (2009). Value preferences and ideological structuring of attitudes in American public opinion. </w:t>
      </w:r>
      <w:r w:rsidRPr="00652743">
        <w:rPr>
          <w:rFonts w:ascii="Times New Roman" w:hAnsi="Times New Roman" w:cs="Times New Roman"/>
          <w:i/>
        </w:rPr>
        <w:t>American Politics Research</w:t>
      </w:r>
      <w:r w:rsidRPr="00652743">
        <w:rPr>
          <w:rFonts w:ascii="Times New Roman" w:hAnsi="Times New Roman" w:cs="Times New Roman"/>
        </w:rPr>
        <w:t>, 37(6), 1048-1087.</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Thompson, M., Ellis, R., &amp; Wildavsky, A. (1990). Cultural theory. Boulder, CO: Westview Press.</w:t>
      </w:r>
    </w:p>
    <w:p w:rsidR="00B52DD2" w:rsidRPr="00652743" w:rsidRDefault="00B52DD2" w:rsidP="00B52DD2">
      <w:pPr>
        <w:spacing w:line="480" w:lineRule="auto"/>
        <w:ind w:left="720" w:hanging="720"/>
        <w:jc w:val="both"/>
        <w:rPr>
          <w:rFonts w:ascii="Times New Roman" w:hAnsi="Times New Roman" w:cs="Times New Roman"/>
        </w:rPr>
      </w:pPr>
      <w:r w:rsidRPr="00652743">
        <w:rPr>
          <w:rFonts w:ascii="Times New Roman" w:hAnsi="Times New Roman" w:cs="Times New Roman"/>
        </w:rPr>
        <w:t>Treier, S., &amp; Hillygus, D. S. (2009). The nature of political ideology in the contemporary electorate. </w:t>
      </w:r>
      <w:r w:rsidRPr="00652743">
        <w:rPr>
          <w:rFonts w:ascii="Times New Roman" w:hAnsi="Times New Roman" w:cs="Times New Roman"/>
          <w:i/>
        </w:rPr>
        <w:t>Public Opinion Quarterly</w:t>
      </w:r>
      <w:r w:rsidRPr="00652743">
        <w:rPr>
          <w:rFonts w:ascii="Times New Roman" w:hAnsi="Times New Roman" w:cs="Times New Roman"/>
        </w:rPr>
        <w:t>, 73(4), 679-703.</w:t>
      </w:r>
    </w:p>
    <w:p w:rsidR="00B52DD2" w:rsidRPr="00B8168F" w:rsidRDefault="00B52DD2" w:rsidP="00B52DD2">
      <w:pPr>
        <w:spacing w:line="480" w:lineRule="auto"/>
        <w:ind w:left="720" w:hanging="720"/>
        <w:rPr>
          <w:rFonts w:ascii="Times New Roman" w:hAnsi="Times New Roman" w:cs="Times New Roman"/>
          <w:color w:val="222222"/>
          <w:shd w:val="clear" w:color="auto" w:fill="FFFFFF"/>
        </w:rPr>
      </w:pPr>
      <w:r w:rsidRPr="00B8168F">
        <w:rPr>
          <w:rFonts w:ascii="Times New Roman" w:hAnsi="Times New Roman" w:cs="Times New Roman"/>
          <w:color w:val="222222"/>
          <w:shd w:val="clear" w:color="auto" w:fill="FFFFFF"/>
        </w:rPr>
        <w:t>Tucker, H. J., Vedlitz, A., &amp; DeNardo, J. (1986). Does heavy turnout help Democrats in presidential elections?. The American Political Science Review, 1291-1304.</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Tversky, A., &amp; Kahneman, D. (1974). Judgment under uncertainty: Heuristics and biases. Science, 185(4157), 1124-1131.</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 xml:space="preserve">U.S. Census Bureau, Statistical Abstract of the United States: 2012. “Participation in Elections for President and U.S. Representatives.” Retrieved from: </w:t>
      </w:r>
      <w:hyperlink r:id="rId51" w:history="1">
        <w:r w:rsidRPr="00652743">
          <w:rPr>
            <w:rStyle w:val="Hyperlink"/>
            <w:rFonts w:ascii="Times New Roman" w:hAnsi="Times New Roman" w:cs="Times New Roman"/>
          </w:rPr>
          <w:t>https://www2.census.gov/library/publications/2011/compendia/statab/131ed/tables/election.pdf</w:t>
        </w:r>
      </w:hyperlink>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lastRenderedPageBreak/>
        <w:t xml:space="preserve">U.S. Energy Information Administration (EIA). “Total Energy Consumption” Available at </w:t>
      </w:r>
      <w:hyperlink r:id="rId52" w:history="1">
        <w:r w:rsidRPr="00652743">
          <w:rPr>
            <w:rStyle w:val="Hyperlink"/>
            <w:rFonts w:ascii="Times New Roman" w:hAnsi="Times New Roman" w:cs="Times New Roman"/>
          </w:rPr>
          <w:t>https://www.eia.gov/totalenergy/data/monthly/pdf/sec1_7.pdf</w:t>
        </w:r>
      </w:hyperlink>
      <w:r w:rsidRPr="00652743">
        <w:rPr>
          <w:rFonts w:ascii="Times New Roman" w:hAnsi="Times New Roman" w:cs="Times New Roman"/>
        </w:rPr>
        <w:t>.</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 xml:space="preserve">U.S. Government Accountability Office. 2020. </w:t>
      </w:r>
      <w:r w:rsidRPr="00652743">
        <w:rPr>
          <w:rFonts w:ascii="Times New Roman" w:hAnsi="Times New Roman" w:cs="Times New Roman"/>
          <w:i/>
        </w:rPr>
        <w:t>Disposal of High Level Nuclear Waste</w:t>
      </w:r>
      <w:r w:rsidRPr="00652743">
        <w:rPr>
          <w:rFonts w:ascii="Times New Roman" w:hAnsi="Times New Roman" w:cs="Times New Roman"/>
        </w:rPr>
        <w:t xml:space="preserve">. Retrieved on January 10, 2020 </w:t>
      </w:r>
      <w:hyperlink r:id="rId53" w:anchor="t=0" w:history="1">
        <w:r w:rsidRPr="00652743">
          <w:rPr>
            <w:rStyle w:val="Hyperlink"/>
            <w:rFonts w:ascii="Times New Roman" w:hAnsi="Times New Roman" w:cs="Times New Roman"/>
          </w:rPr>
          <w:t>https://www.gao.gov/key_issues/disposal_of_highlevel_nuclear_waste/issue_summary#t=0</w:t>
        </w:r>
      </w:hyperlink>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 xml:space="preserve">U.S. Government Accountability Office. 2018. </w:t>
      </w:r>
      <w:r w:rsidRPr="00652743">
        <w:rPr>
          <w:rFonts w:ascii="Times New Roman" w:hAnsi="Times New Roman" w:cs="Times New Roman"/>
          <w:i/>
        </w:rPr>
        <w:t>Disposal of High Level Nuclear Waste</w:t>
      </w:r>
      <w:r w:rsidRPr="00652743">
        <w:rPr>
          <w:rFonts w:ascii="Times New Roman" w:hAnsi="Times New Roman" w:cs="Times New Roman"/>
        </w:rPr>
        <w:t xml:space="preserve">. Retrieved on December 10, 2018 </w:t>
      </w:r>
      <w:hyperlink r:id="rId54" w:anchor="t=0" w:history="1">
        <w:r w:rsidRPr="00652743">
          <w:rPr>
            <w:rStyle w:val="Hyperlink"/>
            <w:rFonts w:ascii="Times New Roman" w:hAnsi="Times New Roman" w:cs="Times New Roman"/>
          </w:rPr>
          <w:t>https://www.gao.gov/key_issues/disposal_of_highlevel_nuclear_waste/issue_summary#t=0</w:t>
        </w:r>
      </w:hyperlink>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 xml:space="preserve">U.S. Nuclear Regulatory Commission. (2018). </w:t>
      </w:r>
      <w:r w:rsidRPr="00652743">
        <w:rPr>
          <w:rFonts w:ascii="Times New Roman" w:hAnsi="Times New Roman" w:cs="Times New Roman"/>
          <w:i/>
          <w:iCs/>
        </w:rPr>
        <w:t xml:space="preserve">Backgrounder on Licensing Yucca Mountain. </w:t>
      </w:r>
      <w:r w:rsidRPr="00652743">
        <w:rPr>
          <w:rFonts w:ascii="Times New Roman" w:hAnsi="Times New Roman" w:cs="Times New Roman"/>
        </w:rPr>
        <w:t xml:space="preserve">Retrieved from: </w:t>
      </w:r>
      <w:hyperlink r:id="rId55" w:history="1">
        <w:r w:rsidRPr="00652743">
          <w:rPr>
            <w:rStyle w:val="Hyperlink"/>
            <w:rFonts w:ascii="Times New Roman" w:hAnsi="Times New Roman" w:cs="Times New Roman"/>
          </w:rPr>
          <w:t>https://www.nrc.gov/reading-rm/doc-collections/fact-sheets/yucca-license-review.html</w:t>
        </w:r>
      </w:hyperlink>
      <w:r w:rsidRPr="00652743">
        <w:rPr>
          <w:rFonts w:ascii="Times New Roman" w:hAnsi="Times New Roman" w:cs="Times New Roman"/>
        </w:rPr>
        <w:t xml:space="preserve"> </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Van der Brug, W. (2001). Perceptions, opinions and party preferences in the face of a real world event: Chernobyl as a natural experiment in political psychology. </w:t>
      </w:r>
      <w:r w:rsidRPr="00652743">
        <w:rPr>
          <w:rFonts w:ascii="Times New Roman" w:hAnsi="Times New Roman" w:cs="Times New Roman"/>
          <w:i/>
          <w:iCs/>
        </w:rPr>
        <w:t>Journal of Theoretical Politics</w:t>
      </w:r>
      <w:r w:rsidRPr="00652743">
        <w:rPr>
          <w:rFonts w:ascii="Times New Roman" w:hAnsi="Times New Roman" w:cs="Times New Roman"/>
        </w:rPr>
        <w:t>, 13(1), 53-80.</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Verba, S., Schlozman, K. L., &amp; Brady, H. E. (1995). </w:t>
      </w:r>
      <w:r w:rsidRPr="00652743">
        <w:rPr>
          <w:rFonts w:ascii="Times New Roman" w:hAnsi="Times New Roman" w:cs="Times New Roman"/>
          <w:i/>
          <w:iCs/>
        </w:rPr>
        <w:t>Voice and equality: Civic voluntarism in American politics.</w:t>
      </w:r>
      <w:r w:rsidRPr="00652743">
        <w:rPr>
          <w:rFonts w:ascii="Times New Roman" w:hAnsi="Times New Roman" w:cs="Times New Roman"/>
        </w:rPr>
        <w:t xml:space="preserve"> Harvard University Press.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Verbruggen, A. (2008). Renewable and nuclear power: A common future?. </w:t>
      </w:r>
      <w:r w:rsidRPr="00652743">
        <w:rPr>
          <w:rFonts w:ascii="Times New Roman" w:hAnsi="Times New Roman" w:cs="Times New Roman"/>
          <w:i/>
          <w:iCs/>
        </w:rPr>
        <w:t>Energy Policy</w:t>
      </w:r>
      <w:r w:rsidRPr="00652743">
        <w:rPr>
          <w:rFonts w:ascii="Times New Roman" w:hAnsi="Times New Roman" w:cs="Times New Roman"/>
        </w:rPr>
        <w:t>, 36(11), 4036-4047.</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Verweij, Marco. 2011. Clumsy Solutions for a Wicked World: How to Improve Global Governance. New York: Palgrave.</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lastRenderedPageBreak/>
        <w:t>Visschers, V. H., &amp; Siegrist, M. (2013). How a nuclear power plant accident influences acceptance of nuclear power: Results of a longitudinal study before and after the Fukushima disaster. </w:t>
      </w:r>
      <w:r w:rsidRPr="00652743">
        <w:rPr>
          <w:rFonts w:ascii="Times New Roman" w:hAnsi="Times New Roman" w:cs="Times New Roman"/>
          <w:i/>
          <w:iCs/>
        </w:rPr>
        <w:t>Risk Analysis: An International Journal</w:t>
      </w:r>
      <w:r w:rsidRPr="00652743">
        <w:rPr>
          <w:rFonts w:ascii="Times New Roman" w:hAnsi="Times New Roman" w:cs="Times New Roman"/>
        </w:rPr>
        <w:t>, 33(2), 333-347.</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Visschers, V. H., Keller, C., &amp; Siegrist, M. (2011). Climate change benefits and energy supply benefits as determinants of acceptance of nuclear power stations: Investigating an explanatory model. </w:t>
      </w:r>
      <w:r w:rsidRPr="00652743">
        <w:rPr>
          <w:rFonts w:ascii="Times New Roman" w:hAnsi="Times New Roman" w:cs="Times New Roman"/>
          <w:i/>
          <w:iCs/>
        </w:rPr>
        <w:t>Energy policy</w:t>
      </w:r>
      <w:r w:rsidRPr="00652743">
        <w:rPr>
          <w:rFonts w:ascii="Times New Roman" w:hAnsi="Times New Roman" w:cs="Times New Roman"/>
        </w:rPr>
        <w:t>, 39(6), 3621-3629.</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Walker, G., Devine-Wright, P., Hunter, S., High, H., &amp; Evans, B. (2010). Trust and community: Exploring the meanings, contexts and dynamics of community renewable energy. </w:t>
      </w:r>
      <w:r w:rsidRPr="00652743">
        <w:rPr>
          <w:rFonts w:ascii="Times New Roman" w:hAnsi="Times New Roman" w:cs="Times New Roman"/>
          <w:i/>
          <w:iCs/>
        </w:rPr>
        <w:t>Energy policy</w:t>
      </w:r>
      <w:r w:rsidRPr="00652743">
        <w:rPr>
          <w:rFonts w:ascii="Times New Roman" w:hAnsi="Times New Roman" w:cs="Times New Roman"/>
        </w:rPr>
        <w:t>, 38(6), 2655-2663.</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Weible, C. M., &amp; Carter, D. P. (2017). Advancing policy process research at its overlap with public management scholarship and nonprofit and voluntary action studies. </w:t>
      </w:r>
      <w:r w:rsidRPr="00652743">
        <w:rPr>
          <w:rFonts w:ascii="Times New Roman" w:hAnsi="Times New Roman" w:cs="Times New Roman"/>
          <w:i/>
          <w:iCs/>
          <w:color w:val="222222"/>
          <w:shd w:val="clear" w:color="auto" w:fill="FFFFFF"/>
        </w:rPr>
        <w:t>Policy Studies Journal</w:t>
      </w:r>
      <w:r w:rsidRPr="00652743">
        <w:rPr>
          <w:rFonts w:ascii="Times New Roman" w:hAnsi="Times New Roman" w:cs="Times New Roman"/>
          <w:color w:val="222222"/>
          <w:shd w:val="clear" w:color="auto" w:fill="FFFFFF"/>
        </w:rPr>
        <w:t>, 45(1), 22-49.</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Wildavsky, A. 1987. “Choosing Preferences by Constructing Institutions: A Cultural Theory of Preference Formation.” American Political Science Review 81: 4–21.</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Williams, B. L., Brown, S., Greenberg, M., &amp; Kahn, M. A. (1999). “Risk perception in context: The Savannah River site stakeholder study.” Risk Analysis, 19(6), 1019-1035.</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Wilson, J. Q. (1984). “The politics of regulation.” T. Ferguson, &amp; J. Rogers, The Political economy: readings in the politics and economics of American Public Policy, 82-103.</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Wilson, J. Q. (1995). Political organizations. Princeton: Princeton University Press.</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Wilson, J. Q., DiIulio Jr, J. J., Bose, M., &amp; Levendusky, M. S. (2018). American government: Institutions and policies. Cengage Learning.</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Wiseman, H. V. (1966). Political systems; some sociological approaches.</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lastRenderedPageBreak/>
        <w:t>Wolfe, A. (1998). One nation, after all: How middle-class Americans really think about: God, country, family, racism, welfare, immigration, homosexuality, work, the right, the left, and each other. Viking.</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Wolfinger, R. E., Rosenstone, S. J., &amp; McIntosh, R. A. (1981). Presidential and congressional voters compared. </w:t>
      </w:r>
      <w:r w:rsidRPr="00652743">
        <w:rPr>
          <w:rFonts w:ascii="Times New Roman" w:hAnsi="Times New Roman" w:cs="Times New Roman"/>
          <w:i/>
          <w:iCs/>
          <w:color w:val="222222"/>
          <w:shd w:val="clear" w:color="auto" w:fill="FFFFFF"/>
        </w:rPr>
        <w:t>American Politics Quarterly</w:t>
      </w:r>
      <w:r w:rsidRPr="00652743">
        <w:rPr>
          <w:rFonts w:ascii="Times New Roman" w:hAnsi="Times New Roman" w:cs="Times New Roman"/>
          <w:color w:val="222222"/>
          <w:shd w:val="clear" w:color="auto" w:fill="FFFFFF"/>
        </w:rPr>
        <w:t>, 9(2), 245-256.</w:t>
      </w:r>
    </w:p>
    <w:p w:rsidR="00B52DD2" w:rsidRPr="00652743" w:rsidRDefault="00B52DD2" w:rsidP="00B52DD2">
      <w:pPr>
        <w:spacing w:line="480" w:lineRule="auto"/>
        <w:ind w:left="720" w:hanging="720"/>
        <w:rPr>
          <w:rFonts w:ascii="Times New Roman" w:hAnsi="Times New Roman" w:cs="Times New Roman"/>
          <w:color w:val="222222"/>
          <w:shd w:val="clear" w:color="auto" w:fill="FFFFFF"/>
        </w:rPr>
      </w:pPr>
      <w:r w:rsidRPr="00652743">
        <w:rPr>
          <w:rFonts w:ascii="Times New Roman" w:hAnsi="Times New Roman" w:cs="Times New Roman"/>
          <w:color w:val="222222"/>
          <w:shd w:val="clear" w:color="auto" w:fill="FFFFFF"/>
        </w:rPr>
        <w:t>Wolsink, Maarten. 2007. “Wind Power Implementation: The Nature of Public Attitudes: Equity and Fairness Instead of 'Backyard Motives'.” Renewable and Sustainable Energy Reviews 11(6): 1188-1207.</w:t>
      </w:r>
    </w:p>
    <w:p w:rsidR="00B52DD2" w:rsidRPr="00652743"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rPr>
        <w:t>Zaller, J. R. (1992). </w:t>
      </w:r>
      <w:r w:rsidRPr="00652743">
        <w:rPr>
          <w:rFonts w:ascii="Times New Roman" w:hAnsi="Times New Roman" w:cs="Times New Roman"/>
          <w:i/>
          <w:iCs/>
        </w:rPr>
        <w:t>The nature and origins of mass opinion</w:t>
      </w:r>
      <w:r w:rsidRPr="00652743">
        <w:rPr>
          <w:rFonts w:ascii="Times New Roman" w:hAnsi="Times New Roman" w:cs="Times New Roman"/>
        </w:rPr>
        <w:t>. Cambridge university press.</w:t>
      </w:r>
    </w:p>
    <w:p w:rsidR="00150C36" w:rsidRPr="00B52DD2" w:rsidRDefault="00B52DD2" w:rsidP="00B52DD2">
      <w:pPr>
        <w:spacing w:line="480" w:lineRule="auto"/>
        <w:ind w:left="720" w:hanging="720"/>
        <w:rPr>
          <w:rFonts w:ascii="Times New Roman" w:hAnsi="Times New Roman" w:cs="Times New Roman"/>
        </w:rPr>
      </w:pPr>
      <w:r w:rsidRPr="00652743">
        <w:rPr>
          <w:rFonts w:ascii="Times New Roman" w:hAnsi="Times New Roman" w:cs="Times New Roman"/>
          <w:color w:val="222222"/>
          <w:shd w:val="clear" w:color="auto" w:fill="FFFFFF"/>
        </w:rPr>
        <w:t>Zukin, C., Keeter, S., Andolina, M., Jenkins, K., &amp; Carpini, M. X. D. (2006). A new engagement?: Political participation, civic life, and the changing American citizen. Oxford University Press.</w:t>
      </w:r>
    </w:p>
    <w:sectPr w:rsidR="00150C36" w:rsidRPr="00B52DD2" w:rsidSect="00B52DD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63D00" w:rsidRDefault="00C63D00" w:rsidP="00B52DD2">
      <w:r>
        <w:separator/>
      </w:r>
    </w:p>
  </w:endnote>
  <w:endnote w:type="continuationSeparator" w:id="0">
    <w:p w:rsidR="00C63D00" w:rsidRDefault="00C63D00" w:rsidP="00B52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63D00" w:rsidRDefault="00C63D00" w:rsidP="00B52DD2">
      <w:r>
        <w:separator/>
      </w:r>
    </w:p>
  </w:footnote>
  <w:footnote w:type="continuationSeparator" w:id="0">
    <w:p w:rsidR="00C63D00" w:rsidRDefault="00C63D00" w:rsidP="00B52DD2">
      <w:r>
        <w:continuationSeparator/>
      </w:r>
    </w:p>
  </w:footnote>
  <w:footnote w:id="1">
    <w:p w:rsidR="00150C36" w:rsidRDefault="00150C36" w:rsidP="00B52DD2">
      <w:pPr>
        <w:pStyle w:val="FootnoteText"/>
        <w:spacing w:line="360" w:lineRule="auto"/>
      </w:pPr>
      <w:r>
        <w:rPr>
          <w:rStyle w:val="FootnoteReference"/>
        </w:rPr>
        <w:footnoteRef/>
      </w:r>
      <w:r>
        <w:t xml:space="preserve"> </w:t>
      </w:r>
      <w:r w:rsidRPr="005F4438">
        <w:rPr>
          <w:sz w:val="20"/>
          <w:szCs w:val="20"/>
        </w:rPr>
        <w:t>Two other disposal options – submergence in the deep seabed and launching the highly radioactive materials into space (or the sun) – have been widely rejected as unacceptable to the international community or too risky (National Research Council 2001).</w:t>
      </w:r>
    </w:p>
  </w:footnote>
  <w:footnote w:id="2">
    <w:p w:rsidR="00150C36" w:rsidRPr="00D96F4F" w:rsidRDefault="00150C36" w:rsidP="00B52DD2">
      <w:pPr>
        <w:rPr>
          <w:rFonts w:eastAsia="Times New Roman"/>
        </w:rPr>
      </w:pPr>
      <w:r>
        <w:rPr>
          <w:rStyle w:val="FootnoteReference"/>
        </w:rPr>
        <w:footnoteRef/>
      </w:r>
      <w:r w:rsidRPr="00D96F4F">
        <w:rPr>
          <w:sz w:val="20"/>
          <w:szCs w:val="20"/>
        </w:rPr>
        <w:t xml:space="preserve"> </w:t>
      </w:r>
      <w:r w:rsidRPr="006D1054">
        <w:rPr>
          <w:rFonts w:ascii="Times New Roman" w:hAnsi="Times New Roman" w:cs="Times New Roman"/>
          <w:sz w:val="20"/>
          <w:szCs w:val="20"/>
        </w:rPr>
        <w:t xml:space="preserve">The figure is borrowed from </w:t>
      </w:r>
      <w:r w:rsidRPr="006D1054">
        <w:rPr>
          <w:rFonts w:ascii="Times New Roman" w:eastAsia="Times New Roman" w:hAnsi="Times New Roman" w:cs="Times New Roman"/>
          <w:color w:val="222222"/>
          <w:sz w:val="20"/>
          <w:szCs w:val="20"/>
          <w:shd w:val="clear" w:color="auto" w:fill="FFFFFF"/>
        </w:rPr>
        <w:t>Shaw, L. E., &amp; Pierce, J. C. (Eds.). (1970). Readings on the American political system. D.C. Heath and Company.</w:t>
      </w:r>
    </w:p>
  </w:footnote>
  <w:footnote w:id="3">
    <w:p w:rsidR="00150C36" w:rsidRPr="009E5790" w:rsidRDefault="00150C36" w:rsidP="00B52DD2">
      <w:pPr>
        <w:jc w:val="both"/>
        <w:rPr>
          <w:rFonts w:ascii="Times New Roman" w:hAnsi="Times New Roman" w:cs="Times New Roman"/>
          <w:sz w:val="20"/>
          <w:szCs w:val="20"/>
        </w:rPr>
      </w:pPr>
      <w:r>
        <w:rPr>
          <w:rStyle w:val="FootnoteReference"/>
        </w:rPr>
        <w:footnoteRef/>
      </w:r>
      <w:r>
        <w:t xml:space="preserve"> </w:t>
      </w:r>
      <w:r w:rsidRPr="006D1054">
        <w:rPr>
          <w:rFonts w:ascii="Times New Roman" w:hAnsi="Times New Roman" w:cs="Times New Roman"/>
          <w:sz w:val="20"/>
          <w:szCs w:val="20"/>
        </w:rPr>
        <w:t>The figure is borrowed from</w:t>
      </w:r>
      <w:r w:rsidRPr="009E5790">
        <w:rPr>
          <w:rFonts w:ascii="Times New Roman" w:hAnsi="Times New Roman" w:cs="Times New Roman"/>
          <w:sz w:val="20"/>
          <w:szCs w:val="20"/>
        </w:rPr>
        <w:t xml:space="preserve"> Cairney, P. (2012). </w:t>
      </w:r>
      <w:r w:rsidRPr="009E5790">
        <w:rPr>
          <w:rFonts w:ascii="Times New Roman" w:hAnsi="Times New Roman" w:cs="Times New Roman"/>
          <w:i/>
          <w:iCs/>
          <w:sz w:val="20"/>
          <w:szCs w:val="20"/>
        </w:rPr>
        <w:t>Understanding public policy: Theories and issues</w:t>
      </w:r>
      <w:r w:rsidRPr="009E5790">
        <w:rPr>
          <w:rFonts w:ascii="Times New Roman" w:hAnsi="Times New Roman" w:cs="Times New Roman"/>
          <w:sz w:val="20"/>
          <w:szCs w:val="20"/>
        </w:rPr>
        <w:t>. Palgrave Macmillan.</w:t>
      </w:r>
    </w:p>
    <w:p w:rsidR="00150C36" w:rsidRDefault="00150C36" w:rsidP="00B52DD2">
      <w:pPr>
        <w:pStyle w:val="FootnoteText"/>
      </w:pPr>
    </w:p>
  </w:footnote>
  <w:footnote w:id="4">
    <w:p w:rsidR="00150C36" w:rsidRDefault="00150C36" w:rsidP="00B52DD2">
      <w:pPr>
        <w:pStyle w:val="FootnoteText"/>
      </w:pPr>
      <w:r>
        <w:rPr>
          <w:rStyle w:val="FootnoteReference"/>
        </w:rPr>
        <w:footnoteRef/>
      </w:r>
      <w:r>
        <w:t xml:space="preserve"> </w:t>
      </w:r>
      <w:r w:rsidRPr="00E464B9">
        <w:rPr>
          <w:sz w:val="20"/>
          <w:szCs w:val="20"/>
        </w:rPr>
        <w:t xml:space="preserve">I </w:t>
      </w:r>
      <w:r w:rsidRPr="00E464B9">
        <w:rPr>
          <w:rFonts w:eastAsia="Garamond"/>
          <w:sz w:val="20"/>
          <w:szCs w:val="20"/>
        </w:rPr>
        <w:t xml:space="preserve">detail the measurement of </w:t>
      </w:r>
      <w:r>
        <w:rPr>
          <w:rFonts w:eastAsia="Garamond"/>
          <w:sz w:val="20"/>
          <w:szCs w:val="20"/>
        </w:rPr>
        <w:t xml:space="preserve">all </w:t>
      </w:r>
      <w:r w:rsidRPr="00E464B9">
        <w:rPr>
          <w:rFonts w:eastAsia="Garamond"/>
          <w:sz w:val="20"/>
          <w:szCs w:val="20"/>
        </w:rPr>
        <w:t xml:space="preserve">the key independent and dependent variables in </w:t>
      </w:r>
      <w:r>
        <w:rPr>
          <w:rFonts w:eastAsia="Garamond"/>
          <w:sz w:val="20"/>
          <w:szCs w:val="20"/>
        </w:rPr>
        <w:t>3-A1 as an appendix to this chapter</w:t>
      </w:r>
      <w:r w:rsidRPr="00E464B9">
        <w:rPr>
          <w:rFonts w:eastAsia="Garamond"/>
          <w:sz w:val="20"/>
          <w:szCs w:val="20"/>
        </w:rPr>
        <w:t>.</w:t>
      </w:r>
    </w:p>
  </w:footnote>
  <w:footnote w:id="5">
    <w:p w:rsidR="00150C36" w:rsidRPr="004C1586" w:rsidRDefault="00150C36" w:rsidP="00B52DD2">
      <w:pPr>
        <w:pStyle w:val="FootnoteText"/>
        <w:jc w:val="both"/>
        <w:rPr>
          <w:sz w:val="20"/>
          <w:szCs w:val="20"/>
        </w:rPr>
      </w:pPr>
      <w:r>
        <w:rPr>
          <w:rStyle w:val="FootnoteReference"/>
        </w:rPr>
        <w:footnoteRef/>
      </w:r>
      <w:r>
        <w:t xml:space="preserve"> </w:t>
      </w:r>
      <w:r w:rsidRPr="004C1586">
        <w:rPr>
          <w:sz w:val="20"/>
          <w:szCs w:val="20"/>
        </w:rPr>
        <w:t xml:space="preserve">As it can be seen from figure </w:t>
      </w:r>
      <w:r>
        <w:rPr>
          <w:sz w:val="20"/>
          <w:szCs w:val="20"/>
        </w:rPr>
        <w:t>3-</w:t>
      </w:r>
      <w:r w:rsidRPr="004C1586">
        <w:rPr>
          <w:sz w:val="20"/>
          <w:szCs w:val="20"/>
        </w:rPr>
        <w:t xml:space="preserve">5 data for </w:t>
      </w:r>
      <w:r w:rsidRPr="00255F0E">
        <w:rPr>
          <w:sz w:val="20"/>
          <w:szCs w:val="20"/>
        </w:rPr>
        <w:t xml:space="preserve">SNF </w:t>
      </w:r>
      <w:r w:rsidRPr="004C1586">
        <w:rPr>
          <w:sz w:val="20"/>
          <w:szCs w:val="20"/>
        </w:rPr>
        <w:t xml:space="preserve">interim </w:t>
      </w:r>
      <w:r w:rsidRPr="00255F0E">
        <w:rPr>
          <w:sz w:val="20"/>
          <w:szCs w:val="20"/>
        </w:rPr>
        <w:t xml:space="preserve">storage option is collected since 2013 </w:t>
      </w:r>
      <w:r>
        <w:rPr>
          <w:sz w:val="20"/>
          <w:szCs w:val="20"/>
        </w:rPr>
        <w:t>onwards</w:t>
      </w:r>
      <w:r w:rsidRPr="004C1586">
        <w:rPr>
          <w:sz w:val="20"/>
          <w:szCs w:val="20"/>
        </w:rPr>
        <w:t>.</w:t>
      </w:r>
      <w:r>
        <w:rPr>
          <w:sz w:val="20"/>
          <w:szCs w:val="20"/>
        </w:rPr>
        <w:t xml:space="preserve"> That is not an issue for the analysis, since the principal dependent variable of interest is respondents’ preference between SNF deep geologic versus onsite storage options.</w:t>
      </w:r>
    </w:p>
  </w:footnote>
  <w:footnote w:id="6">
    <w:p w:rsidR="00150C36" w:rsidRPr="003B35F1" w:rsidRDefault="00150C36" w:rsidP="00B52DD2">
      <w:pPr>
        <w:pStyle w:val="FootnoteText"/>
        <w:jc w:val="both"/>
        <w:rPr>
          <w:sz w:val="20"/>
          <w:szCs w:val="20"/>
        </w:rPr>
      </w:pPr>
      <w:r>
        <w:rPr>
          <w:rStyle w:val="FootnoteReference"/>
        </w:rPr>
        <w:footnoteRef/>
      </w:r>
      <w:r>
        <w:t xml:space="preserve"> </w:t>
      </w:r>
      <w:r w:rsidRPr="003B35F1">
        <w:rPr>
          <w:sz w:val="20"/>
          <w:szCs w:val="20"/>
        </w:rPr>
        <w:t xml:space="preserve">For </w:t>
      </w:r>
      <w:r>
        <w:rPr>
          <w:sz w:val="20"/>
          <w:szCs w:val="20"/>
        </w:rPr>
        <w:t xml:space="preserve">some time periods no data has been collected for this category. For such situations the recommended course of action is data interpolation at the average values of the series </w:t>
      </w:r>
      <w:r w:rsidRPr="003B35F1">
        <w:rPr>
          <w:sz w:val="20"/>
          <w:szCs w:val="20"/>
        </w:rPr>
        <w:t>(Box et al. 1994; Chatfield 2013).</w:t>
      </w:r>
      <w:r>
        <w:rPr>
          <w:sz w:val="20"/>
          <w:szCs w:val="20"/>
        </w:rPr>
        <w:t xml:space="preserve"> This is not an ideal course of action, yet it is considered satisfactory for modeling reasons (</w:t>
      </w:r>
      <w:r w:rsidRPr="003B35F1">
        <w:rPr>
          <w:sz w:val="20"/>
          <w:szCs w:val="20"/>
        </w:rPr>
        <w:t>Chatfield 201</w:t>
      </w:r>
      <w:r>
        <w:rPr>
          <w:sz w:val="20"/>
          <w:szCs w:val="20"/>
        </w:rPr>
        <w:t xml:space="preserve">3). </w:t>
      </w:r>
    </w:p>
  </w:footnote>
  <w:footnote w:id="7">
    <w:p w:rsidR="00150C36" w:rsidRDefault="00150C36" w:rsidP="00B52DD2">
      <w:pPr>
        <w:pStyle w:val="FootnoteText"/>
      </w:pPr>
      <w:r>
        <w:rPr>
          <w:rStyle w:val="FootnoteReference"/>
        </w:rPr>
        <w:footnoteRef/>
      </w:r>
      <w:r>
        <w:t xml:space="preserve"> </w:t>
      </w:r>
      <w:r w:rsidRPr="00FC40B8">
        <w:rPr>
          <w:sz w:val="20"/>
          <w:szCs w:val="20"/>
        </w:rPr>
        <w:t>Table 3-B1 as</w:t>
      </w:r>
      <w:r>
        <w:rPr>
          <w:sz w:val="20"/>
          <w:szCs w:val="20"/>
        </w:rPr>
        <w:t xml:space="preserve"> an appendix to this chapter </w:t>
      </w:r>
      <w:r w:rsidRPr="009E2209">
        <w:rPr>
          <w:sz w:val="20"/>
          <w:szCs w:val="20"/>
        </w:rPr>
        <w:t>presents the results of ADCF Tests for all the variables before and after differencing when appropriate.</w:t>
      </w:r>
    </w:p>
  </w:footnote>
  <w:footnote w:id="8">
    <w:p w:rsidR="00150C36" w:rsidRPr="007A47D3" w:rsidRDefault="00150C36" w:rsidP="00B52DD2">
      <w:pPr>
        <w:pStyle w:val="FootnoteText"/>
        <w:rPr>
          <w:sz w:val="20"/>
          <w:szCs w:val="20"/>
        </w:rPr>
      </w:pPr>
      <w:r>
        <w:rPr>
          <w:rStyle w:val="FootnoteReference"/>
        </w:rPr>
        <w:footnoteRef/>
      </w:r>
      <w:r>
        <w:t xml:space="preserve"> </w:t>
      </w:r>
      <w:r w:rsidRPr="007A47D3">
        <w:rPr>
          <w:sz w:val="20"/>
          <w:szCs w:val="20"/>
        </w:rPr>
        <w:t xml:space="preserve">Table 3-C1 presented as an appendix to this chapter </w:t>
      </w:r>
      <w:r>
        <w:rPr>
          <w:sz w:val="20"/>
          <w:szCs w:val="20"/>
        </w:rPr>
        <w:t>shows the</w:t>
      </w:r>
      <w:r w:rsidRPr="007A47D3">
        <w:rPr>
          <w:sz w:val="20"/>
          <w:szCs w:val="20"/>
        </w:rPr>
        <w:t xml:space="preserve"> correlation coefficient</w:t>
      </w:r>
      <w:r>
        <w:rPr>
          <w:sz w:val="20"/>
          <w:szCs w:val="20"/>
        </w:rPr>
        <w:t>s</w:t>
      </w:r>
      <w:r w:rsidRPr="007A47D3">
        <w:rPr>
          <w:sz w:val="20"/>
          <w:szCs w:val="20"/>
        </w:rPr>
        <w:t xml:space="preserve"> between the </w:t>
      </w:r>
      <w:r>
        <w:rPr>
          <w:sz w:val="20"/>
          <w:szCs w:val="20"/>
        </w:rPr>
        <w:t xml:space="preserve">risk and SNF policy preference </w:t>
      </w:r>
      <w:r w:rsidRPr="007A47D3">
        <w:rPr>
          <w:sz w:val="20"/>
          <w:szCs w:val="20"/>
        </w:rPr>
        <w:t xml:space="preserve">series </w:t>
      </w:r>
      <w:r>
        <w:rPr>
          <w:sz w:val="20"/>
          <w:szCs w:val="20"/>
        </w:rPr>
        <w:t>by</w:t>
      </w:r>
      <w:r w:rsidRPr="007A47D3">
        <w:rPr>
          <w:sz w:val="20"/>
          <w:szCs w:val="20"/>
        </w:rPr>
        <w:t xml:space="preserve"> lag</w:t>
      </w:r>
      <w:r>
        <w:rPr>
          <w:sz w:val="20"/>
          <w:szCs w:val="20"/>
        </w:rPr>
        <w:t>.</w:t>
      </w:r>
    </w:p>
  </w:footnote>
  <w:footnote w:id="9">
    <w:p w:rsidR="00150C36" w:rsidRDefault="00150C36" w:rsidP="00B52DD2">
      <w:pPr>
        <w:pStyle w:val="FootnoteText"/>
      </w:pPr>
      <w:r>
        <w:rPr>
          <w:rStyle w:val="FootnoteReference"/>
        </w:rPr>
        <w:footnoteRef/>
      </w:r>
      <w:r>
        <w:t xml:space="preserve"> </w:t>
      </w:r>
      <w:r w:rsidRPr="007A47D3">
        <w:rPr>
          <w:sz w:val="20"/>
          <w:szCs w:val="20"/>
        </w:rPr>
        <w:t xml:space="preserve">Table 3-C1 presented as an appendix to this chapter </w:t>
      </w:r>
      <w:r>
        <w:rPr>
          <w:sz w:val="20"/>
          <w:szCs w:val="20"/>
        </w:rPr>
        <w:t>shows the</w:t>
      </w:r>
      <w:r w:rsidRPr="007A47D3">
        <w:rPr>
          <w:sz w:val="20"/>
          <w:szCs w:val="20"/>
        </w:rPr>
        <w:t xml:space="preserve"> correlation coefficient</w:t>
      </w:r>
      <w:r>
        <w:rPr>
          <w:sz w:val="20"/>
          <w:szCs w:val="20"/>
        </w:rPr>
        <w:t>s</w:t>
      </w:r>
      <w:r w:rsidRPr="007A47D3">
        <w:rPr>
          <w:sz w:val="20"/>
          <w:szCs w:val="20"/>
        </w:rPr>
        <w:t xml:space="preserve"> between the </w:t>
      </w:r>
      <w:r>
        <w:rPr>
          <w:sz w:val="20"/>
          <w:szCs w:val="20"/>
        </w:rPr>
        <w:t xml:space="preserve">benefits of nuclear energy and SNF policy preference </w:t>
      </w:r>
      <w:r w:rsidRPr="007A47D3">
        <w:rPr>
          <w:sz w:val="20"/>
          <w:szCs w:val="20"/>
        </w:rPr>
        <w:t xml:space="preserve">series </w:t>
      </w:r>
      <w:r>
        <w:rPr>
          <w:sz w:val="20"/>
          <w:szCs w:val="20"/>
        </w:rPr>
        <w:t>by</w:t>
      </w:r>
      <w:r w:rsidRPr="007A47D3">
        <w:rPr>
          <w:sz w:val="20"/>
          <w:szCs w:val="20"/>
        </w:rPr>
        <w:t xml:space="preserve"> lag</w:t>
      </w:r>
      <w:r>
        <w:rPr>
          <w:sz w:val="20"/>
          <w:szCs w:val="20"/>
        </w:rPr>
        <w:t>.</w:t>
      </w:r>
    </w:p>
  </w:footnote>
  <w:footnote w:id="10">
    <w:p w:rsidR="00150C36" w:rsidRDefault="00150C36" w:rsidP="00B52DD2">
      <w:pPr>
        <w:pStyle w:val="FootnoteText"/>
      </w:pPr>
      <w:r>
        <w:rPr>
          <w:rStyle w:val="FootnoteReference"/>
        </w:rPr>
        <w:footnoteRef/>
      </w:r>
      <w:r>
        <w:t xml:space="preserve"> </w:t>
      </w:r>
      <w:r w:rsidRPr="007A47D3">
        <w:rPr>
          <w:sz w:val="20"/>
          <w:szCs w:val="20"/>
        </w:rPr>
        <w:t>Table 3-C</w:t>
      </w:r>
      <w:r>
        <w:rPr>
          <w:sz w:val="20"/>
          <w:szCs w:val="20"/>
        </w:rPr>
        <w:t>2</w:t>
      </w:r>
      <w:r w:rsidRPr="007A47D3">
        <w:rPr>
          <w:sz w:val="20"/>
          <w:szCs w:val="20"/>
        </w:rPr>
        <w:t xml:space="preserve"> presented as an appendix to this chapter </w:t>
      </w:r>
      <w:r>
        <w:rPr>
          <w:sz w:val="20"/>
          <w:szCs w:val="20"/>
        </w:rPr>
        <w:t>shows the</w:t>
      </w:r>
      <w:r w:rsidRPr="007A47D3">
        <w:rPr>
          <w:sz w:val="20"/>
          <w:szCs w:val="20"/>
        </w:rPr>
        <w:t xml:space="preserve"> correlation coefficient</w:t>
      </w:r>
      <w:r>
        <w:rPr>
          <w:sz w:val="20"/>
          <w:szCs w:val="20"/>
        </w:rPr>
        <w:t>s</w:t>
      </w:r>
      <w:r w:rsidRPr="007A47D3">
        <w:rPr>
          <w:sz w:val="20"/>
          <w:szCs w:val="20"/>
        </w:rPr>
        <w:t xml:space="preserve"> between </w:t>
      </w:r>
      <w:r>
        <w:rPr>
          <w:sz w:val="20"/>
          <w:szCs w:val="20"/>
        </w:rPr>
        <w:t xml:space="preserve">public trust in experts from various agencies and SNF policy preference </w:t>
      </w:r>
      <w:r w:rsidRPr="007A47D3">
        <w:rPr>
          <w:sz w:val="20"/>
          <w:szCs w:val="20"/>
        </w:rPr>
        <w:t xml:space="preserve">series </w:t>
      </w:r>
      <w:r>
        <w:rPr>
          <w:sz w:val="20"/>
          <w:szCs w:val="20"/>
        </w:rPr>
        <w:t>by</w:t>
      </w:r>
      <w:r w:rsidRPr="007A47D3">
        <w:rPr>
          <w:sz w:val="20"/>
          <w:szCs w:val="20"/>
        </w:rPr>
        <w:t xml:space="preserve"> lag</w:t>
      </w:r>
      <w:r>
        <w:rPr>
          <w:sz w:val="20"/>
          <w:szCs w:val="20"/>
        </w:rPr>
        <w:t>.</w:t>
      </w:r>
    </w:p>
  </w:footnote>
  <w:footnote w:id="11">
    <w:p w:rsidR="00150C36" w:rsidRDefault="00150C36" w:rsidP="00B52DD2">
      <w:pPr>
        <w:pStyle w:val="FootnoteText"/>
        <w:jc w:val="both"/>
      </w:pPr>
      <w:r>
        <w:rPr>
          <w:rStyle w:val="FootnoteReference"/>
        </w:rPr>
        <w:footnoteRef/>
      </w:r>
      <w:r>
        <w:t xml:space="preserve"> </w:t>
      </w:r>
      <w:r w:rsidRPr="00F102C8">
        <w:rPr>
          <w:sz w:val="20"/>
          <w:szCs w:val="20"/>
        </w:rPr>
        <w:t xml:space="preserve">I did not operationalize this variable as a dummy variable since that </w:t>
      </w:r>
      <w:r>
        <w:rPr>
          <w:sz w:val="20"/>
          <w:szCs w:val="20"/>
        </w:rPr>
        <w:t xml:space="preserve">strategy </w:t>
      </w:r>
      <w:r w:rsidRPr="00F102C8">
        <w:rPr>
          <w:sz w:val="20"/>
          <w:szCs w:val="20"/>
        </w:rPr>
        <w:t xml:space="preserve">would not allow me to account for year to year variation in the fraction of respondents who </w:t>
      </w:r>
      <w:r>
        <w:rPr>
          <w:sz w:val="20"/>
          <w:szCs w:val="20"/>
        </w:rPr>
        <w:t>had chosen the correct option from the given four options.</w:t>
      </w:r>
    </w:p>
  </w:footnote>
  <w:footnote w:id="12">
    <w:p w:rsidR="00150C36" w:rsidRPr="003C00AB" w:rsidRDefault="00150C36" w:rsidP="00B52DD2">
      <w:pPr>
        <w:spacing w:line="360" w:lineRule="auto"/>
        <w:jc w:val="both"/>
        <w:rPr>
          <w:sz w:val="20"/>
          <w:szCs w:val="20"/>
        </w:rPr>
      </w:pPr>
      <w:r>
        <w:rPr>
          <w:rStyle w:val="FootnoteReference"/>
        </w:rPr>
        <w:footnoteRef/>
      </w:r>
      <w:r w:rsidRPr="004B4C00">
        <w:rPr>
          <w:rFonts w:ascii="Times New Roman" w:hAnsi="Times New Roman" w:cs="Times New Roman"/>
          <w:sz w:val="20"/>
          <w:szCs w:val="20"/>
        </w:rPr>
        <w:t xml:space="preserve">Figure 4-A1 presented as an appendix to this chapter demonstrates the administrative map of the state of Nevada with </w:t>
      </w:r>
      <w:r>
        <w:rPr>
          <w:sz w:val="20"/>
          <w:szCs w:val="20"/>
        </w:rPr>
        <w:t xml:space="preserve">detailed transportation </w:t>
      </w:r>
      <w:r w:rsidRPr="004B4C00">
        <w:rPr>
          <w:rFonts w:ascii="Times New Roman" w:hAnsi="Times New Roman" w:cs="Times New Roman"/>
          <w:sz w:val="20"/>
          <w:szCs w:val="20"/>
        </w:rPr>
        <w:t>routes</w:t>
      </w:r>
      <w:r w:rsidRPr="00096032">
        <w:rPr>
          <w:sz w:val="20"/>
          <w:szCs w:val="20"/>
        </w:rPr>
        <w:t>.</w:t>
      </w:r>
    </w:p>
    <w:p w:rsidR="00150C36" w:rsidRDefault="00150C36" w:rsidP="00B52DD2">
      <w:pPr>
        <w:pStyle w:val="FootnoteText"/>
      </w:pPr>
    </w:p>
  </w:footnote>
  <w:footnote w:id="13">
    <w:p w:rsidR="00150C36" w:rsidRPr="00C05BB3" w:rsidRDefault="00150C36" w:rsidP="00B52DD2">
      <w:pPr>
        <w:spacing w:line="480" w:lineRule="auto"/>
        <w:jc w:val="both"/>
        <w:rPr>
          <w:b/>
          <w:sz w:val="20"/>
          <w:szCs w:val="20"/>
        </w:rPr>
      </w:pPr>
      <w:r>
        <w:rPr>
          <w:rStyle w:val="FootnoteReference"/>
        </w:rPr>
        <w:footnoteRef/>
      </w:r>
      <w:r>
        <w:t xml:space="preserve"> </w:t>
      </w:r>
      <w:r w:rsidRPr="009619E5">
        <w:rPr>
          <w:rFonts w:ascii="Times New Roman" w:hAnsi="Times New Roman" w:cs="Times New Roman"/>
          <w:sz w:val="20"/>
          <w:szCs w:val="20"/>
        </w:rPr>
        <w:t>Clark County is among the treatment group. Much of the opposition to the enactment of NWPA came from Clark County which is also the largest county (in population) in Nevada by a fair margin.</w:t>
      </w:r>
    </w:p>
    <w:p w:rsidR="00150C36" w:rsidRDefault="00150C36" w:rsidP="00B52DD2">
      <w:pPr>
        <w:pStyle w:val="FootnoteText"/>
      </w:pPr>
    </w:p>
  </w:footnote>
  <w:footnote w:id="14">
    <w:p w:rsidR="00150C36" w:rsidRPr="004D41DA" w:rsidRDefault="00150C36" w:rsidP="00B52DD2">
      <w:pPr>
        <w:spacing w:line="480" w:lineRule="auto"/>
        <w:jc w:val="both"/>
        <w:rPr>
          <w:sz w:val="20"/>
          <w:szCs w:val="20"/>
        </w:rPr>
      </w:pPr>
      <w:r>
        <w:rPr>
          <w:rStyle w:val="FootnoteReference"/>
        </w:rPr>
        <w:footnoteRef/>
      </w:r>
      <w:r>
        <w:t xml:space="preserve"> </w:t>
      </w:r>
      <w:r w:rsidRPr="009619E5">
        <w:rPr>
          <w:rFonts w:ascii="Times New Roman" w:hAnsi="Times New Roman" w:cs="Times New Roman"/>
          <w:sz w:val="20"/>
          <w:szCs w:val="20"/>
        </w:rPr>
        <w:t>This opposition was led by state-level officials and state representatives to Congress. The most vociferous opponent was Senator Harry Reid – who opposed Yucca Mountain project over his entire career.</w:t>
      </w:r>
    </w:p>
  </w:footnote>
  <w:footnote w:id="15">
    <w:p w:rsidR="00150C36" w:rsidRPr="009619E5" w:rsidRDefault="00150C36" w:rsidP="00B52DD2">
      <w:pPr>
        <w:spacing w:line="480" w:lineRule="auto"/>
        <w:jc w:val="both"/>
        <w:rPr>
          <w:rFonts w:ascii="Times New Roman" w:hAnsi="Times New Roman" w:cs="Times New Roman"/>
          <w:sz w:val="20"/>
          <w:szCs w:val="20"/>
        </w:rPr>
      </w:pPr>
      <w:r>
        <w:rPr>
          <w:rStyle w:val="FootnoteReference"/>
        </w:rPr>
        <w:footnoteRef/>
      </w:r>
      <w:r>
        <w:t xml:space="preserve"> </w:t>
      </w:r>
      <w:r w:rsidRPr="009619E5">
        <w:rPr>
          <w:rFonts w:ascii="Times New Roman" w:hAnsi="Times New Roman" w:cs="Times New Roman"/>
          <w:sz w:val="20"/>
          <w:szCs w:val="20"/>
        </w:rPr>
        <w:t>In fact, Senator Reid rose to become Senate Majority leader in President Obama’s first term, and was very effective in blocking and then encouraging President Obama to attempt to cancel the licensing process for the Yucca Mountain.</w:t>
      </w:r>
    </w:p>
  </w:footnote>
  <w:footnote w:id="16">
    <w:p w:rsidR="00150C36" w:rsidRPr="009619E5" w:rsidRDefault="00150C36" w:rsidP="00B52DD2">
      <w:pPr>
        <w:pStyle w:val="FootnoteText"/>
        <w:spacing w:line="480" w:lineRule="auto"/>
      </w:pPr>
      <w:r w:rsidRPr="009619E5">
        <w:rPr>
          <w:rStyle w:val="FootnoteReference"/>
        </w:rPr>
        <w:footnoteRef/>
      </w:r>
      <w:r w:rsidRPr="009619E5">
        <w:t xml:space="preserve"> </w:t>
      </w:r>
      <w:r w:rsidRPr="009619E5">
        <w:rPr>
          <w:rFonts w:eastAsia="Times New Roman"/>
          <w:sz w:val="20"/>
          <w:szCs w:val="20"/>
        </w:rPr>
        <w:t>The courts have rejected the cancellation of the licensing process</w:t>
      </w:r>
      <w:r>
        <w:rPr>
          <w:rFonts w:eastAsia="Times New Roman"/>
          <w:sz w:val="20"/>
          <w:szCs w:val="20"/>
        </w:rPr>
        <w:t xml:space="preserve"> </w:t>
      </w:r>
      <w:r w:rsidRPr="009619E5">
        <w:rPr>
          <w:rFonts w:eastAsia="Times New Roman"/>
          <w:sz w:val="20"/>
          <w:szCs w:val="20"/>
        </w:rPr>
        <w:t>and have ruled that the NRC must continue the licensing process, because the NWPA is still the law and remains unchanged (U.S. GAO 2020).</w:t>
      </w:r>
    </w:p>
  </w:footnote>
  <w:footnote w:id="17">
    <w:p w:rsidR="00150C36" w:rsidRDefault="00150C36" w:rsidP="00B52DD2">
      <w:pPr>
        <w:pStyle w:val="FootnoteText"/>
        <w:spacing w:line="360" w:lineRule="auto"/>
        <w:jc w:val="both"/>
      </w:pPr>
      <w:r>
        <w:rPr>
          <w:rStyle w:val="FootnoteReference"/>
        </w:rPr>
        <w:footnoteRef/>
      </w:r>
      <w:r>
        <w:t xml:space="preserve"> </w:t>
      </w:r>
      <w:r w:rsidRPr="00A923A8">
        <w:rPr>
          <w:sz w:val="20"/>
          <w:szCs w:val="20"/>
        </w:rPr>
        <w:t>I would prefer to collect precinct level data, however it was available on line only starting from 2014 till nowadays, therefore I decided to collapse one level and collect county level data that captures all fourteen presidential general elections.</w:t>
      </w:r>
    </w:p>
  </w:footnote>
  <w:footnote w:id="18">
    <w:p w:rsidR="00150C36" w:rsidRDefault="00150C36" w:rsidP="00B52DD2">
      <w:pPr>
        <w:pStyle w:val="FootnoteText"/>
        <w:spacing w:line="480" w:lineRule="auto"/>
      </w:pPr>
      <w:r>
        <w:rPr>
          <w:rStyle w:val="FootnoteReference"/>
        </w:rPr>
        <w:footnoteRef/>
      </w:r>
      <w:r>
        <w:t xml:space="preserve"> </w:t>
      </w:r>
      <w:r w:rsidRPr="005355AB">
        <w:rPr>
          <w:sz w:val="20"/>
          <w:szCs w:val="20"/>
        </w:rPr>
        <w:t xml:space="preserve">I have also conducted the same analysis testing the effect of NWPA of 1987. The results are consistently similar to what we see in table </w:t>
      </w:r>
      <w:r>
        <w:rPr>
          <w:sz w:val="20"/>
          <w:szCs w:val="20"/>
        </w:rPr>
        <w:t>4-</w:t>
      </w:r>
      <w:r w:rsidRPr="005355AB">
        <w:rPr>
          <w:sz w:val="20"/>
          <w:szCs w:val="20"/>
        </w:rPr>
        <w:t xml:space="preserve">2 in text having in mind that those models also encompass the effect NWPA of 1982 as well. Table </w:t>
      </w:r>
      <w:r>
        <w:rPr>
          <w:sz w:val="20"/>
          <w:szCs w:val="20"/>
        </w:rPr>
        <w:t>4-</w:t>
      </w:r>
      <w:r w:rsidRPr="005355AB">
        <w:rPr>
          <w:sz w:val="20"/>
          <w:szCs w:val="20"/>
        </w:rPr>
        <w:t>A</w:t>
      </w:r>
      <w:r>
        <w:rPr>
          <w:sz w:val="20"/>
          <w:szCs w:val="20"/>
        </w:rPr>
        <w:t>1</w:t>
      </w:r>
      <w:r w:rsidRPr="005355AB">
        <w:rPr>
          <w:sz w:val="20"/>
          <w:szCs w:val="20"/>
        </w:rPr>
        <w:t xml:space="preserve"> with th</w:t>
      </w:r>
      <w:r>
        <w:rPr>
          <w:sz w:val="20"/>
          <w:szCs w:val="20"/>
        </w:rPr>
        <w:t>is</w:t>
      </w:r>
      <w:r w:rsidRPr="005355AB">
        <w:rPr>
          <w:sz w:val="20"/>
          <w:szCs w:val="20"/>
        </w:rPr>
        <w:t xml:space="preserve"> analysis is presented </w:t>
      </w:r>
      <w:r>
        <w:rPr>
          <w:sz w:val="20"/>
          <w:szCs w:val="20"/>
        </w:rPr>
        <w:t>as an</w:t>
      </w:r>
      <w:r w:rsidRPr="005355AB">
        <w:rPr>
          <w:sz w:val="20"/>
          <w:szCs w:val="20"/>
        </w:rPr>
        <w:t xml:space="preserve"> </w:t>
      </w:r>
      <w:r>
        <w:rPr>
          <w:sz w:val="20"/>
          <w:szCs w:val="20"/>
        </w:rPr>
        <w:t>a</w:t>
      </w:r>
      <w:r w:rsidRPr="005355AB">
        <w:rPr>
          <w:sz w:val="20"/>
          <w:szCs w:val="20"/>
        </w:rPr>
        <w:t xml:space="preserve">ppendix </w:t>
      </w:r>
      <w:r>
        <w:rPr>
          <w:sz w:val="20"/>
          <w:szCs w:val="20"/>
        </w:rPr>
        <w:t>to this chapter</w:t>
      </w:r>
      <w:r w:rsidRPr="005355AB">
        <w:rPr>
          <w:sz w:val="20"/>
          <w:szCs w:val="20"/>
        </w:rPr>
        <w:t>.</w:t>
      </w:r>
    </w:p>
  </w:footnote>
  <w:footnote w:id="19">
    <w:p w:rsidR="00150C36" w:rsidRPr="0047717F" w:rsidRDefault="00150C36" w:rsidP="00B52DD2">
      <w:pPr>
        <w:pStyle w:val="NoSpacing"/>
        <w:spacing w:line="276" w:lineRule="auto"/>
        <w:ind w:firstLine="432"/>
        <w:jc w:val="both"/>
        <w:rPr>
          <w:sz w:val="20"/>
          <w:szCs w:val="20"/>
        </w:rPr>
      </w:pPr>
      <w:r>
        <w:rPr>
          <w:rStyle w:val="FootnoteReference"/>
        </w:rPr>
        <w:footnoteRef/>
      </w:r>
      <w:r>
        <w:t xml:space="preserve"> </w:t>
      </w:r>
      <w:r w:rsidRPr="0047717F">
        <w:rPr>
          <w:sz w:val="20"/>
          <w:szCs w:val="20"/>
        </w:rPr>
        <w:t xml:space="preserve">Since no significant findings are suggested by the models for election turnout the coefficient plot for event study models testing the effect of NWPA on turnout is presented in figure </w:t>
      </w:r>
      <w:r>
        <w:rPr>
          <w:sz w:val="20"/>
          <w:szCs w:val="20"/>
        </w:rPr>
        <w:t>4-C1</w:t>
      </w:r>
      <w:r w:rsidRPr="00830997">
        <w:rPr>
          <w:sz w:val="20"/>
          <w:szCs w:val="20"/>
        </w:rPr>
        <w:t xml:space="preserve"> </w:t>
      </w:r>
      <w:r>
        <w:rPr>
          <w:sz w:val="20"/>
          <w:szCs w:val="20"/>
        </w:rPr>
        <w:t xml:space="preserve">as an </w:t>
      </w:r>
      <w:r w:rsidRPr="0047717F">
        <w:rPr>
          <w:sz w:val="20"/>
          <w:szCs w:val="20"/>
        </w:rPr>
        <w:t xml:space="preserve">appendix </w:t>
      </w:r>
      <w:r>
        <w:rPr>
          <w:sz w:val="20"/>
          <w:szCs w:val="20"/>
        </w:rPr>
        <w:t>to this chapter</w:t>
      </w:r>
      <w:r w:rsidRPr="0047717F">
        <w:rPr>
          <w:sz w:val="20"/>
          <w:szCs w:val="20"/>
        </w:rPr>
        <w:t>.</w:t>
      </w:r>
    </w:p>
    <w:p w:rsidR="00150C36" w:rsidRDefault="00150C36" w:rsidP="00B52DD2">
      <w:pPr>
        <w:pStyle w:val="FootnoteText"/>
      </w:pPr>
    </w:p>
  </w:footnote>
  <w:footnote w:id="20">
    <w:p w:rsidR="00150C36" w:rsidRPr="00CF424F" w:rsidRDefault="00150C36" w:rsidP="00B52DD2">
      <w:pPr>
        <w:jc w:val="both"/>
        <w:rPr>
          <w:rFonts w:ascii="Times New Roman" w:hAnsi="Times New Roman" w:cs="Times New Roman"/>
          <w:sz w:val="20"/>
          <w:szCs w:val="20"/>
        </w:rPr>
      </w:pPr>
      <w:r>
        <w:rPr>
          <w:rStyle w:val="FootnoteReference"/>
        </w:rPr>
        <w:footnoteRef/>
      </w:r>
      <w:r w:rsidRPr="00CF424F">
        <w:rPr>
          <w:rFonts w:ascii="Times New Roman" w:hAnsi="Times New Roman" w:cs="Times New Roman"/>
          <w:sz w:val="20"/>
          <w:szCs w:val="20"/>
        </w:rPr>
        <w:t xml:space="preserve">Among many others: Center for Climate Change Communication: </w:t>
      </w:r>
      <w:hyperlink r:id="rId1" w:history="1">
        <w:r w:rsidRPr="00CF424F">
          <w:rPr>
            <w:rStyle w:val="Hyperlink"/>
            <w:rFonts w:ascii="Times New Roman" w:hAnsi="Times New Roman" w:cs="Times New Roman"/>
            <w:sz w:val="20"/>
            <w:szCs w:val="20"/>
          </w:rPr>
          <w:t>https://www.climatechangecommunication.org/portfolio-view/bob-inglis/</w:t>
        </w:r>
      </w:hyperlink>
      <w:r w:rsidRPr="00CF424F">
        <w:rPr>
          <w:rFonts w:ascii="Times New Roman" w:hAnsi="Times New Roman" w:cs="Times New Roman"/>
          <w:sz w:val="20"/>
          <w:szCs w:val="20"/>
        </w:rPr>
        <w:t>;</w:t>
      </w:r>
    </w:p>
    <w:p w:rsidR="00150C36" w:rsidRPr="00CF424F" w:rsidRDefault="00150C36" w:rsidP="00B52DD2">
      <w:pPr>
        <w:jc w:val="both"/>
        <w:rPr>
          <w:rFonts w:ascii="Times New Roman" w:hAnsi="Times New Roman" w:cs="Times New Roman"/>
        </w:rPr>
      </w:pPr>
      <w:r w:rsidRPr="00CF424F">
        <w:rPr>
          <w:rFonts w:ascii="Times New Roman" w:hAnsi="Times New Roman" w:cs="Times New Roman"/>
          <w:sz w:val="20"/>
          <w:szCs w:val="20"/>
        </w:rPr>
        <w:t xml:space="preserve">Conservatives for Clean Energy. </w:t>
      </w:r>
      <w:hyperlink r:id="rId2" w:history="1">
        <w:r w:rsidRPr="00CF424F">
          <w:rPr>
            <w:rStyle w:val="Hyperlink"/>
            <w:rFonts w:ascii="Times New Roman" w:hAnsi="Times New Roman" w:cs="Times New Roman"/>
            <w:sz w:val="20"/>
            <w:szCs w:val="20"/>
          </w:rPr>
          <w:t>https://www.cleanenergyconservatives.com/about/</w:t>
        </w:r>
      </w:hyperlink>
    </w:p>
    <w:p w:rsidR="00150C36" w:rsidRDefault="00150C36" w:rsidP="00B52DD2">
      <w:pPr>
        <w:pStyle w:val="FootnoteText"/>
      </w:pPr>
    </w:p>
  </w:footnote>
  <w:footnote w:id="21">
    <w:p w:rsidR="00150C36" w:rsidRPr="000A6712" w:rsidRDefault="00150C36" w:rsidP="00B52DD2">
      <w:pPr>
        <w:pStyle w:val="FootnoteText"/>
        <w:jc w:val="both"/>
      </w:pPr>
      <w:r>
        <w:rPr>
          <w:rStyle w:val="FootnoteReference"/>
        </w:rPr>
        <w:footnoteRef/>
      </w:r>
      <w:r>
        <w:t xml:space="preserve"> </w:t>
      </w:r>
      <w:r w:rsidRPr="00D26CEC">
        <w:rPr>
          <w:sz w:val="20"/>
          <w:szCs w:val="20"/>
        </w:rPr>
        <w:t>I follow Weible and Carter’s (2017) definition of the term “governance” in reference to studies that focus on politics and government, specifically, while also including scholarship on public policy, public management, and the roles of nonprofits therein, as well as societal outcomes that result from these ordered processes and collective actions (Kettle, </w:t>
      </w:r>
      <w:hyperlink r:id="rId3" w:anchor="psj12194-bib-0077" w:history="1">
        <w:r w:rsidRPr="00D26CEC">
          <w:rPr>
            <w:sz w:val="20"/>
            <w:szCs w:val="20"/>
          </w:rPr>
          <w:t>2000</w:t>
        </w:r>
      </w:hyperlink>
      <w:r w:rsidRPr="00D26CEC">
        <w:rPr>
          <w:sz w:val="20"/>
          <w:szCs w:val="20"/>
        </w:rPr>
        <w:t>; Stoker, </w:t>
      </w:r>
      <w:hyperlink r:id="rId4" w:anchor="psj12194-bib-0150" w:history="1">
        <w:r w:rsidRPr="00D26CEC">
          <w:rPr>
            <w:sz w:val="20"/>
            <w:szCs w:val="20"/>
          </w:rPr>
          <w:t>1998</w:t>
        </w:r>
      </w:hyperlink>
      <w:r w:rsidRPr="00D26CEC">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27198376"/>
      <w:docPartObj>
        <w:docPartGallery w:val="Page Numbers (Top of Page)"/>
        <w:docPartUnique/>
      </w:docPartObj>
    </w:sdtPr>
    <w:sdtEndPr>
      <w:rPr>
        <w:rStyle w:val="PageNumber"/>
      </w:rPr>
    </w:sdtEndPr>
    <w:sdtContent>
      <w:p w:rsidR="00150C36" w:rsidRDefault="00150C36" w:rsidP="00150C3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50C36" w:rsidRDefault="00150C36" w:rsidP="00150C3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38026287"/>
      <w:docPartObj>
        <w:docPartGallery w:val="Page Numbers (Top of Page)"/>
        <w:docPartUnique/>
      </w:docPartObj>
    </w:sdtPr>
    <w:sdtEndPr>
      <w:rPr>
        <w:rStyle w:val="PageNumber"/>
      </w:rPr>
    </w:sdtEndPr>
    <w:sdtContent>
      <w:p w:rsidR="00150C36" w:rsidRDefault="00150C36" w:rsidP="00150C3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rsidR="00150C36" w:rsidRPr="008720F8" w:rsidRDefault="00150C36">
    <w:pPr>
      <w:pStyle w:val="Header"/>
      <w:rPr>
        <w:rFonts w:ascii="Palatino Linotype" w:hAnsi="Palatino Linotyp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175C68"/>
    <w:multiLevelType w:val="multilevel"/>
    <w:tmpl w:val="AE4E7A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8D297C"/>
    <w:multiLevelType w:val="hybridMultilevel"/>
    <w:tmpl w:val="48FC6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773459"/>
    <w:multiLevelType w:val="hybridMultilevel"/>
    <w:tmpl w:val="E5685752"/>
    <w:lvl w:ilvl="0" w:tplc="25B0569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DE5A58"/>
    <w:multiLevelType w:val="hybridMultilevel"/>
    <w:tmpl w:val="6B1EE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EF585A"/>
    <w:multiLevelType w:val="hybridMultilevel"/>
    <w:tmpl w:val="909C2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71494F"/>
    <w:multiLevelType w:val="hybridMultilevel"/>
    <w:tmpl w:val="3B929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059AE"/>
    <w:multiLevelType w:val="hybridMultilevel"/>
    <w:tmpl w:val="A5AAD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141C28"/>
    <w:multiLevelType w:val="hybridMultilevel"/>
    <w:tmpl w:val="CFBACB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56D3991"/>
    <w:multiLevelType w:val="hybridMultilevel"/>
    <w:tmpl w:val="520ACB9E"/>
    <w:lvl w:ilvl="0" w:tplc="81F65F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6754981"/>
    <w:multiLevelType w:val="hybridMultilevel"/>
    <w:tmpl w:val="E92861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2156ABD"/>
    <w:multiLevelType w:val="hybridMultilevel"/>
    <w:tmpl w:val="6BB8D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AA23C7"/>
    <w:multiLevelType w:val="multilevel"/>
    <w:tmpl w:val="A1E0B0D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7367064D"/>
    <w:multiLevelType w:val="hybridMultilevel"/>
    <w:tmpl w:val="E92861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7"/>
  </w:num>
  <w:num w:numId="3">
    <w:abstractNumId w:val="8"/>
  </w:num>
  <w:num w:numId="4">
    <w:abstractNumId w:val="0"/>
  </w:num>
  <w:num w:numId="5">
    <w:abstractNumId w:val="6"/>
  </w:num>
  <w:num w:numId="6">
    <w:abstractNumId w:val="3"/>
  </w:num>
  <w:num w:numId="7">
    <w:abstractNumId w:val="1"/>
  </w:num>
  <w:num w:numId="8">
    <w:abstractNumId w:val="12"/>
  </w:num>
  <w:num w:numId="9">
    <w:abstractNumId w:val="4"/>
  </w:num>
  <w:num w:numId="10">
    <w:abstractNumId w:val="10"/>
  </w:num>
  <w:num w:numId="11">
    <w:abstractNumId w:val="5"/>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DD2"/>
    <w:rsid w:val="00020949"/>
    <w:rsid w:val="00150C36"/>
    <w:rsid w:val="001C38E4"/>
    <w:rsid w:val="002E3ABC"/>
    <w:rsid w:val="003220D4"/>
    <w:rsid w:val="003475E5"/>
    <w:rsid w:val="0037718E"/>
    <w:rsid w:val="0040403F"/>
    <w:rsid w:val="00466262"/>
    <w:rsid w:val="005823DE"/>
    <w:rsid w:val="00647676"/>
    <w:rsid w:val="00681E8B"/>
    <w:rsid w:val="006E7809"/>
    <w:rsid w:val="007B55FF"/>
    <w:rsid w:val="00A0589A"/>
    <w:rsid w:val="00B174B3"/>
    <w:rsid w:val="00B52DD2"/>
    <w:rsid w:val="00B8182D"/>
    <w:rsid w:val="00BB10B3"/>
    <w:rsid w:val="00C63D00"/>
    <w:rsid w:val="00CA1799"/>
    <w:rsid w:val="00CD49C2"/>
    <w:rsid w:val="00E63B41"/>
    <w:rsid w:val="00E65E17"/>
    <w:rsid w:val="00F92551"/>
    <w:rsid w:val="00F9748A"/>
    <w:rsid w:val="00FD6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50F4AA"/>
  <w15:chartTrackingRefBased/>
  <w15:docId w15:val="{BBF44C2B-5731-FE45-AAD3-8BC0FD6CA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DD2"/>
  </w:style>
  <w:style w:type="paragraph" w:styleId="Heading1">
    <w:name w:val="heading 1"/>
    <w:basedOn w:val="Normal"/>
    <w:next w:val="Normal"/>
    <w:link w:val="Heading1Char"/>
    <w:uiPriority w:val="9"/>
    <w:qFormat/>
    <w:rsid w:val="00B52DD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DD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52DD2"/>
    <w:pPr>
      <w:spacing w:line="259" w:lineRule="auto"/>
      <w:outlineLvl w:val="9"/>
    </w:pPr>
  </w:style>
  <w:style w:type="paragraph" w:styleId="TOC1">
    <w:name w:val="toc 1"/>
    <w:basedOn w:val="Normal"/>
    <w:next w:val="Normal"/>
    <w:autoRedefine/>
    <w:uiPriority w:val="39"/>
    <w:unhideWhenUsed/>
    <w:rsid w:val="00B52DD2"/>
    <w:pPr>
      <w:spacing w:after="100" w:line="259" w:lineRule="auto"/>
    </w:pPr>
    <w:rPr>
      <w:rFonts w:eastAsiaTheme="minorEastAsia" w:cs="Times New Roman"/>
      <w:sz w:val="22"/>
      <w:szCs w:val="22"/>
    </w:rPr>
  </w:style>
  <w:style w:type="character" w:styleId="FootnoteReference">
    <w:name w:val="footnote reference"/>
    <w:basedOn w:val="DefaultParagraphFont"/>
    <w:uiPriority w:val="99"/>
    <w:unhideWhenUsed/>
    <w:rsid w:val="00B52DD2"/>
    <w:rPr>
      <w:vertAlign w:val="superscript"/>
    </w:rPr>
  </w:style>
  <w:style w:type="table" w:styleId="TableGrid">
    <w:name w:val="Table Grid"/>
    <w:basedOn w:val="TableNormal"/>
    <w:uiPriority w:val="39"/>
    <w:rsid w:val="00B52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B52DD2"/>
    <w:rPr>
      <w:rFonts w:ascii="Times New Roman" w:hAnsi="Times New Roman" w:cs="Times New Roman"/>
    </w:rPr>
  </w:style>
  <w:style w:type="character" w:customStyle="1" w:styleId="FootnoteTextChar">
    <w:name w:val="Footnote Text Char"/>
    <w:basedOn w:val="DefaultParagraphFont"/>
    <w:link w:val="FootnoteText"/>
    <w:uiPriority w:val="99"/>
    <w:rsid w:val="00B52DD2"/>
    <w:rPr>
      <w:rFonts w:ascii="Times New Roman" w:hAnsi="Times New Roman" w:cs="Times New Roman"/>
    </w:rPr>
  </w:style>
  <w:style w:type="paragraph" w:styleId="ListParagraph">
    <w:name w:val="List Paragraph"/>
    <w:basedOn w:val="Normal"/>
    <w:uiPriority w:val="34"/>
    <w:qFormat/>
    <w:rsid w:val="00B52DD2"/>
    <w:pPr>
      <w:ind w:left="720"/>
      <w:contextualSpacing/>
    </w:pPr>
  </w:style>
  <w:style w:type="character" w:styleId="Hyperlink">
    <w:name w:val="Hyperlink"/>
    <w:basedOn w:val="DefaultParagraphFont"/>
    <w:uiPriority w:val="99"/>
    <w:unhideWhenUsed/>
    <w:rsid w:val="00B52DD2"/>
    <w:rPr>
      <w:color w:val="0563C1" w:themeColor="hyperlink"/>
      <w:u w:val="single"/>
    </w:rPr>
  </w:style>
  <w:style w:type="paragraph" w:styleId="BalloonText">
    <w:name w:val="Balloon Text"/>
    <w:basedOn w:val="Normal"/>
    <w:link w:val="BalloonTextChar"/>
    <w:uiPriority w:val="99"/>
    <w:semiHidden/>
    <w:unhideWhenUsed/>
    <w:rsid w:val="00B52DD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52DD2"/>
    <w:rPr>
      <w:rFonts w:ascii="Times New Roman" w:hAnsi="Times New Roman" w:cs="Times New Roman"/>
      <w:sz w:val="18"/>
      <w:szCs w:val="18"/>
    </w:rPr>
  </w:style>
  <w:style w:type="paragraph" w:customStyle="1" w:styleId="p1">
    <w:name w:val="p1"/>
    <w:basedOn w:val="Normal"/>
    <w:rsid w:val="00B52DD2"/>
    <w:rPr>
      <w:rFonts w:ascii="Times" w:hAnsi="Times" w:cs="Times New Roman"/>
      <w:color w:val="2F2A2B"/>
      <w:sz w:val="15"/>
      <w:szCs w:val="15"/>
    </w:rPr>
  </w:style>
  <w:style w:type="paragraph" w:customStyle="1" w:styleId="Default">
    <w:name w:val="Default"/>
    <w:rsid w:val="00B52DD2"/>
    <w:pPr>
      <w:autoSpaceDE w:val="0"/>
      <w:autoSpaceDN w:val="0"/>
      <w:adjustRightInd w:val="0"/>
    </w:pPr>
    <w:rPr>
      <w:rFonts w:ascii="Arial" w:hAnsi="Arial" w:cs="Arial"/>
      <w:color w:val="000000"/>
    </w:rPr>
  </w:style>
  <w:style w:type="character" w:customStyle="1" w:styleId="apple-converted-space">
    <w:name w:val="apple-converted-space"/>
    <w:basedOn w:val="DefaultParagraphFont"/>
    <w:rsid w:val="00B52DD2"/>
  </w:style>
  <w:style w:type="paragraph" w:styleId="NoSpacing">
    <w:name w:val="No Spacing"/>
    <w:uiPriority w:val="1"/>
    <w:qFormat/>
    <w:rsid w:val="00B52DD2"/>
    <w:rPr>
      <w:rFonts w:ascii="Times New Roman" w:hAnsi="Times New Roman" w:cs="Times New Roman"/>
    </w:rPr>
  </w:style>
  <w:style w:type="paragraph" w:styleId="NormalWeb">
    <w:name w:val="Normal (Web)"/>
    <w:basedOn w:val="Normal"/>
    <w:uiPriority w:val="99"/>
    <w:unhideWhenUsed/>
    <w:rsid w:val="00B52DD2"/>
    <w:pPr>
      <w:spacing w:before="100" w:beforeAutospacing="1" w:after="100" w:afterAutospacing="1"/>
    </w:pPr>
    <w:rPr>
      <w:rFonts w:ascii="Times New Roman" w:eastAsia="Times New Roman" w:hAnsi="Times New Roman" w:cs="Times New Roman"/>
    </w:rPr>
  </w:style>
  <w:style w:type="paragraph" w:customStyle="1" w:styleId="p2">
    <w:name w:val="p2"/>
    <w:basedOn w:val="Normal"/>
    <w:rsid w:val="00B52DD2"/>
    <w:rPr>
      <w:rFonts w:ascii="Times New Roman" w:eastAsia="Arial" w:hAnsi="Times New Roman" w:cs="Times New Roman"/>
      <w:sz w:val="15"/>
      <w:szCs w:val="15"/>
    </w:rPr>
  </w:style>
  <w:style w:type="paragraph" w:styleId="Footer">
    <w:name w:val="footer"/>
    <w:basedOn w:val="Normal"/>
    <w:link w:val="FooterChar"/>
    <w:uiPriority w:val="99"/>
    <w:unhideWhenUsed/>
    <w:rsid w:val="00B52DD2"/>
    <w:pPr>
      <w:tabs>
        <w:tab w:val="center" w:pos="4680"/>
        <w:tab w:val="right" w:pos="9360"/>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B52DD2"/>
    <w:rPr>
      <w:rFonts w:ascii="Times New Roman" w:eastAsia="Times New Roman" w:hAnsi="Times New Roman" w:cs="Times New Roman"/>
    </w:rPr>
  </w:style>
  <w:style w:type="character" w:styleId="PageNumber">
    <w:name w:val="page number"/>
    <w:basedOn w:val="DefaultParagraphFont"/>
    <w:uiPriority w:val="99"/>
    <w:semiHidden/>
    <w:unhideWhenUsed/>
    <w:rsid w:val="00B52DD2"/>
  </w:style>
  <w:style w:type="paragraph" w:styleId="Header">
    <w:name w:val="header"/>
    <w:basedOn w:val="Normal"/>
    <w:link w:val="HeaderChar"/>
    <w:uiPriority w:val="99"/>
    <w:unhideWhenUsed/>
    <w:rsid w:val="00B52DD2"/>
    <w:pPr>
      <w:tabs>
        <w:tab w:val="center" w:pos="4680"/>
        <w:tab w:val="right" w:pos="9360"/>
      </w:tabs>
    </w:pPr>
    <w:rPr>
      <w:sz w:val="22"/>
      <w:szCs w:val="22"/>
    </w:rPr>
  </w:style>
  <w:style w:type="character" w:customStyle="1" w:styleId="HeaderChar">
    <w:name w:val="Header Char"/>
    <w:basedOn w:val="DefaultParagraphFont"/>
    <w:link w:val="Header"/>
    <w:uiPriority w:val="99"/>
    <w:rsid w:val="00B52DD2"/>
    <w:rPr>
      <w:sz w:val="22"/>
      <w:szCs w:val="22"/>
    </w:rPr>
  </w:style>
  <w:style w:type="character" w:customStyle="1" w:styleId="mwe-math-mathml-inline">
    <w:name w:val="mwe-math-mathml-inline"/>
    <w:basedOn w:val="DefaultParagraphFont"/>
    <w:rsid w:val="00B52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tiff"/><Relationship Id="rId18" Type="http://schemas.openxmlformats.org/officeDocument/2006/relationships/image" Target="media/image10.emf"/><Relationship Id="rId26" Type="http://schemas.openxmlformats.org/officeDocument/2006/relationships/image" Target="media/image17.emf"/><Relationship Id="rId39" Type="http://schemas.openxmlformats.org/officeDocument/2006/relationships/diagramLayout" Target="diagrams/layout1.xml"/><Relationship Id="rId21" Type="http://schemas.openxmlformats.org/officeDocument/2006/relationships/image" Target="media/image13.emf"/><Relationship Id="rId34" Type="http://schemas.openxmlformats.org/officeDocument/2006/relationships/image" Target="media/image25.emf"/><Relationship Id="rId42" Type="http://schemas.microsoft.com/office/2007/relationships/diagramDrawing" Target="diagrams/drawing1.xml"/><Relationship Id="rId47" Type="http://schemas.openxmlformats.org/officeDocument/2006/relationships/hyperlink" Target="https://www.iaea.org/About/Policy/GC/GC50/GC50InfDocuments/English/gc50inf-3-att5_en.pdf" TargetMode="External"/><Relationship Id="rId50" Type="http://schemas.openxmlformats.org/officeDocument/2006/relationships/hyperlink" Target="https://www.nvsos.gov/sos/elections/election-information/previous-elections/election-results" TargetMode="External"/><Relationship Id="rId55" Type="http://schemas.openxmlformats.org/officeDocument/2006/relationships/hyperlink" Target="https://www.nrc.gov/reading-rm/doc-collections/fact-sheets/yucca-license-review.html" TargetMode="Externa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tiff"/><Relationship Id="rId29" Type="http://schemas.openxmlformats.org/officeDocument/2006/relationships/image" Target="media/image20.png"/><Relationship Id="rId11" Type="http://schemas.openxmlformats.org/officeDocument/2006/relationships/image" Target="media/image3.jpeg"/><Relationship Id="rId24" Type="http://schemas.openxmlformats.org/officeDocument/2006/relationships/image" Target="media/image16.emf"/><Relationship Id="rId32" Type="http://schemas.openxmlformats.org/officeDocument/2006/relationships/image" Target="media/image23.emf"/><Relationship Id="rId37" Type="http://schemas.openxmlformats.org/officeDocument/2006/relationships/image" Target="media/image28.emf"/><Relationship Id="rId40" Type="http://schemas.openxmlformats.org/officeDocument/2006/relationships/diagramQuickStyle" Target="diagrams/quickStyle1.xml"/><Relationship Id="rId45" Type="http://schemas.openxmlformats.org/officeDocument/2006/relationships/hyperlink" Target="https://www.yuccamountain.org/" TargetMode="External"/><Relationship Id="rId53" Type="http://schemas.openxmlformats.org/officeDocument/2006/relationships/hyperlink" Target="https://www.gao.gov/key_issues/disposal_of_highlevel_nuclear_waste/issue_summary" TargetMode="External"/><Relationship Id="rId5" Type="http://schemas.openxmlformats.org/officeDocument/2006/relationships/footnotes" Target="footnotes.xml"/><Relationship Id="rId19" Type="http://schemas.openxmlformats.org/officeDocument/2006/relationships/image" Target="media/image11.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tiff"/><Relationship Id="rId22" Type="http://schemas.openxmlformats.org/officeDocument/2006/relationships/image" Target="media/image14.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hyperlink" Target="https://www.yuccamountain.org/" TargetMode="External"/><Relationship Id="rId48" Type="http://schemas.openxmlformats.org/officeDocument/2006/relationships/hyperlink" Target="https://m.lasvegassun.com/news/2018/dec/26/midterms-may-have-spelled-the-end-of-yucca-mountai/" TargetMode="External"/><Relationship Id="rId56" Type="http://schemas.openxmlformats.org/officeDocument/2006/relationships/fontTable" Target="fontTable.xml"/><Relationship Id="rId8" Type="http://schemas.openxmlformats.org/officeDocument/2006/relationships/header" Target="header2.xml"/><Relationship Id="rId51" Type="http://schemas.openxmlformats.org/officeDocument/2006/relationships/hyperlink" Target="https://www2.census.gov/library/publications/2011/compendia/statab/131ed/tables/election.pdf" TargetMode="External"/><Relationship Id="rId3" Type="http://schemas.openxmlformats.org/officeDocument/2006/relationships/settings" Target="settings.xml"/><Relationship Id="rId12" Type="http://schemas.openxmlformats.org/officeDocument/2006/relationships/image" Target="media/image4.tiff"/><Relationship Id="rId17" Type="http://schemas.openxmlformats.org/officeDocument/2006/relationships/image" Target="media/image9.emf"/><Relationship Id="rId25" Type="http://schemas.openxmlformats.org/officeDocument/2006/relationships/hyperlink" Target="https://onlinelibrary-wiley-com.ezproxy.lib.ou.edu/doi/full/10.1111/pops.12055" TargetMode="External"/><Relationship Id="rId33" Type="http://schemas.openxmlformats.org/officeDocument/2006/relationships/image" Target="media/image24.emf"/><Relationship Id="rId38" Type="http://schemas.openxmlformats.org/officeDocument/2006/relationships/diagramData" Target="diagrams/data1.xml"/><Relationship Id="rId46" Type="http://schemas.openxmlformats.org/officeDocument/2006/relationships/hyperlink" Target="https://gisgeography.com/nevada-county-map/" TargetMode="External"/><Relationship Id="rId20" Type="http://schemas.openxmlformats.org/officeDocument/2006/relationships/image" Target="media/image12.emf"/><Relationship Id="rId41" Type="http://schemas.openxmlformats.org/officeDocument/2006/relationships/diagramColors" Target="diagrams/colors1.xml"/><Relationship Id="rId54" Type="http://schemas.openxmlformats.org/officeDocument/2006/relationships/hyperlink" Target="https://www.gao.gov/key_issues/disposal_of_highlevel_nuclear_waste/issue_summary"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tiff"/><Relationship Id="rId23" Type="http://schemas.openxmlformats.org/officeDocument/2006/relationships/image" Target="media/image15.emf"/><Relationship Id="rId28" Type="http://schemas.openxmlformats.org/officeDocument/2006/relationships/image" Target="media/image19.png"/><Relationship Id="rId36" Type="http://schemas.openxmlformats.org/officeDocument/2006/relationships/image" Target="media/image27.emf"/><Relationship Id="rId49" Type="http://schemas.openxmlformats.org/officeDocument/2006/relationships/hyperlink" Target="https://thebulletin.org/2020/02/the-yucca-mountain-nuclear-waste-site-has-always-been-a-political-football-trump-is-the-latest-president-to-fumble/" TargetMode="External"/><Relationship Id="rId57" Type="http://schemas.openxmlformats.org/officeDocument/2006/relationships/theme" Target="theme/theme1.xml"/><Relationship Id="rId10" Type="http://schemas.openxmlformats.org/officeDocument/2006/relationships/image" Target="media/image2.emf"/><Relationship Id="rId31" Type="http://schemas.openxmlformats.org/officeDocument/2006/relationships/image" Target="media/image22.emf"/><Relationship Id="rId44" Type="http://schemas.openxmlformats.org/officeDocument/2006/relationships/hyperlink" Target="https://www.yuccamountain.org/purpose.htm" TargetMode="External"/><Relationship Id="rId52" Type="http://schemas.openxmlformats.org/officeDocument/2006/relationships/hyperlink" Target="https://www.eia.gov/totalenergy/data/monthly/pdf/sec1_7.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onlinelibrary-wiley-com.ezproxy.lib.ou.edu/doi/full/10.1111/psj.12194" TargetMode="External"/><Relationship Id="rId2" Type="http://schemas.openxmlformats.org/officeDocument/2006/relationships/hyperlink" Target="https://www.cleanenergyconservatives.com/about/" TargetMode="External"/><Relationship Id="rId1" Type="http://schemas.openxmlformats.org/officeDocument/2006/relationships/hyperlink" Target="https://www.climatechangecommunication.org/portfolio-view/bob-inglis/" TargetMode="External"/><Relationship Id="rId4" Type="http://schemas.openxmlformats.org/officeDocument/2006/relationships/hyperlink" Target="https://onlinelibrary-wiley-com.ezproxy.lib.ou.edu/doi/full/10.1111/psj.12194"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1CF6057-E718-5148-BA2B-82EDFFDC0271}" type="doc">
      <dgm:prSet loTypeId="urn:microsoft.com/office/officeart/2005/8/layout/target3" loCatId="" qsTypeId="urn:microsoft.com/office/officeart/2005/8/quickstyle/simple1" qsCatId="simple" csTypeId="urn:microsoft.com/office/officeart/2005/8/colors/accent1_2" csCatId="accent1" phldr="1"/>
      <dgm:spPr/>
      <dgm:t>
        <a:bodyPr/>
        <a:lstStyle/>
        <a:p>
          <a:endParaRPr lang="en-US"/>
        </a:p>
      </dgm:t>
    </dgm:pt>
    <dgm:pt modelId="{29AB353F-02C6-564D-91B0-D4BEC92F880C}">
      <dgm:prSet phldrT="[Text]" custT="1"/>
      <dgm:spPr/>
      <dgm:t>
        <a:bodyPr/>
        <a:lstStyle/>
        <a:p>
          <a:r>
            <a:rPr lang="en-US" sz="1800" b="0" i="0">
              <a:latin typeface="Times New Roman" panose="02020603050405020304" pitchFamily="18" charset="0"/>
              <a:cs typeface="Times New Roman" panose="02020603050405020304" pitchFamily="18" charset="0"/>
            </a:rPr>
            <a:t>Reasoning</a:t>
          </a:r>
        </a:p>
      </dgm:t>
    </dgm:pt>
    <dgm:pt modelId="{19EE5A49-81B3-5549-B041-FB2F22239E27}" type="parTrans" cxnId="{67C56D6A-94E1-8548-821E-6E772690BEC4}">
      <dgm:prSet/>
      <dgm:spPr/>
      <dgm:t>
        <a:bodyPr/>
        <a:lstStyle/>
        <a:p>
          <a:endParaRPr lang="en-US"/>
        </a:p>
      </dgm:t>
    </dgm:pt>
    <dgm:pt modelId="{8C403148-A490-AF4B-A75D-E247929D7AC2}" type="sibTrans" cxnId="{67C56D6A-94E1-8548-821E-6E772690BEC4}">
      <dgm:prSet/>
      <dgm:spPr/>
      <dgm:t>
        <a:bodyPr/>
        <a:lstStyle/>
        <a:p>
          <a:endParaRPr lang="en-US"/>
        </a:p>
      </dgm:t>
    </dgm:pt>
    <dgm:pt modelId="{43EAFD52-ADFE-B846-A383-51CCA3B6C92D}">
      <dgm:prSet phldrT="[Text]"/>
      <dgm:spPr/>
      <dgm:t>
        <a:bodyPr/>
        <a:lstStyle/>
        <a:p>
          <a:r>
            <a:rPr lang="en-US" b="0" i="0">
              <a:latin typeface="Times New Roman" panose="02020603050405020304" pitchFamily="18" charset="0"/>
              <a:cs typeface="Times New Roman" panose="02020603050405020304" pitchFamily="18" charset="0"/>
            </a:rPr>
            <a:t>Combination of rationalizm with heurisitcs</a:t>
          </a:r>
        </a:p>
      </dgm:t>
    </dgm:pt>
    <dgm:pt modelId="{6A6C6CF6-EDD8-1646-B9E5-396FE7FC1820}" type="parTrans" cxnId="{44336A98-BBDD-294A-B416-306EFD23061F}">
      <dgm:prSet/>
      <dgm:spPr/>
      <dgm:t>
        <a:bodyPr/>
        <a:lstStyle/>
        <a:p>
          <a:endParaRPr lang="en-US"/>
        </a:p>
      </dgm:t>
    </dgm:pt>
    <dgm:pt modelId="{F754A380-11C3-BD45-94E0-9E8CD7E219E1}" type="sibTrans" cxnId="{44336A98-BBDD-294A-B416-306EFD23061F}">
      <dgm:prSet/>
      <dgm:spPr/>
      <dgm:t>
        <a:bodyPr/>
        <a:lstStyle/>
        <a:p>
          <a:endParaRPr lang="en-US"/>
        </a:p>
      </dgm:t>
    </dgm:pt>
    <dgm:pt modelId="{012A4FD0-5F6B-3946-A879-A2772646102E}">
      <dgm:prSet phldrT="[Text]" custT="1"/>
      <dgm:spPr/>
      <dgm:t>
        <a:bodyPr/>
        <a:lstStyle/>
        <a:p>
          <a:r>
            <a:rPr lang="en-US" sz="1800" b="0" i="0">
              <a:latin typeface="Times New Roman" panose="02020603050405020304" pitchFamily="18" charset="0"/>
              <a:cs typeface="Times New Roman" panose="02020603050405020304" pitchFamily="18" charset="0"/>
            </a:rPr>
            <a:t>Belief Structure</a:t>
          </a:r>
        </a:p>
      </dgm:t>
    </dgm:pt>
    <dgm:pt modelId="{55635F06-5688-504F-9052-9DA5EB6C924C}" type="parTrans" cxnId="{17912088-2A71-4342-AECB-52178CE6910E}">
      <dgm:prSet/>
      <dgm:spPr/>
      <dgm:t>
        <a:bodyPr/>
        <a:lstStyle/>
        <a:p>
          <a:endParaRPr lang="en-US"/>
        </a:p>
      </dgm:t>
    </dgm:pt>
    <dgm:pt modelId="{8A922072-3B05-6D48-ABAC-1A0431DDFAEB}" type="sibTrans" cxnId="{17912088-2A71-4342-AECB-52178CE6910E}">
      <dgm:prSet/>
      <dgm:spPr/>
      <dgm:t>
        <a:bodyPr/>
        <a:lstStyle/>
        <a:p>
          <a:endParaRPr lang="en-US"/>
        </a:p>
      </dgm:t>
    </dgm:pt>
    <dgm:pt modelId="{85DB5E06-3139-914A-A76E-C5E982E0E9B4}">
      <dgm:prSet phldrT="[Text]"/>
      <dgm:spPr/>
      <dgm:t>
        <a:bodyPr/>
        <a:lstStyle/>
        <a:p>
          <a:r>
            <a:rPr lang="en-US" b="0" i="0">
              <a:latin typeface="Times New Roman" panose="02020603050405020304" pitchFamily="18" charset="0"/>
              <a:cs typeface="Times New Roman" panose="02020603050405020304" pitchFamily="18" charset="0"/>
            </a:rPr>
            <a:t>Hierarchically structured complex system</a:t>
          </a:r>
        </a:p>
      </dgm:t>
    </dgm:pt>
    <dgm:pt modelId="{5C63B6AF-53BB-2E4C-8D77-102F0E9F984F}" type="parTrans" cxnId="{04403BDA-0668-4F47-99B7-036132EFF787}">
      <dgm:prSet/>
      <dgm:spPr/>
      <dgm:t>
        <a:bodyPr/>
        <a:lstStyle/>
        <a:p>
          <a:endParaRPr lang="en-US"/>
        </a:p>
      </dgm:t>
    </dgm:pt>
    <dgm:pt modelId="{D65491DD-868F-E247-95AA-785BFAE39CFC}" type="sibTrans" cxnId="{04403BDA-0668-4F47-99B7-036132EFF787}">
      <dgm:prSet/>
      <dgm:spPr/>
      <dgm:t>
        <a:bodyPr/>
        <a:lstStyle/>
        <a:p>
          <a:endParaRPr lang="en-US"/>
        </a:p>
      </dgm:t>
    </dgm:pt>
    <dgm:pt modelId="{331E7FAE-D0F1-3748-9FA7-59835CBFBBB3}">
      <dgm:prSet phldrT="[Text]" custT="1"/>
      <dgm:spPr/>
      <dgm:t>
        <a:bodyPr/>
        <a:lstStyle/>
        <a:p>
          <a:r>
            <a:rPr lang="en-US" sz="1800" b="0" i="0">
              <a:latin typeface="Times New Roman" panose="02020603050405020304" pitchFamily="18" charset="0"/>
              <a:cs typeface="Times New Roman" panose="02020603050405020304" pitchFamily="18" charset="0"/>
            </a:rPr>
            <a:t>Values</a:t>
          </a:r>
        </a:p>
      </dgm:t>
    </dgm:pt>
    <dgm:pt modelId="{7507533B-06D7-2E42-88AD-FBEFACC3628B}" type="parTrans" cxnId="{13756D6B-D40B-EC4B-92AB-E2A64A0DF386}">
      <dgm:prSet/>
      <dgm:spPr/>
      <dgm:t>
        <a:bodyPr/>
        <a:lstStyle/>
        <a:p>
          <a:endParaRPr lang="en-US"/>
        </a:p>
      </dgm:t>
    </dgm:pt>
    <dgm:pt modelId="{FEA50C97-3E42-D247-B091-5C7669800FBC}" type="sibTrans" cxnId="{13756D6B-D40B-EC4B-92AB-E2A64A0DF386}">
      <dgm:prSet/>
      <dgm:spPr/>
      <dgm:t>
        <a:bodyPr/>
        <a:lstStyle/>
        <a:p>
          <a:endParaRPr lang="en-US"/>
        </a:p>
      </dgm:t>
    </dgm:pt>
    <dgm:pt modelId="{E66E9DB7-B5ED-ED4B-BBCA-B0A1137F9A80}">
      <dgm:prSet phldrT="[Text]"/>
      <dgm:spPr/>
      <dgm:t>
        <a:bodyPr/>
        <a:lstStyle/>
        <a:p>
          <a:r>
            <a:rPr lang="en-US" b="0" i="0">
              <a:latin typeface="Times New Roman" panose="02020603050405020304" pitchFamily="18" charset="0"/>
              <a:cs typeface="Times New Roman" panose="02020603050405020304" pitchFamily="18" charset="0"/>
            </a:rPr>
            <a:t>Political culture and Ideology</a:t>
          </a:r>
        </a:p>
      </dgm:t>
    </dgm:pt>
    <dgm:pt modelId="{B172DBB1-9418-124F-B260-A4F678373459}" type="parTrans" cxnId="{21A15E4C-4811-7142-950F-2E9997E5CAEE}">
      <dgm:prSet/>
      <dgm:spPr/>
      <dgm:t>
        <a:bodyPr/>
        <a:lstStyle/>
        <a:p>
          <a:endParaRPr lang="en-US"/>
        </a:p>
      </dgm:t>
    </dgm:pt>
    <dgm:pt modelId="{62F0605D-1BAC-BC43-ADAC-CF4376B46F1C}" type="sibTrans" cxnId="{21A15E4C-4811-7142-950F-2E9997E5CAEE}">
      <dgm:prSet/>
      <dgm:spPr/>
      <dgm:t>
        <a:bodyPr/>
        <a:lstStyle/>
        <a:p>
          <a:endParaRPr lang="en-US"/>
        </a:p>
      </dgm:t>
    </dgm:pt>
    <dgm:pt modelId="{5CD99E68-4955-5E4C-AEC3-03F105072517}" type="pres">
      <dgm:prSet presAssocID="{01CF6057-E718-5148-BA2B-82EDFFDC0271}" presName="Name0" presStyleCnt="0">
        <dgm:presLayoutVars>
          <dgm:chMax val="7"/>
          <dgm:dir/>
          <dgm:animLvl val="lvl"/>
          <dgm:resizeHandles val="exact"/>
        </dgm:presLayoutVars>
      </dgm:prSet>
      <dgm:spPr/>
    </dgm:pt>
    <dgm:pt modelId="{C283849E-3E2E-AF4D-B91B-82C5ED1807CF}" type="pres">
      <dgm:prSet presAssocID="{29AB353F-02C6-564D-91B0-D4BEC92F880C}" presName="circle1" presStyleLbl="node1" presStyleIdx="0" presStyleCnt="3"/>
      <dgm:spPr/>
    </dgm:pt>
    <dgm:pt modelId="{DED030F8-F542-DF4F-9203-CD9FF9800E52}" type="pres">
      <dgm:prSet presAssocID="{29AB353F-02C6-564D-91B0-D4BEC92F880C}" presName="space" presStyleCnt="0"/>
      <dgm:spPr/>
    </dgm:pt>
    <dgm:pt modelId="{FD46E9FB-A40F-F344-9681-91E8CE2794FE}" type="pres">
      <dgm:prSet presAssocID="{29AB353F-02C6-564D-91B0-D4BEC92F880C}" presName="rect1" presStyleLbl="alignAcc1" presStyleIdx="0" presStyleCnt="3"/>
      <dgm:spPr/>
    </dgm:pt>
    <dgm:pt modelId="{F9949255-5079-5E4D-9AFD-EB5E58D58CF6}" type="pres">
      <dgm:prSet presAssocID="{012A4FD0-5F6B-3946-A879-A2772646102E}" presName="vertSpace2" presStyleLbl="node1" presStyleIdx="0" presStyleCnt="3"/>
      <dgm:spPr/>
    </dgm:pt>
    <dgm:pt modelId="{3531C243-6297-7E45-A36A-2EFF1D3374EA}" type="pres">
      <dgm:prSet presAssocID="{012A4FD0-5F6B-3946-A879-A2772646102E}" presName="circle2" presStyleLbl="node1" presStyleIdx="1" presStyleCnt="3"/>
      <dgm:spPr/>
    </dgm:pt>
    <dgm:pt modelId="{034285E3-0E70-954F-83CF-00E200617D00}" type="pres">
      <dgm:prSet presAssocID="{012A4FD0-5F6B-3946-A879-A2772646102E}" presName="rect2" presStyleLbl="alignAcc1" presStyleIdx="1" presStyleCnt="3"/>
      <dgm:spPr/>
    </dgm:pt>
    <dgm:pt modelId="{2C764829-1872-9F48-BFDC-3B826EFCC722}" type="pres">
      <dgm:prSet presAssocID="{331E7FAE-D0F1-3748-9FA7-59835CBFBBB3}" presName="vertSpace3" presStyleLbl="node1" presStyleIdx="1" presStyleCnt="3"/>
      <dgm:spPr/>
    </dgm:pt>
    <dgm:pt modelId="{886B6C12-AF20-B749-9153-9AF9577E58E0}" type="pres">
      <dgm:prSet presAssocID="{331E7FAE-D0F1-3748-9FA7-59835CBFBBB3}" presName="circle3" presStyleLbl="node1" presStyleIdx="2" presStyleCnt="3"/>
      <dgm:spPr/>
    </dgm:pt>
    <dgm:pt modelId="{74378A97-1D28-3246-BCDA-AF49C7C936EB}" type="pres">
      <dgm:prSet presAssocID="{331E7FAE-D0F1-3748-9FA7-59835CBFBBB3}" presName="rect3" presStyleLbl="alignAcc1" presStyleIdx="2" presStyleCnt="3"/>
      <dgm:spPr/>
    </dgm:pt>
    <dgm:pt modelId="{F33CB194-C1AB-FB43-AE7F-FDF6033D63D0}" type="pres">
      <dgm:prSet presAssocID="{29AB353F-02C6-564D-91B0-D4BEC92F880C}" presName="rect1ParTx" presStyleLbl="alignAcc1" presStyleIdx="2" presStyleCnt="3">
        <dgm:presLayoutVars>
          <dgm:chMax val="1"/>
          <dgm:bulletEnabled val="1"/>
        </dgm:presLayoutVars>
      </dgm:prSet>
      <dgm:spPr/>
    </dgm:pt>
    <dgm:pt modelId="{0B86C25A-A6F3-7140-8E13-6FE204ED2F2F}" type="pres">
      <dgm:prSet presAssocID="{29AB353F-02C6-564D-91B0-D4BEC92F880C}" presName="rect1ChTx" presStyleLbl="alignAcc1" presStyleIdx="2" presStyleCnt="3">
        <dgm:presLayoutVars>
          <dgm:bulletEnabled val="1"/>
        </dgm:presLayoutVars>
      </dgm:prSet>
      <dgm:spPr/>
    </dgm:pt>
    <dgm:pt modelId="{9E2CE15F-2E3B-AD44-B10C-AC5EC7DBD03F}" type="pres">
      <dgm:prSet presAssocID="{012A4FD0-5F6B-3946-A879-A2772646102E}" presName="rect2ParTx" presStyleLbl="alignAcc1" presStyleIdx="2" presStyleCnt="3">
        <dgm:presLayoutVars>
          <dgm:chMax val="1"/>
          <dgm:bulletEnabled val="1"/>
        </dgm:presLayoutVars>
      </dgm:prSet>
      <dgm:spPr/>
    </dgm:pt>
    <dgm:pt modelId="{F16501A9-63B9-E641-BD4F-9631885C7694}" type="pres">
      <dgm:prSet presAssocID="{012A4FD0-5F6B-3946-A879-A2772646102E}" presName="rect2ChTx" presStyleLbl="alignAcc1" presStyleIdx="2" presStyleCnt="3">
        <dgm:presLayoutVars>
          <dgm:bulletEnabled val="1"/>
        </dgm:presLayoutVars>
      </dgm:prSet>
      <dgm:spPr/>
    </dgm:pt>
    <dgm:pt modelId="{C06D6B2A-D99A-F647-B45E-D3001E195EEF}" type="pres">
      <dgm:prSet presAssocID="{331E7FAE-D0F1-3748-9FA7-59835CBFBBB3}" presName="rect3ParTx" presStyleLbl="alignAcc1" presStyleIdx="2" presStyleCnt="3">
        <dgm:presLayoutVars>
          <dgm:chMax val="1"/>
          <dgm:bulletEnabled val="1"/>
        </dgm:presLayoutVars>
      </dgm:prSet>
      <dgm:spPr/>
    </dgm:pt>
    <dgm:pt modelId="{B63E6BF6-44A8-7F45-A386-6D03917ADDC3}" type="pres">
      <dgm:prSet presAssocID="{331E7FAE-D0F1-3748-9FA7-59835CBFBBB3}" presName="rect3ChTx" presStyleLbl="alignAcc1" presStyleIdx="2" presStyleCnt="3">
        <dgm:presLayoutVars>
          <dgm:bulletEnabled val="1"/>
        </dgm:presLayoutVars>
      </dgm:prSet>
      <dgm:spPr/>
    </dgm:pt>
  </dgm:ptLst>
  <dgm:cxnLst>
    <dgm:cxn modelId="{72900124-9706-8846-A073-B5245C2CDCD0}" type="presOf" srcId="{012A4FD0-5F6B-3946-A879-A2772646102E}" destId="{9E2CE15F-2E3B-AD44-B10C-AC5EC7DBD03F}" srcOrd="1" destOrd="0" presId="urn:microsoft.com/office/officeart/2005/8/layout/target3"/>
    <dgm:cxn modelId="{92064140-2680-8B4F-82FD-CBBCE06DAC97}" type="presOf" srcId="{331E7FAE-D0F1-3748-9FA7-59835CBFBBB3}" destId="{74378A97-1D28-3246-BCDA-AF49C7C936EB}" srcOrd="0" destOrd="0" presId="urn:microsoft.com/office/officeart/2005/8/layout/target3"/>
    <dgm:cxn modelId="{21A15E4C-4811-7142-950F-2E9997E5CAEE}" srcId="{331E7FAE-D0F1-3748-9FA7-59835CBFBBB3}" destId="{E66E9DB7-B5ED-ED4B-BBCA-B0A1137F9A80}" srcOrd="0" destOrd="0" parTransId="{B172DBB1-9418-124F-B260-A4F678373459}" sibTransId="{62F0605D-1BAC-BC43-ADAC-CF4376B46F1C}"/>
    <dgm:cxn modelId="{67C56D6A-94E1-8548-821E-6E772690BEC4}" srcId="{01CF6057-E718-5148-BA2B-82EDFFDC0271}" destId="{29AB353F-02C6-564D-91B0-D4BEC92F880C}" srcOrd="0" destOrd="0" parTransId="{19EE5A49-81B3-5549-B041-FB2F22239E27}" sibTransId="{8C403148-A490-AF4B-A75D-E247929D7AC2}"/>
    <dgm:cxn modelId="{13756D6B-D40B-EC4B-92AB-E2A64A0DF386}" srcId="{01CF6057-E718-5148-BA2B-82EDFFDC0271}" destId="{331E7FAE-D0F1-3748-9FA7-59835CBFBBB3}" srcOrd="2" destOrd="0" parTransId="{7507533B-06D7-2E42-88AD-FBEFACC3628B}" sibTransId="{FEA50C97-3E42-D247-B091-5C7669800FBC}"/>
    <dgm:cxn modelId="{31BABA75-1D4F-1C40-9434-D65125DB4709}" type="presOf" srcId="{012A4FD0-5F6B-3946-A879-A2772646102E}" destId="{034285E3-0E70-954F-83CF-00E200617D00}" srcOrd="0" destOrd="0" presId="urn:microsoft.com/office/officeart/2005/8/layout/target3"/>
    <dgm:cxn modelId="{2FD71A7E-95B0-B541-A2BD-D8823BFD7400}" type="presOf" srcId="{29AB353F-02C6-564D-91B0-D4BEC92F880C}" destId="{FD46E9FB-A40F-F344-9681-91E8CE2794FE}" srcOrd="0" destOrd="0" presId="urn:microsoft.com/office/officeart/2005/8/layout/target3"/>
    <dgm:cxn modelId="{12AC6C85-A94F-434C-86E9-5785CDE6199A}" type="presOf" srcId="{29AB353F-02C6-564D-91B0-D4BEC92F880C}" destId="{F33CB194-C1AB-FB43-AE7F-FDF6033D63D0}" srcOrd="1" destOrd="0" presId="urn:microsoft.com/office/officeart/2005/8/layout/target3"/>
    <dgm:cxn modelId="{17912088-2A71-4342-AECB-52178CE6910E}" srcId="{01CF6057-E718-5148-BA2B-82EDFFDC0271}" destId="{012A4FD0-5F6B-3946-A879-A2772646102E}" srcOrd="1" destOrd="0" parTransId="{55635F06-5688-504F-9052-9DA5EB6C924C}" sibTransId="{8A922072-3B05-6D48-ABAC-1A0431DDFAEB}"/>
    <dgm:cxn modelId="{4D694293-795A-6E43-844E-93E2254A1E0A}" type="presOf" srcId="{331E7FAE-D0F1-3748-9FA7-59835CBFBBB3}" destId="{C06D6B2A-D99A-F647-B45E-D3001E195EEF}" srcOrd="1" destOrd="0" presId="urn:microsoft.com/office/officeart/2005/8/layout/target3"/>
    <dgm:cxn modelId="{44336A98-BBDD-294A-B416-306EFD23061F}" srcId="{29AB353F-02C6-564D-91B0-D4BEC92F880C}" destId="{43EAFD52-ADFE-B846-A383-51CCA3B6C92D}" srcOrd="0" destOrd="0" parTransId="{6A6C6CF6-EDD8-1646-B9E5-396FE7FC1820}" sibTransId="{F754A380-11C3-BD45-94E0-9E8CD7E219E1}"/>
    <dgm:cxn modelId="{AD4251A2-B3E6-2E41-A054-86EDD8CB7C03}" type="presOf" srcId="{01CF6057-E718-5148-BA2B-82EDFFDC0271}" destId="{5CD99E68-4955-5E4C-AEC3-03F105072517}" srcOrd="0" destOrd="0" presId="urn:microsoft.com/office/officeart/2005/8/layout/target3"/>
    <dgm:cxn modelId="{17E23AD0-0125-E94B-B59F-286C66BF921C}" type="presOf" srcId="{E66E9DB7-B5ED-ED4B-BBCA-B0A1137F9A80}" destId="{B63E6BF6-44A8-7F45-A386-6D03917ADDC3}" srcOrd="0" destOrd="0" presId="urn:microsoft.com/office/officeart/2005/8/layout/target3"/>
    <dgm:cxn modelId="{04403BDA-0668-4F47-99B7-036132EFF787}" srcId="{012A4FD0-5F6B-3946-A879-A2772646102E}" destId="{85DB5E06-3139-914A-A76E-C5E982E0E9B4}" srcOrd="0" destOrd="0" parTransId="{5C63B6AF-53BB-2E4C-8D77-102F0E9F984F}" sibTransId="{D65491DD-868F-E247-95AA-785BFAE39CFC}"/>
    <dgm:cxn modelId="{E4B906E3-DE4F-FB40-B627-D010F1152216}" type="presOf" srcId="{85DB5E06-3139-914A-A76E-C5E982E0E9B4}" destId="{F16501A9-63B9-E641-BD4F-9631885C7694}" srcOrd="0" destOrd="0" presId="urn:microsoft.com/office/officeart/2005/8/layout/target3"/>
    <dgm:cxn modelId="{B80760ED-01DA-134D-BBE4-5F2BE0FF3699}" type="presOf" srcId="{43EAFD52-ADFE-B846-A383-51CCA3B6C92D}" destId="{0B86C25A-A6F3-7140-8E13-6FE204ED2F2F}" srcOrd="0" destOrd="0" presId="urn:microsoft.com/office/officeart/2005/8/layout/target3"/>
    <dgm:cxn modelId="{E9E06179-BE45-5541-9746-7417B530FD47}" type="presParOf" srcId="{5CD99E68-4955-5E4C-AEC3-03F105072517}" destId="{C283849E-3E2E-AF4D-B91B-82C5ED1807CF}" srcOrd="0" destOrd="0" presId="urn:microsoft.com/office/officeart/2005/8/layout/target3"/>
    <dgm:cxn modelId="{0E44AC39-E2D5-0A45-A244-7A6004EC209F}" type="presParOf" srcId="{5CD99E68-4955-5E4C-AEC3-03F105072517}" destId="{DED030F8-F542-DF4F-9203-CD9FF9800E52}" srcOrd="1" destOrd="0" presId="urn:microsoft.com/office/officeart/2005/8/layout/target3"/>
    <dgm:cxn modelId="{A5320892-535A-AE42-9F9E-F41454B3EDF2}" type="presParOf" srcId="{5CD99E68-4955-5E4C-AEC3-03F105072517}" destId="{FD46E9FB-A40F-F344-9681-91E8CE2794FE}" srcOrd="2" destOrd="0" presId="urn:microsoft.com/office/officeart/2005/8/layout/target3"/>
    <dgm:cxn modelId="{346039EA-2CE4-F04D-B9AB-75ED23372069}" type="presParOf" srcId="{5CD99E68-4955-5E4C-AEC3-03F105072517}" destId="{F9949255-5079-5E4D-9AFD-EB5E58D58CF6}" srcOrd="3" destOrd="0" presId="urn:microsoft.com/office/officeart/2005/8/layout/target3"/>
    <dgm:cxn modelId="{4FB53C5E-F913-0B4C-B85A-1F2479F8E1D2}" type="presParOf" srcId="{5CD99E68-4955-5E4C-AEC3-03F105072517}" destId="{3531C243-6297-7E45-A36A-2EFF1D3374EA}" srcOrd="4" destOrd="0" presId="urn:microsoft.com/office/officeart/2005/8/layout/target3"/>
    <dgm:cxn modelId="{DDF3566D-7BD7-A543-8954-39492A541631}" type="presParOf" srcId="{5CD99E68-4955-5E4C-AEC3-03F105072517}" destId="{034285E3-0E70-954F-83CF-00E200617D00}" srcOrd="5" destOrd="0" presId="urn:microsoft.com/office/officeart/2005/8/layout/target3"/>
    <dgm:cxn modelId="{FB66891E-4BEA-8148-971B-6B2332D61B61}" type="presParOf" srcId="{5CD99E68-4955-5E4C-AEC3-03F105072517}" destId="{2C764829-1872-9F48-BFDC-3B826EFCC722}" srcOrd="6" destOrd="0" presId="urn:microsoft.com/office/officeart/2005/8/layout/target3"/>
    <dgm:cxn modelId="{4DC33A17-DAEC-D747-A890-1FAB4E08D8B7}" type="presParOf" srcId="{5CD99E68-4955-5E4C-AEC3-03F105072517}" destId="{886B6C12-AF20-B749-9153-9AF9577E58E0}" srcOrd="7" destOrd="0" presId="urn:microsoft.com/office/officeart/2005/8/layout/target3"/>
    <dgm:cxn modelId="{C4EDF86F-925E-CA4E-83CB-2EC3EC795DAA}" type="presParOf" srcId="{5CD99E68-4955-5E4C-AEC3-03F105072517}" destId="{74378A97-1D28-3246-BCDA-AF49C7C936EB}" srcOrd="8" destOrd="0" presId="urn:microsoft.com/office/officeart/2005/8/layout/target3"/>
    <dgm:cxn modelId="{D04DD11A-19D7-014C-8707-D1361B48CA19}" type="presParOf" srcId="{5CD99E68-4955-5E4C-AEC3-03F105072517}" destId="{F33CB194-C1AB-FB43-AE7F-FDF6033D63D0}" srcOrd="9" destOrd="0" presId="urn:microsoft.com/office/officeart/2005/8/layout/target3"/>
    <dgm:cxn modelId="{68612B6A-4C22-BF4E-90C7-2218D473B05C}" type="presParOf" srcId="{5CD99E68-4955-5E4C-AEC3-03F105072517}" destId="{0B86C25A-A6F3-7140-8E13-6FE204ED2F2F}" srcOrd="10" destOrd="0" presId="urn:microsoft.com/office/officeart/2005/8/layout/target3"/>
    <dgm:cxn modelId="{2133A7F4-204C-7D44-8FB8-E7BF4718A8EA}" type="presParOf" srcId="{5CD99E68-4955-5E4C-AEC3-03F105072517}" destId="{9E2CE15F-2E3B-AD44-B10C-AC5EC7DBD03F}" srcOrd="11" destOrd="0" presId="urn:microsoft.com/office/officeart/2005/8/layout/target3"/>
    <dgm:cxn modelId="{D4A7CD67-39F9-BE47-A9D8-39BC5E65C920}" type="presParOf" srcId="{5CD99E68-4955-5E4C-AEC3-03F105072517}" destId="{F16501A9-63B9-E641-BD4F-9631885C7694}" srcOrd="12" destOrd="0" presId="urn:microsoft.com/office/officeart/2005/8/layout/target3"/>
    <dgm:cxn modelId="{CA06FE60-CE9A-5A4F-B2ED-A2B6724A9C56}" type="presParOf" srcId="{5CD99E68-4955-5E4C-AEC3-03F105072517}" destId="{C06D6B2A-D99A-F647-B45E-D3001E195EEF}" srcOrd="13" destOrd="0" presId="urn:microsoft.com/office/officeart/2005/8/layout/target3"/>
    <dgm:cxn modelId="{09315C8C-43AC-FC4B-9FB2-4302FDB8F254}" type="presParOf" srcId="{5CD99E68-4955-5E4C-AEC3-03F105072517}" destId="{B63E6BF6-44A8-7F45-A386-6D03917ADDC3}" srcOrd="14" destOrd="0" presId="urn:microsoft.com/office/officeart/2005/8/layout/target3"/>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83849E-3E2E-AF4D-B91B-82C5ED1807CF}">
      <dsp:nvSpPr>
        <dsp:cNvPr id="0" name=""/>
        <dsp:cNvSpPr/>
      </dsp:nvSpPr>
      <dsp:spPr>
        <a:xfrm>
          <a:off x="0" y="0"/>
          <a:ext cx="1399031" cy="1399031"/>
        </a:xfrm>
        <a:prstGeom prst="pie">
          <a:avLst>
            <a:gd name="adj1" fmla="val 5400000"/>
            <a:gd name="adj2" fmla="val 162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D46E9FB-A40F-F344-9681-91E8CE2794FE}">
      <dsp:nvSpPr>
        <dsp:cNvPr id="0" name=""/>
        <dsp:cNvSpPr/>
      </dsp:nvSpPr>
      <dsp:spPr>
        <a:xfrm>
          <a:off x="699515" y="0"/>
          <a:ext cx="3863340" cy="1399031"/>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b="0" i="0" kern="1200">
              <a:latin typeface="Times New Roman" panose="02020603050405020304" pitchFamily="18" charset="0"/>
              <a:cs typeface="Times New Roman" panose="02020603050405020304" pitchFamily="18" charset="0"/>
            </a:rPr>
            <a:t>Reasoning</a:t>
          </a:r>
        </a:p>
      </dsp:txBody>
      <dsp:txXfrm>
        <a:off x="699515" y="0"/>
        <a:ext cx="1931670" cy="419710"/>
      </dsp:txXfrm>
    </dsp:sp>
    <dsp:sp modelId="{3531C243-6297-7E45-A36A-2EFF1D3374EA}">
      <dsp:nvSpPr>
        <dsp:cNvPr id="0" name=""/>
        <dsp:cNvSpPr/>
      </dsp:nvSpPr>
      <dsp:spPr>
        <a:xfrm>
          <a:off x="244831" y="419710"/>
          <a:ext cx="909369" cy="909369"/>
        </a:xfrm>
        <a:prstGeom prst="pie">
          <a:avLst>
            <a:gd name="adj1" fmla="val 5400000"/>
            <a:gd name="adj2" fmla="val 162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34285E3-0E70-954F-83CF-00E200617D00}">
      <dsp:nvSpPr>
        <dsp:cNvPr id="0" name=""/>
        <dsp:cNvSpPr/>
      </dsp:nvSpPr>
      <dsp:spPr>
        <a:xfrm>
          <a:off x="699515" y="419710"/>
          <a:ext cx="3863340" cy="909369"/>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b="0" i="0" kern="1200">
              <a:latin typeface="Times New Roman" panose="02020603050405020304" pitchFamily="18" charset="0"/>
              <a:cs typeface="Times New Roman" panose="02020603050405020304" pitchFamily="18" charset="0"/>
            </a:rPr>
            <a:t>Belief Structure</a:t>
          </a:r>
        </a:p>
      </dsp:txBody>
      <dsp:txXfrm>
        <a:off x="699515" y="419710"/>
        <a:ext cx="1931670" cy="419709"/>
      </dsp:txXfrm>
    </dsp:sp>
    <dsp:sp modelId="{886B6C12-AF20-B749-9153-9AF9577E58E0}">
      <dsp:nvSpPr>
        <dsp:cNvPr id="0" name=""/>
        <dsp:cNvSpPr/>
      </dsp:nvSpPr>
      <dsp:spPr>
        <a:xfrm>
          <a:off x="489661" y="839419"/>
          <a:ext cx="419709" cy="419709"/>
        </a:xfrm>
        <a:prstGeom prst="pie">
          <a:avLst>
            <a:gd name="adj1" fmla="val 5400000"/>
            <a:gd name="adj2" fmla="val 162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4378A97-1D28-3246-BCDA-AF49C7C936EB}">
      <dsp:nvSpPr>
        <dsp:cNvPr id="0" name=""/>
        <dsp:cNvSpPr/>
      </dsp:nvSpPr>
      <dsp:spPr>
        <a:xfrm>
          <a:off x="699515" y="839419"/>
          <a:ext cx="3863340" cy="419709"/>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b="0" i="0" kern="1200">
              <a:latin typeface="Times New Roman" panose="02020603050405020304" pitchFamily="18" charset="0"/>
              <a:cs typeface="Times New Roman" panose="02020603050405020304" pitchFamily="18" charset="0"/>
            </a:rPr>
            <a:t>Values</a:t>
          </a:r>
        </a:p>
      </dsp:txBody>
      <dsp:txXfrm>
        <a:off x="699515" y="839419"/>
        <a:ext cx="1931670" cy="419709"/>
      </dsp:txXfrm>
    </dsp:sp>
    <dsp:sp modelId="{0B86C25A-A6F3-7140-8E13-6FE204ED2F2F}">
      <dsp:nvSpPr>
        <dsp:cNvPr id="0" name=""/>
        <dsp:cNvSpPr/>
      </dsp:nvSpPr>
      <dsp:spPr>
        <a:xfrm>
          <a:off x="2631186" y="0"/>
          <a:ext cx="1931670" cy="419710"/>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US" sz="1200" b="0" i="0" kern="1200">
              <a:latin typeface="Times New Roman" panose="02020603050405020304" pitchFamily="18" charset="0"/>
              <a:cs typeface="Times New Roman" panose="02020603050405020304" pitchFamily="18" charset="0"/>
            </a:rPr>
            <a:t>Combination of rationalizm with heurisitcs</a:t>
          </a:r>
        </a:p>
      </dsp:txBody>
      <dsp:txXfrm>
        <a:off x="2631186" y="0"/>
        <a:ext cx="1931670" cy="419710"/>
      </dsp:txXfrm>
    </dsp:sp>
    <dsp:sp modelId="{F16501A9-63B9-E641-BD4F-9631885C7694}">
      <dsp:nvSpPr>
        <dsp:cNvPr id="0" name=""/>
        <dsp:cNvSpPr/>
      </dsp:nvSpPr>
      <dsp:spPr>
        <a:xfrm>
          <a:off x="2631186" y="419710"/>
          <a:ext cx="1931670" cy="419709"/>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US" sz="1200" b="0" i="0" kern="1200">
              <a:latin typeface="Times New Roman" panose="02020603050405020304" pitchFamily="18" charset="0"/>
              <a:cs typeface="Times New Roman" panose="02020603050405020304" pitchFamily="18" charset="0"/>
            </a:rPr>
            <a:t>Hierarchically structured complex system</a:t>
          </a:r>
        </a:p>
      </dsp:txBody>
      <dsp:txXfrm>
        <a:off x="2631186" y="419710"/>
        <a:ext cx="1931670" cy="419709"/>
      </dsp:txXfrm>
    </dsp:sp>
    <dsp:sp modelId="{B63E6BF6-44A8-7F45-A386-6D03917ADDC3}">
      <dsp:nvSpPr>
        <dsp:cNvPr id="0" name=""/>
        <dsp:cNvSpPr/>
      </dsp:nvSpPr>
      <dsp:spPr>
        <a:xfrm>
          <a:off x="2631186" y="839419"/>
          <a:ext cx="1931670" cy="419709"/>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US" sz="1200" b="0" i="0" kern="1200">
              <a:latin typeface="Times New Roman" panose="02020603050405020304" pitchFamily="18" charset="0"/>
              <a:cs typeface="Times New Roman" panose="02020603050405020304" pitchFamily="18" charset="0"/>
            </a:rPr>
            <a:t>Political culture and Ideology</a:t>
          </a:r>
        </a:p>
      </dsp:txBody>
      <dsp:txXfrm>
        <a:off x="2631186" y="839419"/>
        <a:ext cx="1931670" cy="419709"/>
      </dsp:txXfrm>
    </dsp:sp>
  </dsp:spTree>
</dsp:drawing>
</file>

<file path=word/diagrams/layout1.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144</Pages>
  <Words>31883</Words>
  <Characters>181739</Characters>
  <Application>Microsoft Office Word</Application>
  <DocSecurity>0</DocSecurity>
  <Lines>1514</Lines>
  <Paragraphs>426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 Mkrtchyan, Ani V.</dc:creator>
  <cp:keywords/>
  <dc:description/>
  <cp:lastModifiedBy>Ter Mkrtchyan, Ani V.</cp:lastModifiedBy>
  <cp:revision>3</cp:revision>
  <cp:lastPrinted>2020-07-02T23:54:00Z</cp:lastPrinted>
  <dcterms:created xsi:type="dcterms:W3CDTF">2020-07-02T23:54:00Z</dcterms:created>
  <dcterms:modified xsi:type="dcterms:W3CDTF">2020-07-02T23:54:00Z</dcterms:modified>
</cp:coreProperties>
</file>